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700034" w:rsidRPr="00F63AC4" w:rsidRDefault="00700034" w:rsidP="003A1257">
      <w:pPr>
        <w:jc w:val="center"/>
        <w:rPr>
          <w:b/>
          <w:bCs/>
          <w:sz w:val="22"/>
          <w:szCs w:val="22"/>
        </w:rPr>
      </w:pPr>
      <w:r w:rsidRPr="00700034">
        <w:rPr>
          <w:b/>
          <w:bCs/>
          <w:sz w:val="22"/>
          <w:szCs w:val="22"/>
        </w:rPr>
        <w:t>Соль, песок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6902A1" w:rsidRPr="006902A1">
        <w:rPr>
          <w:b/>
          <w:bCs/>
          <w:color w:val="000000" w:themeColor="text1"/>
          <w:sz w:val="22"/>
          <w:szCs w:val="22"/>
        </w:rPr>
        <w:t>258</w:t>
      </w:r>
      <w:r w:rsidR="00700034">
        <w:rPr>
          <w:b/>
          <w:bCs/>
          <w:color w:val="000000" w:themeColor="text1"/>
          <w:sz w:val="22"/>
          <w:szCs w:val="22"/>
        </w:rPr>
        <w:t>0000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700034">
        <w:rPr>
          <w:b/>
          <w:sz w:val="24"/>
          <w:szCs w:val="24"/>
        </w:rPr>
        <w:t xml:space="preserve"> с</w:t>
      </w:r>
      <w:r w:rsidR="00700034" w:rsidRPr="00700034">
        <w:rPr>
          <w:b/>
          <w:sz w:val="24"/>
          <w:szCs w:val="24"/>
        </w:rPr>
        <w:t>оль, песок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700034">
        <w:rPr>
          <w:b/>
          <w:bCs/>
          <w:sz w:val="22"/>
          <w:szCs w:val="22"/>
        </w:rPr>
        <w:t>6</w:t>
      </w:r>
      <w:r w:rsidR="00572ABD" w:rsidRPr="001E4383">
        <w:rPr>
          <w:b/>
          <w:bCs/>
          <w:sz w:val="22"/>
          <w:szCs w:val="22"/>
        </w:rPr>
        <w:t xml:space="preserve"> (</w:t>
      </w:r>
      <w:r w:rsidR="006902A1">
        <w:rPr>
          <w:b/>
          <w:bCs/>
          <w:sz w:val="22"/>
          <w:szCs w:val="22"/>
        </w:rPr>
        <w:t>Шесть</w:t>
      </w:r>
      <w:r w:rsidR="00F63AC4" w:rsidRPr="001E4383">
        <w:rPr>
          <w:b/>
          <w:bCs/>
          <w:sz w:val="22"/>
          <w:szCs w:val="22"/>
        </w:rPr>
        <w:t>) календарны</w:t>
      </w:r>
      <w:r w:rsidR="000859BE" w:rsidRPr="001E4383">
        <w:rPr>
          <w:b/>
          <w:bCs/>
          <w:sz w:val="22"/>
          <w:szCs w:val="22"/>
        </w:rPr>
        <w:t>х дней</w:t>
      </w:r>
      <w:r w:rsidR="000859BE">
        <w:rPr>
          <w:bCs/>
          <w:sz w:val="22"/>
          <w:szCs w:val="22"/>
        </w:rPr>
        <w:t xml:space="preserve">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EF3334" w:rsidRPr="00EF3334">
        <w:rPr>
          <w:sz w:val="24"/>
          <w:szCs w:val="24"/>
        </w:rPr>
        <w:t xml:space="preserve"> </w:t>
      </w:r>
      <w:r w:rsidR="00EF3334" w:rsidRPr="00EF3334">
        <w:rPr>
          <w:color w:val="000000"/>
          <w:sz w:val="22"/>
          <w:szCs w:val="22"/>
        </w:rPr>
        <w:t xml:space="preserve">142402, Московская </w:t>
      </w:r>
      <w:r w:rsidR="00EF3334">
        <w:rPr>
          <w:color w:val="000000"/>
          <w:sz w:val="22"/>
          <w:szCs w:val="22"/>
        </w:rPr>
        <w:t xml:space="preserve">область, г. Ногинск, д. Починки, </w:t>
      </w:r>
      <w:r w:rsidR="00EF3334" w:rsidRPr="00EF3334">
        <w:rPr>
          <w:color w:val="000000"/>
          <w:sz w:val="22"/>
          <w:szCs w:val="22"/>
        </w:rPr>
        <w:t xml:space="preserve">ул. Горького, ФГКУ «Ногинский СЦ МЧС </w:t>
      </w:r>
      <w:r w:rsidR="00EF3334">
        <w:rPr>
          <w:color w:val="000000"/>
          <w:sz w:val="22"/>
          <w:szCs w:val="22"/>
        </w:rPr>
        <w:t>России» КПП №2 автотранспортом П</w:t>
      </w:r>
      <w:r w:rsidR="00EF3334" w:rsidRPr="00EF3334">
        <w:rPr>
          <w:color w:val="000000"/>
          <w:sz w:val="22"/>
          <w:szCs w:val="22"/>
        </w:rPr>
        <w:t>оставщика</w:t>
      </w:r>
      <w:r w:rsidR="00D5048F" w:rsidRPr="00D5048F">
        <w:rPr>
          <w:b/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lastRenderedPageBreak/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0" w:name="Par716"/>
      <w:bookmarkEnd w:id="0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</w:t>
      </w:r>
      <w:r w:rsidRPr="00AE0F5D">
        <w:rPr>
          <w:bCs/>
          <w:sz w:val="22"/>
          <w:szCs w:val="22"/>
        </w:rPr>
        <w:lastRenderedPageBreak/>
        <w:t xml:space="preserve">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6C6CC9">
        <w:rPr>
          <w:bCs/>
          <w:sz w:val="22"/>
          <w:szCs w:val="22"/>
        </w:rPr>
        <w:t>не менее 12 месяцев с даты поставки.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1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2" w:name="OLE_LINK25"/>
      <w:bookmarkStart w:id="3" w:name="OLE_LINK24"/>
      <w:r w:rsidRPr="00AE0F5D">
        <w:rPr>
          <w:bCs/>
          <w:sz w:val="22"/>
          <w:szCs w:val="22"/>
        </w:rPr>
        <w:t>разделом 8 Контракта.</w:t>
      </w:r>
      <w:bookmarkEnd w:id="1"/>
      <w:bookmarkEnd w:id="2"/>
      <w:bookmarkEnd w:id="3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</w:t>
      </w:r>
      <w:r w:rsidRPr="00AE0F5D">
        <w:rPr>
          <w:bCs/>
          <w:sz w:val="22"/>
          <w:szCs w:val="22"/>
        </w:rPr>
        <w:lastRenderedPageBreak/>
        <w:t>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C15FFF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4" w:name="_Hlk198541964"/>
    </w:p>
    <w:p w:rsidR="00A12131" w:rsidRDefault="00A12131" w:rsidP="00F9404C">
      <w:pPr>
        <w:jc w:val="center"/>
        <w:rPr>
          <w:b/>
          <w:bCs/>
          <w:sz w:val="22"/>
          <w:szCs w:val="22"/>
        </w:rPr>
      </w:pPr>
    </w:p>
    <w:tbl>
      <w:tblPr>
        <w:tblW w:w="107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544"/>
        <w:gridCol w:w="775"/>
        <w:gridCol w:w="586"/>
        <w:gridCol w:w="2199"/>
        <w:gridCol w:w="2640"/>
        <w:gridCol w:w="2444"/>
      </w:tblGrid>
      <w:tr w:rsidR="002A7D7E" w:rsidRPr="002A7D7E" w:rsidTr="002A7D7E">
        <w:trPr>
          <w:trHeight w:val="1065"/>
        </w:trPr>
        <w:tc>
          <w:tcPr>
            <w:tcW w:w="1583" w:type="dxa"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A7D7E">
              <w:rPr>
                <w:b/>
              </w:rPr>
              <w:t>Предмет контракта</w:t>
            </w:r>
          </w:p>
        </w:tc>
        <w:tc>
          <w:tcPr>
            <w:tcW w:w="544" w:type="dxa"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2A7D7E">
              <w:rPr>
                <w:b/>
              </w:rPr>
              <w:t>№</w:t>
            </w:r>
          </w:p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2A7D7E">
              <w:rPr>
                <w:b/>
              </w:rPr>
              <w:t>п/п</w:t>
            </w:r>
          </w:p>
        </w:tc>
        <w:tc>
          <w:tcPr>
            <w:tcW w:w="775" w:type="dxa"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2A7D7E">
              <w:rPr>
                <w:b/>
              </w:rPr>
              <w:t>кол-во</w:t>
            </w:r>
          </w:p>
        </w:tc>
        <w:tc>
          <w:tcPr>
            <w:tcW w:w="586" w:type="dxa"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2A7D7E">
              <w:rPr>
                <w:b/>
              </w:rPr>
              <w:t>Ед. изм.</w:t>
            </w:r>
          </w:p>
        </w:tc>
        <w:tc>
          <w:tcPr>
            <w:tcW w:w="2199" w:type="dxa"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A7D7E">
              <w:rPr>
                <w:b/>
              </w:rPr>
              <w:t>Наименование характеристик товара</w:t>
            </w:r>
          </w:p>
        </w:tc>
        <w:tc>
          <w:tcPr>
            <w:tcW w:w="2640" w:type="dxa"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A7D7E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444" w:type="dxa"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A7D7E">
              <w:rPr>
                <w:b/>
              </w:rPr>
              <w:t>Требования к значению показателя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 w:val="restart"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  <w:r w:rsidRPr="002A7D7E">
              <w:t>Соль, песок</w:t>
            </w:r>
          </w:p>
        </w:tc>
        <w:tc>
          <w:tcPr>
            <w:tcW w:w="544" w:type="dxa"/>
            <w:vMerge w:val="restart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rPr>
                <w:b/>
              </w:rPr>
            </w:pPr>
            <w:r w:rsidRPr="002A7D7E">
              <w:rPr>
                <w:b/>
              </w:rPr>
              <w:t>1.</w:t>
            </w:r>
          </w:p>
        </w:tc>
        <w:tc>
          <w:tcPr>
            <w:tcW w:w="775" w:type="dxa"/>
            <w:vMerge w:val="restart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  <w:r w:rsidRPr="002A7D7E">
              <w:t>2000</w:t>
            </w:r>
          </w:p>
        </w:tc>
        <w:tc>
          <w:tcPr>
            <w:tcW w:w="586" w:type="dxa"/>
            <w:vMerge w:val="restart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  <w:r w:rsidRPr="002A7D7E">
              <w:t>кг</w:t>
            </w:r>
          </w:p>
        </w:tc>
        <w:tc>
          <w:tcPr>
            <w:tcW w:w="2199" w:type="dxa"/>
            <w:vMerge w:val="restart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Песок кварцевый</w:t>
            </w:r>
          </w:p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 xml:space="preserve">Тип песка 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Песок природный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Фракционированный песок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Да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Применение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Для фильтрации воды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Фракция, мм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0,5-0,8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Вес мешка, кг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25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Страна происхождения товара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 w:val="restart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rPr>
                <w:b/>
              </w:rPr>
            </w:pPr>
            <w:r w:rsidRPr="002A7D7E">
              <w:rPr>
                <w:b/>
              </w:rPr>
              <w:t>2.</w:t>
            </w:r>
          </w:p>
        </w:tc>
        <w:tc>
          <w:tcPr>
            <w:tcW w:w="775" w:type="dxa"/>
            <w:vMerge w:val="restart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  <w:r w:rsidRPr="002A7D7E">
              <w:t>2000</w:t>
            </w:r>
          </w:p>
        </w:tc>
        <w:tc>
          <w:tcPr>
            <w:tcW w:w="586" w:type="dxa"/>
            <w:vMerge w:val="restart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  <w:r w:rsidRPr="002A7D7E">
              <w:t>кг</w:t>
            </w:r>
          </w:p>
        </w:tc>
        <w:tc>
          <w:tcPr>
            <w:tcW w:w="2199" w:type="dxa"/>
            <w:vMerge w:val="restart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 xml:space="preserve">Соль </w:t>
            </w:r>
            <w:proofErr w:type="spellStart"/>
            <w:r w:rsidRPr="002A7D7E">
              <w:t>таблетированная</w:t>
            </w:r>
            <w:proofErr w:type="spellEnd"/>
            <w:r w:rsidRPr="002A7D7E">
              <w:t xml:space="preserve"> </w:t>
            </w: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 xml:space="preserve">Применение 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Для смягчения воды, восстановления ионообменных смол. Используется при подготовке воды технических, технологических и бытовых нужд</w:t>
            </w:r>
          </w:p>
        </w:tc>
      </w:tr>
      <w:tr w:rsidR="002A7D7E" w:rsidRPr="002A7D7E" w:rsidTr="002A7D7E">
        <w:trPr>
          <w:cantSplit/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Массовая доля хлористого натрия, %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не менее 99,5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 xml:space="preserve">Вес мешка, кг 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25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Остаточный срок годности на дату поставки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не менее 12 месяцев</w:t>
            </w:r>
          </w:p>
        </w:tc>
      </w:tr>
      <w:tr w:rsidR="002A7D7E" w:rsidRPr="002A7D7E" w:rsidTr="002A7D7E">
        <w:trPr>
          <w:trHeight w:val="238"/>
        </w:trPr>
        <w:tc>
          <w:tcPr>
            <w:tcW w:w="1583" w:type="dxa"/>
            <w:vMerge/>
            <w:vAlign w:val="center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44" w:type="dxa"/>
            <w:vMerge/>
          </w:tcPr>
          <w:p w:rsidR="002A7D7E" w:rsidRPr="002A7D7E" w:rsidRDefault="002A7D7E" w:rsidP="002A7D7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775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86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9" w:type="dxa"/>
            <w:vMerge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  <w:tc>
          <w:tcPr>
            <w:tcW w:w="2640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  <w:r w:rsidRPr="002A7D7E">
              <w:t>Страна происхождения товара</w:t>
            </w:r>
          </w:p>
        </w:tc>
        <w:tc>
          <w:tcPr>
            <w:tcW w:w="2444" w:type="dxa"/>
          </w:tcPr>
          <w:p w:rsidR="002A7D7E" w:rsidRPr="002A7D7E" w:rsidRDefault="002A7D7E" w:rsidP="002A7D7E">
            <w:pPr>
              <w:widowControl/>
              <w:autoSpaceDE/>
              <w:autoSpaceDN/>
              <w:adjustRightInd/>
            </w:pPr>
          </w:p>
        </w:tc>
      </w:tr>
    </w:tbl>
    <w:p w:rsidR="00A12131" w:rsidRDefault="00A12131" w:rsidP="005E1773">
      <w:pPr>
        <w:rPr>
          <w:b/>
          <w:bCs/>
          <w:sz w:val="22"/>
          <w:szCs w:val="22"/>
        </w:rPr>
      </w:pPr>
    </w:p>
    <w:bookmarkEnd w:id="4"/>
    <w:p w:rsidR="008A5A66" w:rsidRPr="00A12131" w:rsidRDefault="008A5A66" w:rsidP="00A12131">
      <w:pPr>
        <w:tabs>
          <w:tab w:val="left" w:pos="4369"/>
        </w:tabs>
        <w:rPr>
          <w:b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3F543E" w:rsidRDefault="003F543E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74812" w:rsidRDefault="00E74812" w:rsidP="00A12131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E74812" w:rsidRDefault="00F357EF" w:rsidP="00E74812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E74812" w:rsidRPr="00A13760" w:rsidRDefault="00E74812" w:rsidP="00A13760">
      <w:pPr>
        <w:jc w:val="center"/>
        <w:rPr>
          <w:b/>
          <w:bCs/>
          <w:sz w:val="22"/>
          <w:szCs w:val="22"/>
        </w:rPr>
      </w:pPr>
    </w:p>
    <w:tbl>
      <w:tblPr>
        <w:tblW w:w="51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13"/>
        <w:gridCol w:w="3117"/>
        <w:gridCol w:w="849"/>
        <w:gridCol w:w="711"/>
        <w:gridCol w:w="1558"/>
        <w:gridCol w:w="1551"/>
      </w:tblGrid>
      <w:tr w:rsidR="00A13760" w:rsidRPr="00456E39" w:rsidTr="006D64AE">
        <w:trPr>
          <w:trHeight w:val="487"/>
        </w:trPr>
        <w:tc>
          <w:tcPr>
            <w:tcW w:w="946" w:type="pct"/>
            <w:vAlign w:val="center"/>
          </w:tcPr>
          <w:p w:rsidR="008E7E54" w:rsidRPr="00456E39" w:rsidRDefault="008E7E54" w:rsidP="000D4C51">
            <w:pPr>
              <w:ind w:left="164"/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340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87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05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339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43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Цена за ед. изм.</w:t>
            </w:r>
          </w:p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с НДС (руб.)</w:t>
            </w:r>
          </w:p>
        </w:tc>
        <w:tc>
          <w:tcPr>
            <w:tcW w:w="740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 xml:space="preserve">Всего </w:t>
            </w:r>
          </w:p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с НДС (руб.)</w:t>
            </w:r>
          </w:p>
        </w:tc>
      </w:tr>
      <w:tr w:rsidR="00E74812" w:rsidRPr="00456E39" w:rsidTr="006D64AE">
        <w:trPr>
          <w:trHeight w:val="288"/>
        </w:trPr>
        <w:tc>
          <w:tcPr>
            <w:tcW w:w="946" w:type="pct"/>
            <w:vMerge w:val="restart"/>
            <w:vAlign w:val="center"/>
          </w:tcPr>
          <w:p w:rsidR="00E74812" w:rsidRPr="00456E39" w:rsidRDefault="00596955" w:rsidP="00F9404C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596955">
              <w:rPr>
                <w:sz w:val="22"/>
                <w:szCs w:val="22"/>
              </w:rPr>
              <w:t>Соль, песок</w:t>
            </w:r>
          </w:p>
        </w:tc>
        <w:tc>
          <w:tcPr>
            <w:tcW w:w="3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87" w:type="pct"/>
            <w:vAlign w:val="center"/>
          </w:tcPr>
          <w:p w:rsidR="00E74812" w:rsidRPr="00456E39" w:rsidRDefault="00596955" w:rsidP="00C72956">
            <w:pPr>
              <w:rPr>
                <w:bCs/>
                <w:sz w:val="22"/>
                <w:szCs w:val="22"/>
              </w:rPr>
            </w:pPr>
            <w:r w:rsidRPr="00596955">
              <w:rPr>
                <w:bCs/>
                <w:sz w:val="22"/>
                <w:szCs w:val="22"/>
              </w:rPr>
              <w:t>Песок кварцевый</w:t>
            </w:r>
          </w:p>
        </w:tc>
        <w:tc>
          <w:tcPr>
            <w:tcW w:w="405" w:type="pct"/>
            <w:vAlign w:val="center"/>
          </w:tcPr>
          <w:p w:rsidR="00E74812" w:rsidRPr="00456E39" w:rsidRDefault="00596955" w:rsidP="00C20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339" w:type="pct"/>
            <w:vAlign w:val="center"/>
          </w:tcPr>
          <w:p w:rsidR="00E74812" w:rsidRPr="00456E39" w:rsidRDefault="00596955" w:rsidP="00F94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  <w:r w:rsidR="00E74812" w:rsidRPr="00456E39">
              <w:rPr>
                <w:sz w:val="22"/>
                <w:szCs w:val="22"/>
              </w:rPr>
              <w:t>.</w:t>
            </w:r>
          </w:p>
        </w:tc>
        <w:tc>
          <w:tcPr>
            <w:tcW w:w="743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74812" w:rsidRPr="00456E39" w:rsidTr="00175016">
        <w:trPr>
          <w:trHeight w:val="548"/>
        </w:trPr>
        <w:tc>
          <w:tcPr>
            <w:tcW w:w="946" w:type="pct"/>
            <w:vMerge/>
            <w:vAlign w:val="center"/>
          </w:tcPr>
          <w:p w:rsidR="00E74812" w:rsidRPr="00456E39" w:rsidRDefault="00E74812" w:rsidP="008A5A66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487" w:type="pct"/>
            <w:vAlign w:val="center"/>
          </w:tcPr>
          <w:p w:rsidR="00E74812" w:rsidRPr="00456E39" w:rsidRDefault="00596955" w:rsidP="00C72956">
            <w:pPr>
              <w:rPr>
                <w:bCs/>
                <w:iCs/>
                <w:sz w:val="22"/>
                <w:szCs w:val="22"/>
              </w:rPr>
            </w:pPr>
            <w:r w:rsidRPr="00596955">
              <w:rPr>
                <w:bCs/>
                <w:iCs/>
                <w:sz w:val="22"/>
                <w:szCs w:val="22"/>
              </w:rPr>
              <w:t xml:space="preserve">Соль </w:t>
            </w:r>
            <w:proofErr w:type="spellStart"/>
            <w:r w:rsidRPr="00596955">
              <w:rPr>
                <w:bCs/>
                <w:iCs/>
                <w:sz w:val="22"/>
                <w:szCs w:val="22"/>
              </w:rPr>
              <w:t>таблетированная</w:t>
            </w:r>
            <w:proofErr w:type="spellEnd"/>
          </w:p>
        </w:tc>
        <w:tc>
          <w:tcPr>
            <w:tcW w:w="405" w:type="pct"/>
            <w:vAlign w:val="center"/>
          </w:tcPr>
          <w:p w:rsidR="00E74812" w:rsidRPr="00456E39" w:rsidRDefault="00596955" w:rsidP="008A5A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339" w:type="pct"/>
            <w:vAlign w:val="center"/>
          </w:tcPr>
          <w:p w:rsidR="00E74812" w:rsidRPr="00456E39" w:rsidRDefault="005E1773" w:rsidP="00F9404C">
            <w:pPr>
              <w:jc w:val="center"/>
              <w:rPr>
                <w:sz w:val="22"/>
                <w:szCs w:val="22"/>
              </w:rPr>
            </w:pPr>
            <w:r w:rsidRPr="00456E39">
              <w:rPr>
                <w:sz w:val="22"/>
                <w:szCs w:val="22"/>
              </w:rPr>
              <w:t>кг</w:t>
            </w:r>
            <w:r w:rsidR="00E74812" w:rsidRPr="00456E39">
              <w:rPr>
                <w:sz w:val="22"/>
                <w:szCs w:val="22"/>
              </w:rPr>
              <w:t>.</w:t>
            </w:r>
          </w:p>
        </w:tc>
        <w:tc>
          <w:tcPr>
            <w:tcW w:w="743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75016" w:rsidRDefault="00175016" w:rsidP="006D64AE">
      <w:pPr>
        <w:ind w:left="-284"/>
        <w:jc w:val="both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A50097">
        <w:rPr>
          <w:bCs/>
          <w:sz w:val="22"/>
          <w:szCs w:val="22"/>
        </w:rPr>
        <w:t>________</w:t>
      </w:r>
      <w:r w:rsidR="00A50097" w:rsidRPr="00AE0F5D">
        <w:rPr>
          <w:bCs/>
          <w:sz w:val="22"/>
          <w:szCs w:val="22"/>
        </w:rPr>
        <w:t xml:space="preserve"> 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81482" w:rsidRDefault="00C81482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3F543E" w:rsidRDefault="003F543E" w:rsidP="006E7AFC">
      <w:pPr>
        <w:rPr>
          <w:bCs/>
          <w:sz w:val="22"/>
          <w:szCs w:val="22"/>
        </w:rPr>
      </w:pPr>
    </w:p>
    <w:p w:rsidR="003F543E" w:rsidRDefault="003F543E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456E39" w:rsidRDefault="00456E39" w:rsidP="006E7AFC">
      <w:pPr>
        <w:rPr>
          <w:bCs/>
          <w:sz w:val="22"/>
          <w:szCs w:val="22"/>
        </w:rPr>
      </w:pPr>
    </w:p>
    <w:p w:rsidR="00534E24" w:rsidRDefault="00534E24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8E6912" w:rsidRDefault="008E6912" w:rsidP="006E7AFC">
      <w:pPr>
        <w:rPr>
          <w:bCs/>
          <w:sz w:val="22"/>
          <w:szCs w:val="22"/>
        </w:rPr>
      </w:pPr>
      <w:bookmarkStart w:id="5" w:name="_GoBack"/>
      <w:bookmarkEnd w:id="5"/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43E" w:rsidRDefault="003F543E" w:rsidP="003A1257">
      <w:r>
        <w:separator/>
      </w:r>
    </w:p>
  </w:endnote>
  <w:endnote w:type="continuationSeparator" w:id="0">
    <w:p w:rsidR="003F543E" w:rsidRDefault="003F543E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43E" w:rsidRDefault="003F543E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8E6912">
      <w:rPr>
        <w:rFonts w:ascii="Liberation Serif" w:hAnsi="Liberation Serif"/>
        <w:noProof/>
      </w:rPr>
      <w:t>10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43E" w:rsidRDefault="003F543E" w:rsidP="003A1257">
      <w:r>
        <w:separator/>
      </w:r>
    </w:p>
  </w:footnote>
  <w:footnote w:type="continuationSeparator" w:id="0">
    <w:p w:rsidR="003F543E" w:rsidRDefault="003F543E" w:rsidP="003A1257">
      <w:r>
        <w:continuationSeparator/>
      </w:r>
    </w:p>
  </w:footnote>
  <w:footnote w:id="1">
    <w:p w:rsidR="003F543E" w:rsidRDefault="003F543E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3F543E" w:rsidRDefault="003F543E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3F543E" w:rsidRDefault="003F543E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77B7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39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8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1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19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2"/>
  </w:num>
  <w:num w:numId="40">
    <w:abstractNumId w:val="40"/>
  </w:num>
  <w:num w:numId="41">
    <w:abstractNumId w:val="37"/>
  </w:num>
  <w:num w:numId="42">
    <w:abstractNumId w:val="7"/>
  </w:num>
  <w:num w:numId="43">
    <w:abstractNumId w:val="41"/>
  </w:num>
  <w:num w:numId="44">
    <w:abstractNumId w:val="2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27E81"/>
    <w:rsid w:val="00136CC4"/>
    <w:rsid w:val="001475D1"/>
    <w:rsid w:val="00150E0A"/>
    <w:rsid w:val="0016540C"/>
    <w:rsid w:val="001662B9"/>
    <w:rsid w:val="001676B1"/>
    <w:rsid w:val="00172308"/>
    <w:rsid w:val="001724C7"/>
    <w:rsid w:val="00175016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383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A7D7E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543E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56E39"/>
    <w:rsid w:val="004776AC"/>
    <w:rsid w:val="004832DA"/>
    <w:rsid w:val="004840FC"/>
    <w:rsid w:val="00484284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4E24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96955"/>
    <w:rsid w:val="005B2000"/>
    <w:rsid w:val="005D07AB"/>
    <w:rsid w:val="005D1C40"/>
    <w:rsid w:val="005D3F14"/>
    <w:rsid w:val="005E011A"/>
    <w:rsid w:val="005E1773"/>
    <w:rsid w:val="005F31EC"/>
    <w:rsid w:val="005F485B"/>
    <w:rsid w:val="005F78E7"/>
    <w:rsid w:val="00602F1C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35739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02A1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C6CC9"/>
    <w:rsid w:val="006D549C"/>
    <w:rsid w:val="006D64AE"/>
    <w:rsid w:val="006E40D9"/>
    <w:rsid w:val="006E5242"/>
    <w:rsid w:val="006E7AFC"/>
    <w:rsid w:val="006F0A6F"/>
    <w:rsid w:val="006F1BFD"/>
    <w:rsid w:val="00700034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B0620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6912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2131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2A0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15FFF"/>
    <w:rsid w:val="00C20682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2956"/>
    <w:rsid w:val="00C73A42"/>
    <w:rsid w:val="00C81482"/>
    <w:rsid w:val="00C8612E"/>
    <w:rsid w:val="00C90A26"/>
    <w:rsid w:val="00C9121A"/>
    <w:rsid w:val="00C9247F"/>
    <w:rsid w:val="00CC3800"/>
    <w:rsid w:val="00CC5346"/>
    <w:rsid w:val="00CD00EE"/>
    <w:rsid w:val="00CD10CE"/>
    <w:rsid w:val="00CD5902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DF7C25"/>
    <w:rsid w:val="00E05ADF"/>
    <w:rsid w:val="00E0650F"/>
    <w:rsid w:val="00E12787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74812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3334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46846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53B3"/>
    <w:rsid w:val="00F95818"/>
    <w:rsid w:val="00FA58C7"/>
    <w:rsid w:val="00FB6438"/>
    <w:rsid w:val="00FB7DB4"/>
    <w:rsid w:val="00FC4861"/>
    <w:rsid w:val="00FC68C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D437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06E6-56E0-4EEE-BBF6-DF67082D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15</Pages>
  <Words>5246</Words>
  <Characters>42009</Characters>
  <Application>Microsoft Office Word</Application>
  <DocSecurity>0</DocSecurity>
  <Lines>350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189</cp:revision>
  <cp:lastPrinted>2018-10-24T12:25:00Z</cp:lastPrinted>
  <dcterms:created xsi:type="dcterms:W3CDTF">2024-03-06T07:03:00Z</dcterms:created>
  <dcterms:modified xsi:type="dcterms:W3CDTF">2026-07-08T08:54:00Z</dcterms:modified>
</cp:coreProperties>
</file>