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40"/>
        <w:jc w:val="center"/>
        <w:rPr>
          <w:rFonts w:ascii="Liberation Serif" w:hAnsi="Liberation Serif"/>
          <w:b/>
          <w:sz w:val="24"/>
          <w:szCs w:val="24"/>
        </w:rPr>
      </w:pPr>
      <w:r>
        <w:rPr>
          <w:b/>
          <w:sz w:val="24"/>
          <w:szCs w:val="24"/>
        </w:rPr>
        <w:t>Описание объекта закупки</w:t>
      </w:r>
    </w:p>
    <w:p>
      <w:pPr>
        <w:pStyle w:val="Normal"/>
        <w:bidi w:val="0"/>
        <w:spacing w:lineRule="auto" w:line="240"/>
        <w:jc w:val="center"/>
        <w:rPr>
          <w:rFonts w:ascii="Liberation Serif" w:hAnsi="Liberation Serif"/>
          <w:sz w:val="24"/>
          <w:szCs w:val="24"/>
        </w:rPr>
      </w:pPr>
      <w:r>
        <w:rPr>
          <w:b/>
          <w:color w:val="000000"/>
          <w:sz w:val="24"/>
          <w:szCs w:val="24"/>
        </w:rPr>
        <w:t>Оказание</w:t>
      </w:r>
      <w:r>
        <w:rPr>
          <w:b/>
          <w:color w:val="000000"/>
          <w:sz w:val="24"/>
          <w:szCs w:val="24"/>
        </w:rPr>
        <w:t xml:space="preserve"> услуг по проведению аттестации </w:t>
      </w:r>
      <w:r>
        <w:rPr>
          <w:b/>
          <w:color w:val="000000"/>
          <w:sz w:val="24"/>
          <w:szCs w:val="24"/>
        </w:rPr>
        <w:t xml:space="preserve">выделенного помещения </w:t>
      </w:r>
    </w:p>
    <w:p>
      <w:pPr>
        <w:pStyle w:val="Normal"/>
        <w:bidi w:val="0"/>
        <w:spacing w:lineRule="auto" w:line="240"/>
        <w:jc w:val="center"/>
        <w:rPr>
          <w:rFonts w:ascii="Liberation Serif" w:hAnsi="Liberation Serif"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в режимно-секретном помещении </w:t>
      </w:r>
      <w:r>
        <w:rPr>
          <w:b/>
          <w:bCs/>
          <w:color w:val="000000"/>
          <w:sz w:val="24"/>
          <w:szCs w:val="24"/>
        </w:rPr>
        <w:t>для нужд ГУФССП России по г. Москве</w:t>
      </w:r>
    </w:p>
    <w:p>
      <w:pPr>
        <w:pStyle w:val="Normal"/>
        <w:bidi w:val="0"/>
        <w:spacing w:lineRule="auto" w:line="240"/>
        <w:jc w:val="center"/>
        <w:rPr>
          <w:rFonts w:ascii="Liberation Serif" w:hAnsi="Liberation Serif"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</w:r>
    </w:p>
    <w:p>
      <w:pPr>
        <w:pStyle w:val="Normal"/>
        <w:widowControl/>
        <w:suppressAutoHyphens w:val="true"/>
        <w:bidi w:val="0"/>
        <w:spacing w:lineRule="exact" w:line="240" w:before="0" w:after="0"/>
        <w:ind w:firstLine="567" w:start="0" w:end="0"/>
        <w:jc w:val="start"/>
        <w:rPr>
          <w:b/>
        </w:rPr>
      </w:pPr>
      <w:r>
        <w:rPr>
          <w:b/>
          <w:bCs/>
          <w:color w:val="000000"/>
        </w:rPr>
        <w:t xml:space="preserve">1. Заказчик: </w:t>
      </w:r>
      <w:r>
        <w:rPr>
          <w:b w:val="false"/>
          <w:bCs w:val="false"/>
          <w:color w:val="000000"/>
        </w:rPr>
        <w:t>ГУФССП России по г. Москве</w:t>
      </w:r>
    </w:p>
    <w:p>
      <w:pPr>
        <w:pStyle w:val="Normal"/>
        <w:widowControl/>
        <w:suppressAutoHyphens w:val="true"/>
        <w:bidi w:val="0"/>
        <w:spacing w:lineRule="exact" w:line="240" w:before="0" w:after="0"/>
        <w:ind w:firstLine="567" w:start="0" w:end="0"/>
        <w:jc w:val="start"/>
        <w:rPr>
          <w:b/>
        </w:rPr>
      </w:pPr>
      <w:r>
        <w:rPr>
          <w:b/>
          <w:bCs/>
          <w:color w:val="000000"/>
        </w:rPr>
        <w:t>2. Срок оказание Услуг</w:t>
      </w:r>
      <w:r>
        <w:rPr>
          <w:b w:val="false"/>
          <w:bCs w:val="false"/>
          <w:color w:val="000000"/>
        </w:rPr>
        <w:t xml:space="preserve"> с даты заключения контракта по 18.09.2026 года</w:t>
      </w:r>
    </w:p>
    <w:p>
      <w:pPr>
        <w:pStyle w:val="1"/>
        <w:tabs>
          <w:tab w:val="clear" w:pos="709"/>
          <w:tab w:val="left" w:pos="1134" w:leader="none"/>
        </w:tabs>
        <w:bidi w:val="0"/>
        <w:spacing w:lineRule="auto" w:line="240" w:before="0" w:after="0"/>
        <w:ind w:hanging="0" w:start="0"/>
        <w:contextualSpacing/>
        <w:jc w:val="both"/>
        <w:rPr/>
      </w:pPr>
      <w:r>
        <w:rPr>
          <w:rFonts w:ascii="Liberation Serif" w:hAnsi="Liberation Serif"/>
          <w:b/>
          <w:bCs/>
          <w:color w:val="000000"/>
          <w:sz w:val="22"/>
          <w:szCs w:val="22"/>
        </w:rPr>
        <w:t xml:space="preserve">          </w:t>
      </w:r>
      <w:r>
        <w:rPr>
          <w:rFonts w:ascii="Liberation Serif" w:hAnsi="Liberation Serif"/>
          <w:b/>
          <w:bCs/>
          <w:color w:val="000000"/>
          <w:sz w:val="22"/>
          <w:szCs w:val="22"/>
        </w:rPr>
        <w:t>3</w:t>
      </w:r>
      <w:r>
        <w:rPr>
          <w:rFonts w:ascii="Liberation Serif" w:hAnsi="Liberation Serif"/>
          <w:b/>
          <w:bCs/>
          <w:color w:val="000000"/>
          <w:sz w:val="22"/>
          <w:szCs w:val="22"/>
        </w:rPr>
        <w:t xml:space="preserve">. </w:t>
      </w:r>
      <w:r>
        <w:rPr>
          <w:rFonts w:ascii="Liberation Serif" w:hAnsi="Liberation Serif"/>
          <w:b/>
          <w:sz w:val="24"/>
          <w:szCs w:val="24"/>
        </w:rPr>
        <w:t xml:space="preserve"> Общие требования</w:t>
      </w:r>
      <w:r>
        <w:rPr>
          <w:rFonts w:ascii="Liberation Serif" w:hAnsi="Liberation Serif"/>
          <w:b/>
          <w:sz w:val="24"/>
          <w:szCs w:val="24"/>
        </w:rPr>
        <w:t>:</w:t>
      </w:r>
      <w:r>
        <w:rPr>
          <w:rFonts w:ascii="Liberation Serif" w:hAnsi="Liberation Serif"/>
          <w:sz w:val="24"/>
          <w:szCs w:val="24"/>
        </w:rPr>
        <w:t xml:space="preserve"> </w:t>
      </w:r>
    </w:p>
    <w:p>
      <w:pPr>
        <w:pStyle w:val="Normal"/>
        <w:widowControl/>
        <w:suppressAutoHyphens w:val="true"/>
        <w:bidi w:val="0"/>
        <w:spacing w:lineRule="auto" w:line="240" w:before="0" w:after="200"/>
        <w:ind w:firstLine="737" w:start="0" w:end="0"/>
        <w:jc w:val="both"/>
        <w:rPr>
          <w:rFonts w:ascii="Liberation Serif" w:hAnsi="Liberation Serif"/>
          <w:sz w:val="24"/>
          <w:szCs w:val="24"/>
        </w:rPr>
      </w:pPr>
      <w:r>
        <w:rPr>
          <w:sz w:val="24"/>
          <w:szCs w:val="24"/>
        </w:rPr>
        <w:t>У</w:t>
      </w:r>
      <w:r>
        <w:rPr>
          <w:sz w:val="24"/>
          <w:szCs w:val="24"/>
        </w:rPr>
        <w:t>слуг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оказываются в соответствии с</w:t>
      </w:r>
      <w:r>
        <w:rPr>
          <w:sz w:val="24"/>
          <w:szCs w:val="24"/>
        </w:rPr>
        <w:t xml:space="preserve"> документацией на установленное оборудование, представляемой Заказчиком, а также действующими нормативными документами РФ:</w:t>
      </w:r>
    </w:p>
    <w:p>
      <w:pPr>
        <w:pStyle w:val="1"/>
        <w:tabs>
          <w:tab w:val="clear" w:pos="709"/>
          <w:tab w:val="left" w:pos="1134" w:leader="none"/>
        </w:tabs>
        <w:bidi w:val="0"/>
        <w:spacing w:lineRule="auto" w:line="240" w:before="0" w:after="0"/>
        <w:ind w:firstLine="709" w:start="0"/>
        <w:contextualSpacing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- Закон Российской Федерации от 21 июля 1993г. №5485-1 «О государственной тайне»;</w:t>
      </w:r>
    </w:p>
    <w:p>
      <w:pPr>
        <w:pStyle w:val="1"/>
        <w:tabs>
          <w:tab w:val="clear" w:pos="709"/>
          <w:tab w:val="left" w:pos="1134" w:leader="none"/>
        </w:tabs>
        <w:bidi w:val="0"/>
        <w:spacing w:lineRule="auto" w:line="240" w:before="0" w:after="0"/>
        <w:ind w:firstLine="709" w:start="0"/>
        <w:contextualSpacing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- Федеральный закон от 27 июля 2006г. №149-ФЗ «Об информации, информационных технологиях и о защите информации»;</w:t>
      </w:r>
    </w:p>
    <w:p>
      <w:pPr>
        <w:pStyle w:val="1"/>
        <w:tabs>
          <w:tab w:val="clear" w:pos="709"/>
          <w:tab w:val="left" w:pos="1134" w:leader="none"/>
        </w:tabs>
        <w:bidi w:val="0"/>
        <w:spacing w:lineRule="auto" w:line="240" w:before="0" w:after="0"/>
        <w:ind w:firstLine="709" w:start="0"/>
        <w:contextualSpacing/>
        <w:jc w:val="both"/>
        <w:rPr/>
      </w:pPr>
      <w:r>
        <w:rPr>
          <w:rFonts w:ascii="Liberation Serif" w:hAnsi="Liberation Serif"/>
          <w:sz w:val="24"/>
          <w:szCs w:val="24"/>
        </w:rPr>
        <w:t xml:space="preserve">-  </w:t>
      </w:r>
      <w:r>
        <w:rPr>
          <w:rStyle w:val="Emphasis"/>
          <w:rFonts w:eastAsia="Times New Roman" w:cs="Times New Roman" w:ascii="Liberation Serif" w:hAnsi="Liberation Serif"/>
          <w:sz w:val="24"/>
          <w:szCs w:val="24"/>
          <w:lang w:eastAsia="en-US"/>
        </w:rPr>
        <w:t xml:space="preserve"> Положения о порядке организации и проведения работ по противодействию иностранным техническим разведкам и технической защите информации, содержащей сведения, составляющие государственную тайну</w:t>
      </w:r>
      <w:r>
        <w:rPr>
          <w:rFonts w:eastAsia="Times New Roman" w:cs="Times New Roman" w:ascii="Liberation Serif" w:hAnsi="Liberation Serif"/>
          <w:sz w:val="24"/>
          <w:szCs w:val="24"/>
          <w:lang w:eastAsia="en-US"/>
        </w:rPr>
        <w:t xml:space="preserve"> (Постановление  Правительства Российской Федерации от 12.12.2023  г. № 2131-69);</w:t>
      </w:r>
    </w:p>
    <w:p>
      <w:pPr>
        <w:pStyle w:val="1"/>
        <w:tabs>
          <w:tab w:val="clear" w:pos="709"/>
          <w:tab w:val="left" w:pos="1134" w:leader="none"/>
        </w:tabs>
        <w:bidi w:val="0"/>
        <w:spacing w:lineRule="auto" w:line="240" w:before="0" w:after="0"/>
        <w:ind w:firstLine="709" w:start="0"/>
        <w:contextualSpacing/>
        <w:jc w:val="both"/>
        <w:rPr/>
      </w:pPr>
      <w:r>
        <w:rPr>
          <w:rFonts w:eastAsia="Times New Roman" w:cs="Times New Roman" w:ascii="Liberation Serif" w:hAnsi="Liberation Serif"/>
          <w:sz w:val="24"/>
          <w:szCs w:val="24"/>
          <w:lang w:eastAsia="en-US"/>
        </w:rPr>
        <w:t xml:space="preserve">- Инструкция </w:t>
      </w:r>
      <w:r>
        <w:rPr>
          <w:rFonts w:ascii="Liberation Serif" w:hAnsi="Liberation Serif"/>
          <w:sz w:val="24"/>
          <w:szCs w:val="24"/>
        </w:rPr>
        <w:t>по обеспечению режима секретности в Российской Федерации, утвержденная Постановлением Правительства Российской Федерации от 05.01.2004 № 3-1;</w:t>
      </w:r>
    </w:p>
    <w:p>
      <w:pPr>
        <w:pStyle w:val="1"/>
        <w:tabs>
          <w:tab w:val="clear" w:pos="709"/>
          <w:tab w:val="left" w:pos="1134" w:leader="none"/>
        </w:tabs>
        <w:bidi w:val="0"/>
        <w:spacing w:lineRule="auto" w:line="240" w:before="0" w:after="0"/>
        <w:ind w:firstLine="709" w:start="0"/>
        <w:contextualSpacing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-  Модель иностранных технических разведок на период до 20</w:t>
      </w:r>
      <w:r>
        <w:rPr>
          <w:rFonts w:ascii="Liberation Serif" w:hAnsi="Liberation Serif"/>
          <w:sz w:val="24"/>
          <w:szCs w:val="24"/>
        </w:rPr>
        <w:t>30</w:t>
      </w:r>
      <w:r>
        <w:rPr>
          <w:rFonts w:ascii="Liberation Serif" w:hAnsi="Liberation Serif"/>
          <w:sz w:val="24"/>
          <w:szCs w:val="24"/>
        </w:rPr>
        <w:t xml:space="preserve"> г. (Модель ИТР-20</w:t>
      </w:r>
      <w:r>
        <w:rPr>
          <w:rFonts w:ascii="Liberation Serif" w:hAnsi="Liberation Serif"/>
          <w:sz w:val="24"/>
          <w:szCs w:val="24"/>
        </w:rPr>
        <w:t>30</w:t>
      </w:r>
      <w:r>
        <w:rPr>
          <w:rFonts w:ascii="Liberation Serif" w:hAnsi="Liberation Serif"/>
          <w:sz w:val="24"/>
          <w:szCs w:val="24"/>
        </w:rPr>
        <w:t xml:space="preserve">); </w:t>
      </w:r>
    </w:p>
    <w:p>
      <w:pPr>
        <w:pStyle w:val="1"/>
        <w:tabs>
          <w:tab w:val="clear" w:pos="709"/>
          <w:tab w:val="left" w:pos="1134" w:leader="none"/>
        </w:tabs>
        <w:bidi w:val="0"/>
        <w:spacing w:lineRule="auto" w:line="240" w:before="0" w:after="0"/>
        <w:ind w:firstLine="709" w:start="0"/>
        <w:contextualSpacing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- «Требования по технической защите информации, содержащей сведения, составляющие государственную тайну», утвержденными приказом ФСТЭК России от 20.10.2016 г. № 025;</w:t>
      </w:r>
    </w:p>
    <w:p>
      <w:pPr>
        <w:pStyle w:val="1"/>
        <w:tabs>
          <w:tab w:val="clear" w:pos="709"/>
          <w:tab w:val="left" w:pos="1134" w:leader="none"/>
        </w:tabs>
        <w:bidi w:val="0"/>
        <w:spacing w:lineRule="auto" w:line="240" w:before="0" w:after="0"/>
        <w:ind w:firstLine="709" w:start="0"/>
        <w:contextualSpacing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-    </w:t>
      </w:r>
      <w:r>
        <w:rPr>
          <w:rFonts w:ascii="Liberation Serif" w:hAnsi="Liberation Serif"/>
          <w:sz w:val="24"/>
          <w:szCs w:val="24"/>
        </w:rPr>
        <w:t>Г</w:t>
      </w:r>
      <w:r>
        <w:rPr>
          <w:rFonts w:ascii="Liberation Serif" w:hAnsi="Liberation Serif"/>
          <w:sz w:val="24"/>
          <w:szCs w:val="24"/>
        </w:rPr>
        <w:t>ОСТ Р 50922-2006. Защита информации. Основные термины и определения;</w:t>
      </w:r>
    </w:p>
    <w:p>
      <w:pPr>
        <w:pStyle w:val="1"/>
        <w:tabs>
          <w:tab w:val="clear" w:pos="709"/>
          <w:tab w:val="left" w:pos="1134" w:leader="none"/>
        </w:tabs>
        <w:bidi w:val="0"/>
        <w:spacing w:lineRule="auto" w:line="240" w:before="0" w:after="0"/>
        <w:ind w:firstLine="709" w:start="0"/>
        <w:contextualSpacing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- ГОСТ РВ 50170-2006. Противодействие иностранным техническим разведкам. Термины и определения;</w:t>
      </w:r>
    </w:p>
    <w:p>
      <w:pPr>
        <w:pStyle w:val="1"/>
        <w:tabs>
          <w:tab w:val="clear" w:pos="709"/>
          <w:tab w:val="left" w:pos="1134" w:leader="none"/>
        </w:tabs>
        <w:bidi w:val="0"/>
        <w:spacing w:lineRule="auto" w:line="240" w:before="0" w:after="0"/>
        <w:ind w:firstLine="709" w:start="0"/>
        <w:contextualSpacing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- ГОСТ РО 0043-004-2013. «Защита информации. Аттестация объектов информатизации. Программа и методики аттестационных испытаний»;</w:t>
      </w:r>
    </w:p>
    <w:p>
      <w:pPr>
        <w:pStyle w:val="1"/>
        <w:tabs>
          <w:tab w:val="clear" w:pos="709"/>
          <w:tab w:val="left" w:pos="1134" w:leader="none"/>
        </w:tabs>
        <w:bidi w:val="0"/>
        <w:spacing w:lineRule="auto" w:line="240" w:before="0" w:after="0"/>
        <w:ind w:firstLine="709" w:start="0"/>
        <w:contextualSpacing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-    Порядок организации и проведения работ по аттестации объектов информатизации на соответствие требованиям о защите информации, содержащей сведения, составляющие государственную тайну. Утвержден приказом ФСТЭК России от 28.09.2020 г. № 110.</w:t>
      </w:r>
    </w:p>
    <w:p>
      <w:pPr>
        <w:pStyle w:val="1"/>
        <w:tabs>
          <w:tab w:val="clear" w:pos="709"/>
          <w:tab w:val="left" w:pos="1134" w:leader="none"/>
        </w:tabs>
        <w:bidi w:val="0"/>
        <w:spacing w:lineRule="auto" w:line="240" w:before="0" w:after="0"/>
        <w:ind w:firstLine="709" w:start="0"/>
        <w:contextualSpacing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</w:r>
    </w:p>
    <w:p>
      <w:pPr>
        <w:pStyle w:val="11"/>
        <w:ind w:firstLine="567"/>
        <w:jc w:val="both"/>
        <w:rPr>
          <w:rFonts w:ascii="Liberation Serif" w:hAnsi="Liberation Serif"/>
          <w:b/>
          <w:color w:val="000000"/>
          <w:sz w:val="24"/>
          <w:szCs w:val="24"/>
        </w:rPr>
      </w:pPr>
      <w:r>
        <w:rPr>
          <w:rFonts w:ascii="Liberation Serif" w:hAnsi="Liberation Serif"/>
          <w:b/>
          <w:color w:val="000000"/>
          <w:sz w:val="24"/>
          <w:szCs w:val="24"/>
        </w:rPr>
        <w:t>4</w:t>
      </w:r>
      <w:r>
        <w:rPr>
          <w:rFonts w:ascii="Liberation Serif" w:hAnsi="Liberation Serif"/>
          <w:b/>
          <w:color w:val="000000"/>
          <w:sz w:val="24"/>
          <w:szCs w:val="24"/>
        </w:rPr>
        <w:t>. Цель оказания услуг:</w:t>
      </w:r>
    </w:p>
    <w:p>
      <w:pPr>
        <w:pStyle w:val="11"/>
        <w:ind w:firstLine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А</w:t>
      </w:r>
      <w:r>
        <w:rPr>
          <w:rFonts w:eastAsia="Calibri" w:ascii="Liberation Serif" w:hAnsi="Liberation Serif"/>
          <w:b w:val="false"/>
          <w:bCs w:val="false"/>
          <w:color w:val="00000A"/>
          <w:spacing w:val="-4"/>
          <w:sz w:val="24"/>
          <w:szCs w:val="24"/>
          <w:lang w:eastAsia="en-US"/>
        </w:rPr>
        <w:t xml:space="preserve">ттестация объекта информатизации (выделенного помещения), предназначенного для обсуждения сведений, составляющих государственную тайну </w:t>
      </w:r>
      <w:r>
        <w:rPr>
          <w:rFonts w:ascii="Liberation Serif" w:hAnsi="Liberation Serif"/>
          <w:sz w:val="24"/>
          <w:szCs w:val="24"/>
        </w:rPr>
        <w:t>в режимно-секретном подразделении ГУФССП России по г. Москве.</w:t>
      </w:r>
    </w:p>
    <w:p>
      <w:pPr>
        <w:pStyle w:val="11"/>
        <w:ind w:firstLine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</w:r>
    </w:p>
    <w:p>
      <w:pPr>
        <w:pStyle w:val="11"/>
        <w:ind w:firstLine="567"/>
        <w:jc w:val="both"/>
        <w:rPr>
          <w:rFonts w:ascii="Liberation Serif" w:hAnsi="Liberation Serif"/>
          <w:b/>
          <w:bCs/>
          <w:color w:val="000000"/>
          <w:sz w:val="24"/>
          <w:szCs w:val="24"/>
          <w:lang w:eastAsia="en-US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  <w:lang w:eastAsia="en-US"/>
        </w:rPr>
        <w:t>5</w:t>
      </w:r>
      <w:r>
        <w:rPr>
          <w:rFonts w:ascii="Liberation Serif" w:hAnsi="Liberation Serif"/>
          <w:b/>
          <w:bCs/>
          <w:color w:val="000000"/>
          <w:sz w:val="24"/>
          <w:szCs w:val="24"/>
          <w:lang w:eastAsia="en-US"/>
        </w:rPr>
        <w:t>. Сведения об объектах информатизации:</w:t>
      </w:r>
    </w:p>
    <w:p>
      <w:pPr>
        <w:pStyle w:val="Normal"/>
        <w:tabs>
          <w:tab w:val="clear" w:pos="709"/>
          <w:tab w:val="left" w:pos="1418" w:leader="none"/>
        </w:tabs>
        <w:bidi w:val="0"/>
        <w:ind w:firstLine="567"/>
        <w:jc w:val="both"/>
        <w:rPr>
          <w:rFonts w:ascii="Liberation Serif" w:hAnsi="Liberation Serif"/>
          <w:bCs/>
          <w:color w:val="000000"/>
          <w:sz w:val="24"/>
          <w:szCs w:val="24"/>
          <w:lang w:eastAsia="en-US"/>
        </w:rPr>
      </w:pPr>
      <w:r>
        <w:rPr>
          <w:bCs/>
          <w:color w:val="000000"/>
          <w:sz w:val="24"/>
          <w:szCs w:val="24"/>
          <w:lang w:eastAsia="en-US"/>
        </w:rPr>
        <w:t>Место оказания услуг: 105094, г. Москва, ул. Гольяновская, д. 4а.</w:t>
      </w:r>
    </w:p>
    <w:p>
      <w:pPr>
        <w:pStyle w:val="Normal"/>
        <w:tabs>
          <w:tab w:val="clear" w:pos="709"/>
          <w:tab w:val="left" w:pos="1418" w:leader="none"/>
        </w:tabs>
        <w:bidi w:val="0"/>
        <w:ind w:firstLine="567"/>
        <w:jc w:val="both"/>
        <w:rPr>
          <w:bCs/>
          <w:lang w:eastAsia="en-US"/>
        </w:rPr>
      </w:pPr>
      <w:r>
        <w:rPr>
          <w:color w:val="000000"/>
          <w:sz w:val="24"/>
          <w:szCs w:val="24"/>
        </w:rPr>
      </w:r>
    </w:p>
    <w:p>
      <w:pPr>
        <w:pStyle w:val="11"/>
        <w:ind w:firstLine="570"/>
        <w:jc w:val="both"/>
        <w:rPr>
          <w:b/>
          <w:bCs/>
          <w:sz w:val="24"/>
          <w:szCs w:val="24"/>
          <w:lang w:eastAsia="en-US"/>
        </w:rPr>
      </w:pPr>
      <w:r>
        <w:rPr>
          <w:b/>
          <w:bCs/>
          <w:sz w:val="24"/>
          <w:szCs w:val="24"/>
          <w:lang w:eastAsia="en-US"/>
        </w:rPr>
        <w:t>6</w:t>
      </w:r>
      <w:r>
        <w:rPr>
          <w:b/>
          <w:bCs/>
          <w:sz w:val="24"/>
          <w:szCs w:val="24"/>
          <w:lang w:eastAsia="en-US"/>
        </w:rPr>
        <w:t>. Перечень и состав оказываемых услуг:</w:t>
      </w:r>
    </w:p>
    <w:p>
      <w:pPr>
        <w:pStyle w:val="11"/>
        <w:ind w:firstLine="570"/>
        <w:jc w:val="both"/>
        <w:rPr>
          <w:b/>
          <w:bCs/>
          <w:lang w:eastAsia="en-US"/>
        </w:rPr>
      </w:pPr>
      <w:r>
        <w:rPr>
          <w:sz w:val="24"/>
          <w:szCs w:val="24"/>
        </w:rPr>
      </w:r>
    </w:p>
    <w:tbl>
      <w:tblPr>
        <w:tblW w:w="9900" w:type="dxa"/>
        <w:jc w:val="start"/>
        <w:tblInd w:w="0" w:type="dxa"/>
        <w:tblLayout w:type="fixed"/>
        <w:tblCellMar>
          <w:top w:w="0" w:type="dxa"/>
          <w:start w:w="28" w:type="dxa"/>
          <w:bottom w:w="0" w:type="dxa"/>
          <w:end w:w="28" w:type="dxa"/>
        </w:tblCellMar>
      </w:tblPr>
      <w:tblGrid>
        <w:gridCol w:w="705"/>
        <w:gridCol w:w="5527"/>
        <w:gridCol w:w="1118"/>
        <w:gridCol w:w="2550"/>
      </w:tblGrid>
      <w:tr>
        <w:trPr>
          <w:tblHeader w:val="true"/>
          <w:trHeight w:val="20" w:hRule="atLeast"/>
        </w:trPr>
        <w:tc>
          <w:tcPr>
            <w:tcW w:w="7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contextualSpacing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  <w:t xml:space="preserve">№ </w:t>
            </w:r>
          </w:p>
          <w:p>
            <w:pPr>
              <w:pStyle w:val="Normal"/>
              <w:bidi w:val="0"/>
              <w:spacing w:before="0" w:after="0"/>
              <w:contextualSpacing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55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contextualSpacing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  <w:t>Перечень услуг</w:t>
            </w:r>
          </w:p>
        </w:tc>
        <w:tc>
          <w:tcPr>
            <w:tcW w:w="1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contextualSpacing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  <w:t xml:space="preserve">Кол-во, </w:t>
              <w:br/>
              <w:t>шт.</w:t>
            </w:r>
          </w:p>
        </w:tc>
        <w:tc>
          <w:tcPr>
            <w:tcW w:w="25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contextualSpacing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  <w:t>Результат</w:t>
            </w:r>
          </w:p>
        </w:tc>
      </w:tr>
      <w:tr>
        <w:trPr>
          <w:trHeight w:val="20" w:hRule="atLeast"/>
        </w:trPr>
        <w:tc>
          <w:tcPr>
            <w:tcW w:w="9900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contextualSpacing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  <w:t>1. Внедрение системы защиты информации</w:t>
            </w:r>
          </w:p>
        </w:tc>
      </w:tr>
      <w:tr>
        <w:trPr>
          <w:trHeight w:val="20" w:hRule="atLeast"/>
        </w:trPr>
        <w:tc>
          <w:tcPr>
            <w:tcW w:w="7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1.1</w:t>
            </w:r>
          </w:p>
        </w:tc>
        <w:tc>
          <w:tcPr>
            <w:tcW w:w="55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contextualSpacing/>
              <w:jc w:val="star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Специальная проверка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и исследования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технических средств:</w:t>
            </w:r>
          </w:p>
          <w:p>
            <w:pPr>
              <w:pStyle w:val="Normal"/>
              <w:bidi w:val="0"/>
              <w:spacing w:before="0" w:after="0"/>
              <w:contextualSpacing/>
              <w:jc w:val="star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_____________________________________________</w:t>
            </w:r>
          </w:p>
          <w:p>
            <w:pPr>
              <w:pStyle w:val="Normal"/>
              <w:bidi w:val="0"/>
              <w:spacing w:before="0" w:after="0"/>
              <w:contextualSpacing/>
              <w:jc w:val="star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1. Система активной аккустической и вибрационной защиты акустической речевой информации</w:t>
            </w:r>
          </w:p>
          <w:p>
            <w:pPr>
              <w:pStyle w:val="Normal"/>
              <w:bidi w:val="0"/>
              <w:spacing w:before="0" w:after="0"/>
              <w:contextualSpacing/>
              <w:jc w:val="star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«Соната-АВ (модель 4Б) в составе:</w:t>
            </w:r>
          </w:p>
          <w:p>
            <w:pPr>
              <w:pStyle w:val="Normal"/>
              <w:bidi w:val="0"/>
              <w:spacing w:before="0" w:after="0"/>
              <w:contextualSpacing/>
              <w:jc w:val="star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spacing w:before="0" w:after="0"/>
              <w:contextualSpacing/>
              <w:jc w:val="star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1.1. Блок электропитания и управления</w:t>
            </w:r>
          </w:p>
          <w:p>
            <w:pPr>
              <w:pStyle w:val="Normal"/>
              <w:bidi w:val="0"/>
              <w:spacing w:before="0" w:after="0"/>
              <w:contextualSpacing/>
              <w:jc w:val="star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«Соната-ИП 4.1» № 31401015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47</w:t>
            </w:r>
          </w:p>
          <w:p>
            <w:pPr>
              <w:pStyle w:val="Normal"/>
              <w:bidi w:val="0"/>
              <w:spacing w:before="0" w:after="0"/>
              <w:contextualSpacing/>
              <w:jc w:val="star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1.2. Генератор-акустоизлучатель</w:t>
            </w:r>
          </w:p>
          <w:p>
            <w:pPr>
              <w:pStyle w:val="Normal"/>
              <w:bidi w:val="0"/>
              <w:spacing w:before="0" w:after="0"/>
              <w:contextualSpacing/>
              <w:jc w:val="star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«СА-4Б» № 95803064742</w:t>
            </w:r>
          </w:p>
          <w:p>
            <w:pPr>
              <w:pStyle w:val="Normal"/>
              <w:bidi w:val="0"/>
              <w:spacing w:before="0" w:after="0"/>
              <w:contextualSpacing/>
              <w:jc w:val="star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spacing w:before="0" w:after="0"/>
              <w:contextualSpacing/>
              <w:jc w:val="star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1.3. Генератор-вибровозбудитель</w:t>
            </w:r>
          </w:p>
          <w:p>
            <w:pPr>
              <w:pStyle w:val="Normal"/>
              <w:bidi w:val="0"/>
              <w:spacing w:before="0" w:after="0"/>
              <w:contextualSpacing/>
              <w:jc w:val="star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«СВ-4Б» № 9390410272</w:t>
            </w:r>
          </w:p>
          <w:p>
            <w:pPr>
              <w:pStyle w:val="Normal"/>
              <w:bidi w:val="0"/>
              <w:spacing w:before="0" w:after="0"/>
              <w:contextualSpacing/>
              <w:jc w:val="star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              №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9390410271</w:t>
            </w:r>
          </w:p>
          <w:p>
            <w:pPr>
              <w:pStyle w:val="Normal"/>
              <w:bidi w:val="0"/>
              <w:spacing w:before="0" w:after="0"/>
              <w:contextualSpacing/>
              <w:jc w:val="star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              №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9390410270</w:t>
            </w:r>
          </w:p>
          <w:p>
            <w:pPr>
              <w:pStyle w:val="Normal"/>
              <w:bidi w:val="0"/>
              <w:spacing w:before="0" w:after="0"/>
              <w:contextualSpacing/>
              <w:jc w:val="star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              №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9390410269</w:t>
            </w:r>
          </w:p>
          <w:p>
            <w:pPr>
              <w:pStyle w:val="Normal"/>
              <w:bidi w:val="0"/>
              <w:spacing w:before="0" w:after="0"/>
              <w:contextualSpacing/>
              <w:jc w:val="star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              №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9390401380</w:t>
            </w:r>
          </w:p>
          <w:p>
            <w:pPr>
              <w:pStyle w:val="Normal"/>
              <w:bidi w:val="0"/>
              <w:spacing w:before="0" w:after="0"/>
              <w:contextualSpacing/>
              <w:jc w:val="star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              №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9390410293</w:t>
            </w:r>
          </w:p>
          <w:p>
            <w:pPr>
              <w:pStyle w:val="Normal"/>
              <w:bidi w:val="0"/>
              <w:spacing w:before="0" w:after="0"/>
              <w:contextualSpacing/>
              <w:jc w:val="star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              №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9390410282</w:t>
            </w:r>
          </w:p>
          <w:p>
            <w:pPr>
              <w:pStyle w:val="Normal"/>
              <w:bidi w:val="0"/>
              <w:spacing w:before="0" w:after="0"/>
              <w:contextualSpacing/>
              <w:jc w:val="star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              №</w:t>
            </w:r>
            <w:r>
              <w:rPr/>
              <w:t xml:space="preserve">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9390410281</w:t>
            </w:r>
          </w:p>
          <w:p>
            <w:pPr>
              <w:pStyle w:val="Normal"/>
              <w:bidi w:val="0"/>
              <w:spacing w:before="0" w:after="0"/>
              <w:contextualSpacing/>
              <w:jc w:val="star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>
              <w:rPr/>
            </w:r>
          </w:p>
          <w:p>
            <w:pPr>
              <w:pStyle w:val="Normal"/>
              <w:bidi w:val="0"/>
              <w:spacing w:before="0" w:after="0"/>
              <w:contextualSpacing/>
              <w:jc w:val="star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1.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4. Размыкатель слаботочной линии</w:t>
            </w:r>
          </w:p>
          <w:p>
            <w:pPr>
              <w:pStyle w:val="Normal"/>
              <w:bidi w:val="0"/>
              <w:spacing w:before="0" w:after="0"/>
              <w:contextualSpacing/>
              <w:jc w:val="star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«Соната — ВК 4.2.» № 9760502959</w:t>
            </w:r>
          </w:p>
        </w:tc>
        <w:tc>
          <w:tcPr>
            <w:tcW w:w="1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shd w:fill="FFFF00" w:val="clear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spacing w:before="0" w:after="0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shd w:fill="FFFF00" w:val="clear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spacing w:before="0" w:after="0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shd w:fill="FFFF00" w:val="clear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spacing w:before="0" w:after="0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shd w:fill="FFFF00" w:val="clear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spacing w:before="0" w:after="0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shd w:fill="FFFF00" w:val="clear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spacing w:before="0" w:after="0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shd w:fill="FFFF00" w:val="clear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spacing w:before="0" w:after="0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shd w:fill="FFFF00" w:val="clear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spacing w:before="0" w:after="0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shd w:fill="FFFF00" w:val="clear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  <w:p>
            <w:pPr>
              <w:pStyle w:val="Normal"/>
              <w:bidi w:val="0"/>
              <w:spacing w:before="0" w:after="0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shd w:fill="FFFF00" w:val="clear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spacing w:before="0" w:after="0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shd w:fill="FFFF00" w:val="clear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  <w:p>
            <w:pPr>
              <w:pStyle w:val="Normal"/>
              <w:bidi w:val="0"/>
              <w:spacing w:before="0" w:after="0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shd w:fill="FFFF00" w:val="clear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spacing w:before="0" w:after="0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shd w:fill="FFFF00" w:val="clear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spacing w:before="0" w:after="0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shd w:fill="FFFF00" w:val="clear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  <w:p>
            <w:pPr>
              <w:pStyle w:val="Normal"/>
              <w:bidi w:val="0"/>
              <w:spacing w:before="0" w:after="0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shd w:fill="FFFF00" w:val="clear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spacing w:before="0" w:after="0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shd w:fill="FFFF00" w:val="clear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spacing w:before="0" w:after="0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shd w:fill="FFFF00" w:val="clear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spacing w:before="0" w:after="0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shd w:fill="FFFF00" w:val="clear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spacing w:before="0" w:after="0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shd w:fill="FFFF00" w:val="clear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spacing w:before="0" w:after="0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shd w:fill="FFFF00" w:val="clear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spacing w:before="0" w:after="0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shd w:fill="FFFF00" w:val="clear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spacing w:before="0" w:after="0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shd w:fill="FFFF00" w:val="clear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spacing w:before="0" w:after="0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shd w:fill="FFFF00" w:val="clear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spacing w:before="0" w:after="0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shd w:fill="FFFF00" w:val="clear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  <w:p>
            <w:pPr>
              <w:pStyle w:val="Normal"/>
              <w:bidi w:val="0"/>
              <w:spacing w:before="0" w:after="0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shd w:fill="FFFF00" w:val="clear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5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Заключение </w:t>
            </w:r>
          </w:p>
          <w:p>
            <w:pPr>
              <w:pStyle w:val="Normal"/>
              <w:bidi w:val="0"/>
              <w:spacing w:before="0" w:after="0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по результатам СП,</w:t>
            </w:r>
          </w:p>
          <w:p>
            <w:pPr>
              <w:pStyle w:val="Normal"/>
              <w:bidi w:val="0"/>
              <w:spacing w:before="0" w:after="0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Протокол</w:t>
            </w:r>
          </w:p>
        </w:tc>
      </w:tr>
      <w:tr>
        <w:trPr>
          <w:trHeight w:val="20" w:hRule="atLeast"/>
        </w:trPr>
        <w:tc>
          <w:tcPr>
            <w:tcW w:w="7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1.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5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contextualSpacing/>
              <w:jc w:val="star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Разработка проектов организационно-распорядительной и эксплуатационной документации </w:t>
            </w:r>
          </w:p>
        </w:tc>
        <w:tc>
          <w:tcPr>
            <w:tcW w:w="1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5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Проекты документов</w:t>
            </w:r>
          </w:p>
        </w:tc>
      </w:tr>
      <w:tr>
        <w:trPr>
          <w:trHeight w:val="20" w:hRule="atLeast"/>
        </w:trPr>
        <w:tc>
          <w:tcPr>
            <w:tcW w:w="9900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contextualSpacing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  <w:t>2. Аттестация ВП</w:t>
            </w:r>
          </w:p>
        </w:tc>
      </w:tr>
      <w:tr>
        <w:trPr>
          <w:trHeight w:val="20" w:hRule="atLeast"/>
        </w:trPr>
        <w:tc>
          <w:tcPr>
            <w:tcW w:w="7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2.1</w:t>
            </w:r>
          </w:p>
        </w:tc>
        <w:tc>
          <w:tcPr>
            <w:tcW w:w="55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Разработка Программы и методик аттестационных испытаний ВП</w:t>
            </w:r>
          </w:p>
        </w:tc>
        <w:tc>
          <w:tcPr>
            <w:tcW w:w="1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Программа и методика аттестационных испытаний</w:t>
            </w:r>
          </w:p>
        </w:tc>
      </w:tr>
      <w:tr>
        <w:trPr>
          <w:trHeight w:val="20" w:hRule="atLeast"/>
        </w:trPr>
        <w:tc>
          <w:tcPr>
            <w:tcW w:w="7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2.2</w:t>
            </w:r>
          </w:p>
        </w:tc>
        <w:tc>
          <w:tcPr>
            <w:tcW w:w="55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Оценка защищенности информации от утечки по техническим каналам</w:t>
            </w:r>
          </w:p>
        </w:tc>
        <w:tc>
          <w:tcPr>
            <w:tcW w:w="1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Протокол</w:t>
            </w:r>
          </w:p>
        </w:tc>
      </w:tr>
      <w:tr>
        <w:trPr>
          <w:trHeight w:val="20" w:hRule="atLeast"/>
        </w:trPr>
        <w:tc>
          <w:tcPr>
            <w:tcW w:w="7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2.3</w:t>
            </w:r>
          </w:p>
        </w:tc>
        <w:tc>
          <w:tcPr>
            <w:tcW w:w="55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Оценка эффективности защиты информации от утечки по техническим каналам</w:t>
            </w:r>
          </w:p>
        </w:tc>
        <w:tc>
          <w:tcPr>
            <w:tcW w:w="1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Протокол</w:t>
            </w:r>
          </w:p>
        </w:tc>
      </w:tr>
      <w:tr>
        <w:trPr>
          <w:trHeight w:val="20" w:hRule="atLeast"/>
        </w:trPr>
        <w:tc>
          <w:tcPr>
            <w:tcW w:w="7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2.4</w:t>
            </w:r>
          </w:p>
        </w:tc>
        <w:tc>
          <w:tcPr>
            <w:tcW w:w="55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Оценка соответствия принятых на объекте информатизации организационных и технических мер требованиям безопасности информации</w:t>
            </w:r>
          </w:p>
        </w:tc>
        <w:tc>
          <w:tcPr>
            <w:tcW w:w="1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Заключение по результатам аттестационных испытаний. Аттестат соответствия</w:t>
            </w:r>
          </w:p>
        </w:tc>
      </w:tr>
    </w:tbl>
    <w:p>
      <w:pPr>
        <w:pStyle w:val="Normal"/>
        <w:bidi w:val="0"/>
        <w:ind w:firstLine="570"/>
        <w:jc w:val="both"/>
        <w:rPr>
          <w:b/>
          <w:bCs/>
          <w:lang w:eastAsia="en-US"/>
        </w:rPr>
      </w:pPr>
      <w:r>
        <w:rPr>
          <w:sz w:val="24"/>
          <w:szCs w:val="24"/>
        </w:rPr>
      </w:r>
    </w:p>
    <w:p>
      <w:pPr>
        <w:pStyle w:val="11"/>
        <w:ind w:firstLine="570"/>
        <w:jc w:val="both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  <w:lang w:eastAsia="en-US"/>
        </w:rPr>
        <w:t>7</w:t>
      </w:r>
      <w:r>
        <w:rPr>
          <w:rFonts w:ascii="Liberation Serif" w:hAnsi="Liberation Serif"/>
          <w:b/>
          <w:bCs/>
          <w:color w:val="000000"/>
          <w:sz w:val="24"/>
          <w:szCs w:val="24"/>
          <w:lang w:eastAsia="en-US"/>
        </w:rPr>
        <w:t>. Перечень и состав оказываемых услуг:</w:t>
      </w:r>
    </w:p>
    <w:p>
      <w:pPr>
        <w:pStyle w:val="11"/>
        <w:tabs>
          <w:tab w:val="clear" w:pos="709"/>
          <w:tab w:val="left" w:pos="913" w:leader="none"/>
        </w:tabs>
        <w:ind w:firstLine="567"/>
        <w:jc w:val="both"/>
        <w:rPr>
          <w:sz w:val="20"/>
          <w:szCs w:val="20"/>
        </w:rPr>
      </w:pPr>
      <w:r>
        <w:rPr>
          <w:rFonts w:ascii="Liberation Serif" w:hAnsi="Liberation Serif"/>
          <w:color w:val="000000"/>
          <w:sz w:val="24"/>
          <w:szCs w:val="24"/>
        </w:rPr>
        <w:t>7</w:t>
      </w:r>
      <w:r>
        <w:rPr>
          <w:rFonts w:ascii="Liberation Serif" w:hAnsi="Liberation Serif"/>
          <w:color w:val="000000"/>
          <w:sz w:val="24"/>
          <w:szCs w:val="24"/>
        </w:rPr>
        <w:t>.1.   Предварительное обследование объекта информатизации.</w:t>
      </w:r>
    </w:p>
    <w:p>
      <w:pPr>
        <w:pStyle w:val="11"/>
        <w:tabs>
          <w:tab w:val="clear" w:pos="709"/>
          <w:tab w:val="left" w:pos="913" w:leader="none"/>
        </w:tabs>
        <w:ind w:firstLine="567"/>
        <w:jc w:val="both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  <w:t>7</w:t>
      </w:r>
      <w:r>
        <w:rPr>
          <w:rFonts w:ascii="Liberation Serif" w:hAnsi="Liberation Serif"/>
          <w:color w:val="000000"/>
          <w:sz w:val="24"/>
          <w:szCs w:val="24"/>
        </w:rPr>
        <w:t>.2. Разработка и согласование установленным порядком программы и методики аттестационных испытаний.</w:t>
      </w:r>
    </w:p>
    <w:p>
      <w:pPr>
        <w:pStyle w:val="11"/>
        <w:tabs>
          <w:tab w:val="clear" w:pos="709"/>
          <w:tab w:val="left" w:pos="913" w:leader="none"/>
        </w:tabs>
        <w:ind w:firstLine="567"/>
        <w:jc w:val="both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  <w:t>7</w:t>
      </w:r>
      <w:r>
        <w:rPr>
          <w:rFonts w:ascii="Liberation Serif" w:hAnsi="Liberation Serif"/>
          <w:color w:val="000000"/>
          <w:sz w:val="24"/>
          <w:szCs w:val="24"/>
        </w:rPr>
        <w:t xml:space="preserve">.3.  По результатам аттестации </w:t>
      </w:r>
      <w:r>
        <w:rPr>
          <w:rFonts w:eastAsia="Times New Roman" w:ascii="Liberation Serif" w:hAnsi="Liberation Serif"/>
          <w:color w:val="000000"/>
          <w:sz w:val="24"/>
          <w:szCs w:val="24"/>
        </w:rPr>
        <w:t xml:space="preserve">объекта информатизации </w:t>
      </w:r>
      <w:r>
        <w:rPr>
          <w:rFonts w:ascii="Liberation Serif" w:hAnsi="Liberation Serif"/>
          <w:color w:val="000000"/>
          <w:sz w:val="24"/>
          <w:szCs w:val="24"/>
        </w:rPr>
        <w:t>на соответствие требованиям по защите информации, составляющей государственную тайну,</w:t>
      </w:r>
      <w:r>
        <w:rPr>
          <w:rFonts w:eastAsia="Times New Roman" w:ascii="Liberation Serif" w:hAnsi="Liberation Serif"/>
          <w:color w:val="000000"/>
          <w:sz w:val="24"/>
          <w:szCs w:val="24"/>
        </w:rPr>
        <w:t xml:space="preserve"> предоставляются </w:t>
      </w:r>
      <w:r>
        <w:rPr>
          <w:rFonts w:ascii="Liberation Serif" w:hAnsi="Liberation Serif"/>
          <w:color w:val="000000"/>
          <w:sz w:val="24"/>
          <w:szCs w:val="24"/>
        </w:rPr>
        <w:t>отчетные документы (акты, протоколы испытаний и заключений по результатам аттестационных испытаний с выводами комиссии о соответствии объектов информатизации требованиям по безопасности информации, выдача «Аттестата соответствия»).</w:t>
      </w:r>
    </w:p>
    <w:p>
      <w:pPr>
        <w:pStyle w:val="11"/>
        <w:tabs>
          <w:tab w:val="clear" w:pos="709"/>
          <w:tab w:val="left" w:pos="913" w:leader="none"/>
        </w:tabs>
        <w:ind w:firstLine="567"/>
        <w:jc w:val="both"/>
        <w:rPr>
          <w:rFonts w:ascii="Liberation Serif" w:hAnsi="Liberation Serif" w:eastAsia="Times New Roman"/>
          <w:color w:val="000000"/>
          <w:sz w:val="24"/>
          <w:szCs w:val="24"/>
        </w:rPr>
      </w:pPr>
      <w:r>
        <w:rPr>
          <w:rFonts w:eastAsia="Times New Roman" w:ascii="Liberation Serif" w:hAnsi="Liberation Serif"/>
          <w:color w:val="000000"/>
          <w:sz w:val="24"/>
          <w:szCs w:val="24"/>
        </w:rPr>
        <w:t>Отчетная документация должна быть разработана в соответствии с требованиями, предъявляемыми действующими ГОСТами, руководящими материалами и требованиями ФСТЭК России к оформлению к соответствующим типам технической и эксплуатационной документации.</w:t>
      </w:r>
    </w:p>
    <w:p>
      <w:pPr>
        <w:pStyle w:val="11"/>
        <w:tabs>
          <w:tab w:val="clear" w:pos="709"/>
          <w:tab w:val="left" w:pos="913" w:leader="none"/>
        </w:tabs>
        <w:ind w:firstLine="567"/>
        <w:jc w:val="both"/>
        <w:rPr>
          <w:rFonts w:eastAsia="Times New Roman"/>
          <w:b/>
          <w:sz w:val="20"/>
          <w:szCs w:val="20"/>
        </w:rPr>
      </w:pPr>
      <w:r>
        <w:rPr>
          <w:rFonts w:eastAsia="Times New Roman" w:ascii="Liberation Serif" w:hAnsi="Liberation Serif"/>
          <w:b/>
          <w:color w:val="000000"/>
          <w:sz w:val="24"/>
          <w:szCs w:val="24"/>
        </w:rPr>
      </w:r>
    </w:p>
    <w:p>
      <w:pPr>
        <w:pStyle w:val="11"/>
        <w:tabs>
          <w:tab w:val="clear" w:pos="709"/>
          <w:tab w:val="left" w:pos="913" w:leader="none"/>
        </w:tabs>
        <w:ind w:firstLine="567"/>
        <w:jc w:val="both"/>
        <w:rPr>
          <w:rFonts w:ascii="Liberation Serif" w:hAnsi="Liberation Serif"/>
          <w:color w:val="000000"/>
          <w:sz w:val="24"/>
          <w:szCs w:val="24"/>
        </w:rPr>
      </w:pPr>
      <w:r>
        <w:rPr>
          <w:rFonts w:eastAsia="Times New Roman" w:ascii="Liberation Serif" w:hAnsi="Liberation Serif"/>
          <w:b/>
          <w:color w:val="000000"/>
          <w:sz w:val="24"/>
          <w:szCs w:val="24"/>
        </w:rPr>
        <w:t>8</w:t>
      </w:r>
      <w:r>
        <w:rPr>
          <w:rFonts w:ascii="Liberation Serif" w:hAnsi="Liberation Serif"/>
          <w:b/>
          <w:color w:val="000000"/>
          <w:sz w:val="24"/>
          <w:szCs w:val="24"/>
        </w:rPr>
        <w:t>. Требования, предъявляемые к Исполнителю:</w:t>
      </w:r>
    </w:p>
    <w:p>
      <w:pPr>
        <w:pStyle w:val="11"/>
        <w:tabs>
          <w:tab w:val="clear" w:pos="709"/>
          <w:tab w:val="left" w:pos="913" w:leader="none"/>
        </w:tabs>
        <w:ind w:firstLine="567"/>
        <w:jc w:val="both"/>
        <w:rPr>
          <w:sz w:val="20"/>
          <w:szCs w:val="20"/>
        </w:rPr>
      </w:pPr>
      <w:r>
        <w:rPr>
          <w:rFonts w:ascii="Liberation Serif" w:hAnsi="Liberation Serif"/>
          <w:color w:val="000000"/>
          <w:sz w:val="24"/>
          <w:szCs w:val="24"/>
        </w:rPr>
        <w:t>Исполнитель должен иметь следующие действующие разрешительные документы:</w:t>
      </w:r>
    </w:p>
    <w:p>
      <w:pPr>
        <w:pStyle w:val="ConsPlusNormal"/>
        <w:ind w:firstLine="533" w:start="34" w:end="57"/>
        <w:jc w:val="both"/>
        <w:rPr>
          <w:rFonts w:ascii="Times New Roman" w:hAnsi="Times New Roman" w:cs="Times New Roman"/>
        </w:rPr>
      </w:pPr>
      <w:r>
        <w:rPr>
          <w:rFonts w:cs="Times New Roman" w:ascii="Liberation Serif" w:hAnsi="Liberation Serif"/>
          <w:color w:val="000000"/>
          <w:sz w:val="24"/>
          <w:szCs w:val="24"/>
        </w:rPr>
        <w:t>1) лицензия ФСБ России на осуществление работ с использованием сведений, составляющих государственную тайну(в случае, если лицензия выдана до 01.01.2021)</w:t>
      </w:r>
    </w:p>
    <w:p>
      <w:pPr>
        <w:pStyle w:val="ConsPlusNormal"/>
        <w:ind w:firstLine="533" w:start="34" w:end="57"/>
        <w:jc w:val="both"/>
        <w:rPr>
          <w:rFonts w:ascii="Times New Roman" w:hAnsi="Times New Roman"/>
        </w:rPr>
      </w:pPr>
      <w:r>
        <w:rPr>
          <w:rFonts w:ascii="Liberation Serif" w:hAnsi="Liberation Serif"/>
          <w:color w:val="000000"/>
          <w:sz w:val="24"/>
          <w:szCs w:val="24"/>
        </w:rPr>
        <w:t>и (или) выписка из реестра лицензий на вышеуказанный вид деятельности, по форме, утвержденной постановлением Правительства РФ от 29.12.2020 № 2343 «Об утверждении Правил формирования и ведения реестра лицензий и типовой формы выписки из реестра лицензий»</w:t>
      </w:r>
    </w:p>
    <w:p>
      <w:pPr>
        <w:pStyle w:val="Normal"/>
        <w:widowControl w:val="false"/>
        <w:bidi w:val="0"/>
        <w:ind w:firstLine="567"/>
        <w:jc w:val="both"/>
        <w:rPr>
          <w:rFonts w:ascii="Liberation Serif" w:hAnsi="Liberation Serif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 (или) сведения о записи в реестре лицензий, подтверждающей наличие права на осуществление разрешенных видов деятельности (видов услуг), составляющих лицензируемый вид деятельности.</w:t>
      </w:r>
    </w:p>
    <w:p>
      <w:pPr>
        <w:pStyle w:val="ConsPlusNormal"/>
        <w:ind w:firstLine="510" w:start="57" w:end="57"/>
        <w:jc w:val="both"/>
        <w:rPr>
          <w:rFonts w:ascii="Times New Roman" w:hAnsi="Times New Roman" w:cs="Times New Roman"/>
        </w:rPr>
      </w:pPr>
      <w:r>
        <w:rPr>
          <w:rFonts w:cs="Times New Roman" w:ascii="Liberation Serif" w:hAnsi="Liberation Serif"/>
          <w:color w:val="000000"/>
          <w:sz w:val="24"/>
          <w:szCs w:val="24"/>
        </w:rPr>
        <w:t>2) лицензия ФСТЭК России на осуществление мероприятий и (или) оказание услуг в области защиты государственной тайны (в части технической защиты информации) (в случае, если лицензия выдана до 01.01.2021)</w:t>
      </w:r>
    </w:p>
    <w:p>
      <w:pPr>
        <w:pStyle w:val="Normal"/>
        <w:bidi w:val="0"/>
        <w:ind w:firstLine="567"/>
        <w:jc w:val="both"/>
        <w:rPr>
          <w:rFonts w:ascii="Liberation Serif" w:hAnsi="Liberation Serif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 (или) выписка из реестра лицензий на вышеуказанный вид деятельности, по форме, утвержденной постановлением Правительства РФ от 29.12.2020 № 2343 «Об утверждении Правил формирования и ведения реестра лицензий и типовой формы выписки из реестра лицензий»</w:t>
      </w:r>
    </w:p>
    <w:p>
      <w:pPr>
        <w:pStyle w:val="Normal"/>
        <w:bidi w:val="0"/>
        <w:ind w:firstLine="567"/>
        <w:jc w:val="both"/>
        <w:rPr>
          <w:rFonts w:ascii="Liberation Serif" w:hAnsi="Liberation Serif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 (или) сведения о записи в реестре лицензий, подтверждающей наличие права на осуществление разрешенных видов деятельности (видов услуг), составляющих лицензируемый вид деятельности.</w:t>
      </w:r>
    </w:p>
    <w:p>
      <w:pPr>
        <w:pStyle w:val="ConsPlusNormal"/>
        <w:ind w:firstLine="533" w:start="34" w:end="57"/>
        <w:jc w:val="both"/>
        <w:rPr>
          <w:rFonts w:ascii="Times New Roman" w:hAnsi="Times New Roman" w:cs="Times New Roman"/>
        </w:rPr>
      </w:pPr>
      <w:r>
        <w:rPr>
          <w:rFonts w:cs="Times New Roman" w:ascii="Liberation Serif" w:hAnsi="Liberation Serif"/>
          <w:color w:val="000000"/>
          <w:sz w:val="24"/>
          <w:szCs w:val="24"/>
        </w:rPr>
        <w:t>3) Лицензия ФСТЭК России на проведение работ, связанных с созданием средств защиты информации (в случае, если лицензия выдана до 01.01.2021)</w:t>
      </w:r>
    </w:p>
    <w:p>
      <w:pPr>
        <w:pStyle w:val="Normal"/>
        <w:bidi w:val="0"/>
        <w:ind w:firstLine="567"/>
        <w:jc w:val="both"/>
        <w:rPr>
          <w:rFonts w:ascii="Liberation Serif" w:hAnsi="Liberation Serif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 (или) выписка из реестра лицензий на вышеуказанный вид деятельности, по форме, утвержденной постановлением Правительства РФ от 29.12.2020 № 2343 «Об утверждении Правил формирования и ведения реестра лицензий и типовой формы выписки из реестра лицензий»</w:t>
      </w:r>
    </w:p>
    <w:p>
      <w:pPr>
        <w:pStyle w:val="Normal"/>
        <w:widowControl w:val="false"/>
        <w:bidi w:val="0"/>
        <w:ind w:firstLine="567"/>
        <w:jc w:val="both"/>
        <w:rPr>
          <w:rFonts w:ascii="Liberation Serif" w:hAnsi="Liberation Serif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 (или) сведения о записи в реестре лицензий, подтверждающей наличие права на осуществление разрешенных видов деятельности (видов услуг), составляющих лицензируемый вид деятельности.</w:t>
      </w:r>
    </w:p>
    <w:p>
      <w:pPr>
        <w:pStyle w:val="ConsPlusNormal"/>
        <w:ind w:firstLine="533" w:start="34" w:end="57"/>
        <w:jc w:val="both"/>
        <w:rPr>
          <w:rFonts w:ascii="Liberation Serif" w:hAnsi="Liberation Serif" w:cs="Times New Roman"/>
          <w:i/>
          <w:i/>
          <w:color w:val="000000"/>
          <w:sz w:val="24"/>
          <w:szCs w:val="24"/>
        </w:rPr>
      </w:pPr>
      <w:r>
        <w:rPr>
          <w:rFonts w:cs="Times New Roman" w:ascii="Liberation Serif" w:hAnsi="Liberation Serif"/>
          <w:i/>
          <w:color w:val="000000"/>
          <w:sz w:val="24"/>
          <w:szCs w:val="24"/>
        </w:rPr>
      </w:r>
    </w:p>
    <w:p>
      <w:pPr>
        <w:pStyle w:val="11"/>
        <w:ind w:firstLine="567"/>
        <w:jc w:val="both"/>
        <w:rPr>
          <w:b/>
          <w:sz w:val="20"/>
          <w:szCs w:val="20"/>
        </w:rPr>
      </w:pPr>
      <w:r>
        <w:rPr>
          <w:rFonts w:ascii="Liberation Serif" w:hAnsi="Liberation Serif"/>
          <w:b/>
          <w:color w:val="000000"/>
          <w:sz w:val="24"/>
          <w:szCs w:val="24"/>
        </w:rPr>
        <w:t>9</w:t>
      </w:r>
      <w:r>
        <w:rPr>
          <w:rFonts w:ascii="Liberation Serif" w:hAnsi="Liberation Serif"/>
          <w:b/>
          <w:color w:val="000000"/>
          <w:sz w:val="24"/>
          <w:szCs w:val="24"/>
        </w:rPr>
        <w:t>. Требования по обеспечению режима секретности и организации доступа к объектам.</w:t>
      </w:r>
    </w:p>
    <w:p>
      <w:pPr>
        <w:pStyle w:val="11"/>
        <w:ind w:firstLine="567"/>
        <w:jc w:val="both"/>
        <w:rPr>
          <w:sz w:val="20"/>
          <w:szCs w:val="20"/>
        </w:rPr>
      </w:pPr>
      <w:r>
        <w:rPr>
          <w:rFonts w:ascii="Liberation Serif" w:hAnsi="Liberation Serif"/>
          <w:color w:val="000000"/>
          <w:sz w:val="24"/>
          <w:szCs w:val="24"/>
        </w:rPr>
        <w:t xml:space="preserve">Целью и задачами обеспечения режима секретности при оказании услуг является предотвращение возможности утечки сведений, составляющих государственную тайну, о проводимой работе, о ходе  ее выполнения и полученных результатах. </w:t>
      </w:r>
    </w:p>
    <w:p>
      <w:pPr>
        <w:pStyle w:val="Normal"/>
        <w:bidi w:val="0"/>
        <w:ind w:firstLine="567"/>
        <w:jc w:val="both"/>
        <w:rPr>
          <w:rFonts w:ascii="Liberation Serif" w:hAnsi="Liberation Serif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Все услуги по защите информации, относящейся к государственной тайне, должны проводиться в соответствии с нормативно-методической документацией ФСТЭК России, ФСБ России и требованиями, изложенными в Требованиях по технической защите информации, содержащей сведения, составляющие государственную тайну.</w:t>
      </w:r>
    </w:p>
    <w:p>
      <w:pPr>
        <w:pStyle w:val="Normal"/>
        <w:bidi w:val="0"/>
        <w:ind w:firstLine="567"/>
        <w:jc w:val="both"/>
        <w:rPr>
          <w:rFonts w:ascii="Liberation Serif" w:hAnsi="Liberation Serif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Исполнитель обязан иметь допуск, к сведениям составляющих государственную тайну, не разглашать и не использовать информацию, принадлежащую Заказчику, которая может стать ему известной в ходе оказания услуг.</w:t>
      </w:r>
    </w:p>
    <w:p>
      <w:pPr>
        <w:pStyle w:val="11"/>
        <w:ind w:firstLine="570"/>
        <w:jc w:val="both"/>
        <w:rPr>
          <w:sz w:val="20"/>
          <w:szCs w:val="20"/>
        </w:rPr>
      </w:pPr>
      <w:r>
        <w:rPr>
          <w:rFonts w:ascii="Liberation Serif" w:hAnsi="Liberation Serif"/>
          <w:color w:val="000000"/>
          <w:sz w:val="24"/>
          <w:szCs w:val="24"/>
        </w:rPr>
        <w:t xml:space="preserve">Допуск сотрудников Исполнителя на объект будет осуществляться после предъявления документа, удостоверяющего личность, справки-допуска к сведениям, составляющим государственную тайну и предписания на оказание услуг. </w:t>
      </w:r>
    </w:p>
    <w:p>
      <w:pPr>
        <w:pStyle w:val="ConsPlusNormal"/>
        <w:ind w:firstLine="533" w:start="34" w:end="57"/>
        <w:jc w:val="both"/>
        <w:rPr>
          <w:rFonts w:ascii="Times New Roman" w:hAnsi="Times New Roman" w:cs="Times New Roman"/>
        </w:rPr>
      </w:pPr>
      <w:r>
        <w:rPr>
          <w:rFonts w:cs="Times New Roman" w:ascii="Liberation Serif" w:hAnsi="Liberation Serif"/>
          <w:color w:val="000000"/>
          <w:sz w:val="24"/>
          <w:szCs w:val="24"/>
        </w:rPr>
        <w:t>Исполнитель должен быть обеспечен необходимым технически исправным и отвечающим государственным нормативным требованиям оборудованием, поверенной контрольно-измерительной аппаратурой и расходным материалом для оказания услуг.</w:t>
      </w:r>
    </w:p>
    <w:p>
      <w:pPr>
        <w:pStyle w:val="ConsPlusNormal"/>
        <w:ind w:firstLine="533" w:start="34" w:end="57"/>
        <w:jc w:val="both"/>
        <w:rPr>
          <w:rFonts w:ascii="Times New Roman" w:hAnsi="Times New Roman"/>
        </w:rPr>
      </w:pPr>
      <w:r>
        <w:rPr>
          <w:rFonts w:ascii="Liberation Serif" w:hAnsi="Liberation Serif"/>
          <w:color w:val="000000"/>
          <w:sz w:val="24"/>
          <w:szCs w:val="24"/>
        </w:rPr>
        <w:t>Контрольно-измерительная аппаратура и инструменты должны находиться в технически исправном состоянии и иметь акты о поверке.</w:t>
      </w:r>
    </w:p>
    <w:p>
      <w:pPr>
        <w:pStyle w:val="ConsPlusNormal"/>
        <w:ind w:firstLine="533" w:start="34" w:end="57"/>
        <w:jc w:val="both"/>
        <w:rPr>
          <w:rFonts w:ascii="Times New Roman" w:hAnsi="Times New Roman"/>
        </w:rPr>
      </w:pPr>
      <w:r>
        <w:rPr>
          <w:rFonts w:ascii="Liberation Serif" w:hAnsi="Liberation Serif"/>
          <w:color w:val="000000"/>
          <w:sz w:val="24"/>
          <w:szCs w:val="24"/>
        </w:rPr>
        <w:t>Доставку инструмента, контрольно-измерительной аппаратуры, расходного материала и работников для оказания услуг Исполнитель осуществляет своими силами и за счет собственных средств.</w:t>
      </w:r>
    </w:p>
    <w:p>
      <w:pPr>
        <w:pStyle w:val="Normal"/>
        <w:bidi w:val="0"/>
        <w:ind w:firstLine="708"/>
        <w:jc w:val="both"/>
        <w:rPr>
          <w:rFonts w:ascii="Liberation Serif" w:hAnsi="Liberation Serif"/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bidi w:val="0"/>
        <w:ind w:firstLine="708"/>
        <w:jc w:val="both"/>
        <w:rPr>
          <w:rFonts w:ascii="Liberation Serif" w:hAnsi="Liberation Serif"/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11"/>
        <w:ind w:firstLine="708"/>
        <w:rPr>
          <w:b/>
          <w:sz w:val="20"/>
          <w:szCs w:val="20"/>
        </w:rPr>
      </w:pPr>
      <w:r>
        <w:rPr>
          <w:rFonts w:ascii="Liberation Serif" w:hAnsi="Liberation Serif"/>
          <w:b/>
          <w:color w:val="000000"/>
          <w:sz w:val="24"/>
          <w:szCs w:val="24"/>
        </w:rPr>
        <w:t>10</w:t>
      </w:r>
      <w:r>
        <w:rPr>
          <w:rFonts w:ascii="Liberation Serif" w:hAnsi="Liberation Serif"/>
          <w:b/>
          <w:color w:val="000000"/>
          <w:sz w:val="24"/>
          <w:szCs w:val="24"/>
        </w:rPr>
        <w:t>. Требования к качеству услуг</w:t>
      </w:r>
    </w:p>
    <w:p>
      <w:pPr>
        <w:pStyle w:val="11"/>
        <w:ind w:firstLine="708"/>
        <w:jc w:val="both"/>
        <w:rPr>
          <w:sz w:val="20"/>
          <w:szCs w:val="20"/>
        </w:rPr>
      </w:pPr>
      <w:r>
        <w:rPr>
          <w:rFonts w:ascii="Liberation Serif" w:hAnsi="Liberation Serif"/>
          <w:color w:val="000000"/>
          <w:sz w:val="24"/>
          <w:szCs w:val="24"/>
        </w:rPr>
        <w:t>Заказчик должен иметь возможность в любой момент произвести оценку качества предоставляемых Исполнителем услуг.</w:t>
      </w:r>
    </w:p>
    <w:p>
      <w:pPr>
        <w:pStyle w:val="11"/>
        <w:ind w:firstLine="708"/>
        <w:jc w:val="both"/>
        <w:rPr>
          <w:sz w:val="20"/>
          <w:szCs w:val="20"/>
        </w:rPr>
      </w:pPr>
      <w:r>
        <w:rPr>
          <w:rFonts w:ascii="Liberation Serif" w:hAnsi="Liberation Serif"/>
          <w:color w:val="000000"/>
          <w:sz w:val="24"/>
          <w:szCs w:val="24"/>
        </w:rPr>
        <w:t>В случае несоответствия оказанных услуг и документации требованиям действующих нормативно-технических и методических документов, Исполнитель устраняет выявленные недостатки за свой счет.</w:t>
      </w:r>
    </w:p>
    <w:p>
      <w:pPr>
        <w:pStyle w:val="11"/>
        <w:ind w:firstLine="570"/>
        <w:jc w:val="both"/>
        <w:rPr>
          <w:sz w:val="20"/>
          <w:szCs w:val="20"/>
        </w:rPr>
      </w:pPr>
      <w:r>
        <w:rPr>
          <w:rFonts w:ascii="Liberation Serif" w:hAnsi="Liberation Serif"/>
          <w:color w:val="000000"/>
          <w:sz w:val="24"/>
          <w:szCs w:val="24"/>
        </w:rPr>
      </w:r>
    </w:p>
    <w:p>
      <w:pPr>
        <w:pStyle w:val="Normal"/>
        <w:bidi w:val="0"/>
        <w:ind w:firstLine="709"/>
        <w:jc w:val="start"/>
        <w:rPr>
          <w:rFonts w:ascii="Liberation Serif" w:hAnsi="Liberation Serif"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1</w:t>
      </w:r>
      <w:r>
        <w:rPr>
          <w:b/>
          <w:bCs/>
          <w:color w:val="000000"/>
          <w:sz w:val="24"/>
          <w:szCs w:val="24"/>
        </w:rPr>
        <w:t>1</w:t>
      </w:r>
      <w:r>
        <w:rPr>
          <w:b/>
          <w:bCs/>
          <w:color w:val="000000"/>
          <w:sz w:val="24"/>
          <w:szCs w:val="24"/>
        </w:rPr>
        <w:t>. Требования к гарантийным обязательствам</w:t>
      </w:r>
    </w:p>
    <w:p>
      <w:pPr>
        <w:pStyle w:val="Normal"/>
        <w:bidi w:val="0"/>
        <w:ind w:firstLine="709"/>
        <w:jc w:val="both"/>
        <w:rPr>
          <w:rFonts w:ascii="Liberation Serif" w:hAnsi="Liberation Serif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Гарантийный срок на оказанные услуги составляет один год со дня исполнения обязательств.</w:t>
      </w:r>
    </w:p>
    <w:p>
      <w:pPr>
        <w:pStyle w:val="Normal"/>
        <w:bidi w:val="0"/>
        <w:ind w:firstLine="709"/>
        <w:jc w:val="both"/>
        <w:rPr>
          <w:rFonts w:ascii="Liberation Serif" w:hAnsi="Liberation Serif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случае предъявления контрольными органами претензий Заказчику по полноте выполненных работ и документации, Исполнитель устраняет замечания за свой счет.</w:t>
      </w:r>
    </w:p>
    <w:p>
      <w:pPr>
        <w:pStyle w:val="Normal"/>
        <w:bidi w:val="0"/>
        <w:ind w:firstLine="709"/>
        <w:jc w:val="both"/>
        <w:rPr>
          <w:b/>
          <w:bCs/>
          <w:lang w:eastAsia="en-US"/>
        </w:rPr>
      </w:pPr>
      <w:r>
        <w:rPr>
          <w:color w:val="000000"/>
          <w:sz w:val="24"/>
          <w:szCs w:val="24"/>
        </w:rPr>
      </w:r>
    </w:p>
    <w:p>
      <w:pPr>
        <w:pStyle w:val="1"/>
        <w:tabs>
          <w:tab w:val="clear" w:pos="709"/>
          <w:tab w:val="left" w:pos="1134" w:leader="none"/>
        </w:tabs>
        <w:bidi w:val="0"/>
        <w:spacing w:lineRule="auto" w:line="240" w:before="0" w:after="0"/>
        <w:ind w:hanging="0" w:start="0"/>
        <w:contextualSpacing/>
        <w:jc w:val="both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</w:r>
    </w:p>
    <w:p>
      <w:pPr>
        <w:pStyle w:val="Normal"/>
        <w:bidi w:val="0"/>
        <w:ind w:firstLine="283" w:start="0" w:end="0"/>
        <w:jc w:val="both"/>
        <w:rPr>
          <w:rFonts w:ascii="Liberation Serif" w:hAnsi="Liberation Serif"/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sectPr>
      <w:type w:val="nextPage"/>
      <w:pgSz w:w="11906" w:h="16838"/>
      <w:pgMar w:left="1134" w:right="902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Open Sans">
    <w:charset w:val="01" w:characterSet="utf-8"/>
    <w:family w:val="swiss"/>
    <w:pitch w:val="variable"/>
  </w:font>
  <w:font w:name="Calibri"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Arial">
    <w:charset w:val="01" w:characterSet="utf-8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start"/>
      <w:pPr>
        <w:tabs>
          <w:tab w:val="num" w:pos="0"/>
        </w:tabs>
        <w:ind w:start="0" w:hanging="0"/>
      </w:pPr>
    </w:lvl>
    <w:lvl w:ilvl="1">
      <w:start w:val="1"/>
      <w:pStyle w:val="Heading2"/>
      <w:numFmt w:val="none"/>
      <w:suff w:val="nothing"/>
      <w:lvlText w:val="%2"/>
      <w:lvlJc w:val="start"/>
      <w:pPr>
        <w:tabs>
          <w:tab w:val="num" w:pos="0"/>
        </w:tabs>
        <w:ind w:start="0" w:hanging="0"/>
      </w:pPr>
    </w:lvl>
    <w:lvl w:ilvl="2">
      <w:start w:val="1"/>
      <w:pStyle w:val="Heading3"/>
      <w:numFmt w:val="none"/>
      <w:suff w:val="nothing"/>
      <w:lvlText w:val="%3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%4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%5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%6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%7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%8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%9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Tahoma" w:cs="Lohit Devanagari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Tahoma" w:cs="Lohit Devanagari"/>
      <w:color w:val="auto"/>
      <w:kern w:val="2"/>
      <w:sz w:val="24"/>
      <w:szCs w:val="24"/>
      <w:lang w:val="ru-RU" w:eastAsia="zh-CN" w:bidi="hi-IN"/>
    </w:rPr>
  </w:style>
  <w:style w:type="paragraph" w:styleId="Heading2">
    <w:name w:val="Heading 2"/>
    <w:basedOn w:val="Style12"/>
    <w:next w:val="BodyText"/>
    <w:qFormat/>
    <w:pPr>
      <w:numPr>
        <w:ilvl w:val="1"/>
        <w:numId w:val="1"/>
      </w:numPr>
      <w:spacing w:before="200" w:after="120"/>
      <w:outlineLvl w:val="1"/>
    </w:pPr>
    <w:rPr>
      <w:b/>
      <w:bCs/>
      <w:sz w:val="32"/>
      <w:szCs w:val="32"/>
    </w:rPr>
  </w:style>
  <w:style w:type="paragraph" w:styleId="Heading3">
    <w:name w:val="Heading 3"/>
    <w:basedOn w:val="Style12"/>
    <w:next w:val="BodyText"/>
    <w:qFormat/>
    <w:pPr>
      <w:numPr>
        <w:ilvl w:val="2"/>
        <w:numId w:val="1"/>
      </w:numPr>
      <w:spacing w:before="140" w:after="120"/>
      <w:outlineLvl w:val="2"/>
    </w:pPr>
    <w:rPr>
      <w:b/>
      <w:bCs/>
      <w:sz w:val="28"/>
      <w:szCs w:val="28"/>
    </w:rPr>
  </w:style>
  <w:style w:type="character" w:styleId="Emphasis">
    <w:name w:val="Emphasis"/>
    <w:qFormat/>
    <w:rPr>
      <w:i/>
      <w:iCs/>
    </w:rPr>
  </w:style>
  <w:style w:type="paragraph" w:styleId="Style12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Tahoma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Lohit Devanagari"/>
    </w:rPr>
  </w:style>
  <w:style w:type="paragraph" w:styleId="1">
    <w:name w:val="Абзац списка1"/>
    <w:basedOn w:val="Normal"/>
    <w:qFormat/>
    <w:pPr>
      <w:ind w:start="720"/>
    </w:pPr>
    <w:rPr>
      <w:rFonts w:ascii="Calibri" w:hAnsi="Calibri" w:eastAsia="Times New Roman" w:cs="Times New Roman"/>
      <w:lang w:eastAsia="en-US"/>
    </w:rPr>
  </w:style>
  <w:style w:type="paragraph" w:styleId="11">
    <w:name w:val="Без интервала1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star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>
    <w:name w:val="ConsPlusNormal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ind w:firstLine="720"/>
      <w:jc w:val="star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Style14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280</TotalTime>
  <Application>LibreOffice/7.6.7.2$Linux_X86_64 LibreOffice_project/60$Build-2</Application>
  <AppVersion>15.0000</AppVersion>
  <Pages>4</Pages>
  <Words>1026</Words>
  <Characters>7436</Characters>
  <CharactersWithSpaces>8505</CharactersWithSpaces>
  <Paragraphs>105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2026-05-29T12:42:55Z</dcterms:created>
  <dc:creator/>
  <dc:description/>
  <dc:language>ru-RU</dc:language>
  <cp:lastModifiedBy/>
  <cp:lastPrinted>2026-05-29T13:55:33Z</cp:lastPrinted>
  <dcterms:modified xsi:type="dcterms:W3CDTF">2026-08-12T13:06:31Z</dcterms:modified>
  <cp:revision>16</cp:revision>
  <dc:subject/>
  <dc:title/>
</cp:coreProperties>
</file>