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ind w:firstLine="0"/>
        <w:jc w:val="right"/>
        <w:spacing w:line="240" w:lineRule="auto"/>
        <w:rPr>
          <w:rFonts w:eastAsia="Times New Roman"/>
          <w:color w:val="0d0d0d"/>
          <w:spacing w:val="0"/>
          <w:sz w:val="20"/>
          <w:szCs w:val="20"/>
          <w:lang w:eastAsia="ru-RU"/>
        </w:rPr>
      </w:pPr>
      <w:r>
        <w:rPr>
          <w:rFonts w:eastAsia="Times New Roman"/>
          <w:color w:val="0d0d0d"/>
          <w:spacing w:val="0"/>
          <w:sz w:val="20"/>
          <w:szCs w:val="20"/>
          <w:lang w:eastAsia="ru-RU"/>
        </w:rPr>
      </w:r>
      <w:r>
        <w:rPr>
          <w:rFonts w:eastAsia="Times New Roman"/>
          <w:color w:val="0d0d0d"/>
          <w:spacing w:val="0"/>
          <w:sz w:val="20"/>
          <w:szCs w:val="20"/>
          <w:lang w:eastAsia="ru-RU"/>
        </w:rPr>
      </w:r>
      <w:r>
        <w:rPr>
          <w:rFonts w:eastAsia="Times New Roman"/>
          <w:color w:val="0d0d0d"/>
          <w:spacing w:val="0"/>
          <w:sz w:val="20"/>
          <w:szCs w:val="20"/>
          <w:lang w:eastAsia="ru-RU"/>
        </w:rPr>
      </w:r>
    </w:p>
    <w:p>
      <w:pPr>
        <w:contextualSpacing w:val="0"/>
        <w:ind w:firstLine="0"/>
        <w:jc w:val="right"/>
        <w:spacing w:line="240" w:lineRule="auto"/>
        <w:rPr>
          <w:rFonts w:eastAsia="Times New Roman"/>
          <w:color w:val="0d0d0d"/>
          <w:spacing w:val="0"/>
          <w:sz w:val="20"/>
          <w:szCs w:val="20"/>
          <w:lang w:eastAsia="ru-RU"/>
        </w:rPr>
      </w:pPr>
      <w:r/>
      <w:bookmarkStart w:id="0" w:name="_GoBack"/>
      <w:r/>
      <w:bookmarkEnd w:id="0"/>
      <w:r>
        <w:rPr>
          <w:rFonts w:eastAsia="Times New Roman"/>
          <w:color w:val="0d0d0d"/>
          <w:spacing w:val="0"/>
          <w:sz w:val="20"/>
          <w:szCs w:val="20"/>
          <w:lang w:eastAsia="ru-RU"/>
        </w:rPr>
      </w:r>
      <w:r>
        <w:rPr>
          <w:rFonts w:eastAsia="Times New Roman"/>
          <w:color w:val="0d0d0d"/>
          <w:spacing w:val="0"/>
          <w:sz w:val="20"/>
          <w:szCs w:val="20"/>
          <w:lang w:eastAsia="ru-RU"/>
        </w:rPr>
      </w:r>
    </w:p>
    <w:p>
      <w:pPr>
        <w:contextualSpacing w:val="0"/>
        <w:ind w:firstLine="0"/>
        <w:jc w:val="center"/>
        <w:spacing w:line="240" w:lineRule="auto"/>
        <w:rPr>
          <w:rFonts w:eastAsia="Times New Roman"/>
          <w:b/>
          <w:color w:val="0d0d0d"/>
          <w:spacing w:val="0"/>
          <w:szCs w:val="24"/>
          <w:lang w:eastAsia="ru-RU"/>
        </w:rPr>
      </w:pPr>
      <w:r>
        <w:rPr>
          <w:rFonts w:eastAsia="Times New Roman"/>
          <w:b/>
          <w:color w:val="0d0d0d"/>
          <w:spacing w:val="0"/>
          <w:szCs w:val="24"/>
          <w:lang w:eastAsia="ru-RU"/>
        </w:rPr>
        <w:t xml:space="preserve">ТЕХНИЧЕСКОЕ ЗАДАНИЕ</w:t>
      </w:r>
      <w:r>
        <w:rPr>
          <w:rFonts w:eastAsia="Times New Roman"/>
          <w:b/>
          <w:color w:val="0d0d0d"/>
          <w:spacing w:val="0"/>
          <w:szCs w:val="24"/>
          <w:lang w:eastAsia="ru-RU"/>
        </w:rPr>
      </w:r>
      <w:r>
        <w:rPr>
          <w:rFonts w:eastAsia="Times New Roman"/>
          <w:b/>
          <w:color w:val="0d0d0d"/>
          <w:spacing w:val="0"/>
          <w:szCs w:val="24"/>
          <w:lang w:eastAsia="ru-RU"/>
        </w:rPr>
      </w:r>
    </w:p>
    <w:p>
      <w:pPr>
        <w:contextualSpacing w:val="0"/>
        <w:ind w:firstLine="0"/>
        <w:jc w:val="center"/>
        <w:spacing w:line="240" w:lineRule="auto"/>
        <w:rPr>
          <w:b/>
          <w:bCs/>
          <w:szCs w:val="24"/>
        </w:rPr>
        <w:suppressLineNumbers/>
      </w:pPr>
      <w:r>
        <w:rPr>
          <w:b/>
          <w:bCs/>
          <w:szCs w:val="24"/>
        </w:rPr>
        <w:t xml:space="preserve">на поставку терминалов </w:t>
      </w:r>
      <w:r>
        <w:rPr>
          <w:b/>
          <w:bCs/>
          <w:szCs w:val="24"/>
          <w:lang w:val="en-US"/>
        </w:rPr>
        <w:t xml:space="preserve">IP</w:t>
      </w:r>
      <w:r>
        <w:rPr>
          <w:b/>
          <w:bCs/>
          <w:szCs w:val="24"/>
        </w:rPr>
        <w:t xml:space="preserve"> телефонии </w:t>
      </w:r>
      <w:r>
        <w:rPr>
          <w:b/>
          <w:bCs/>
          <w:szCs w:val="24"/>
        </w:rPr>
      </w:r>
      <w:r>
        <w:rPr>
          <w:b/>
          <w:bCs/>
          <w:szCs w:val="24"/>
        </w:rPr>
      </w:r>
    </w:p>
    <w:p>
      <w:pPr>
        <w:contextualSpacing w:val="0"/>
        <w:ind w:firstLine="0"/>
        <w:jc w:val="right"/>
        <w:spacing w:line="240" w:lineRule="auto"/>
        <w:rPr>
          <w:spacing w:val="0"/>
          <w:sz w:val="12"/>
          <w:szCs w:val="12"/>
        </w:rPr>
        <w:suppressLineNumbers/>
      </w:pPr>
      <w:r>
        <w:rPr>
          <w:spacing w:val="0"/>
          <w:sz w:val="12"/>
          <w:szCs w:val="12"/>
        </w:rPr>
      </w:r>
      <w:r>
        <w:rPr>
          <w:spacing w:val="0"/>
          <w:sz w:val="12"/>
          <w:szCs w:val="12"/>
        </w:rPr>
      </w:r>
      <w:r>
        <w:rPr>
          <w:spacing w:val="0"/>
          <w:sz w:val="12"/>
          <w:szCs w:val="12"/>
        </w:rPr>
      </w:r>
    </w:p>
    <w:p>
      <w:pPr>
        <w:numPr>
          <w:ilvl w:val="0"/>
          <w:numId w:val="2"/>
        </w:numPr>
        <w:contextualSpacing w:val="0"/>
        <w:ind w:left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0"/>
      </w:pPr>
      <w:r>
        <w:rPr>
          <w:rFonts w:eastAsia="Times New Roman"/>
          <w:b/>
          <w:spacing w:val="0"/>
          <w:szCs w:val="24"/>
          <w:lang w:eastAsia="ru-RU"/>
        </w:rPr>
        <w:t xml:space="preserve">Общие положения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numPr>
          <w:ilvl w:val="1"/>
          <w:numId w:val="2"/>
        </w:numPr>
        <w:contextualSpacing w:val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eastAsia="Times New Roman"/>
          <w:b/>
          <w:spacing w:val="0"/>
          <w:szCs w:val="24"/>
          <w:lang w:eastAsia="ru-RU"/>
        </w:rPr>
        <w:t xml:space="preserve">Наименование объекта закупки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pStyle w:val="859"/>
        <w:numPr>
          <w:ilvl w:val="0"/>
          <w:numId w:val="0"/>
        </w:numPr>
        <w:ind w:right="-6"/>
        <w:jc w:val="left"/>
        <w:spacing w:line="240" w:lineRule="auto"/>
        <w:widowControl w:val="off"/>
        <w:rPr>
          <w:color w:val="000000"/>
          <w:spacing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pacing w:val="0"/>
          <w:szCs w:val="24"/>
        </w:rPr>
        <w:t xml:space="preserve">Поставка терминалов IP телефонии (далее - Товар).</w:t>
      </w:r>
      <w:r>
        <w:rPr>
          <w:color w:val="000000"/>
          <w:spacing w:val="0"/>
          <w:szCs w:val="24"/>
        </w:rPr>
      </w:r>
      <w:r>
        <w:rPr>
          <w:color w:val="000000"/>
          <w:spacing w:val="0"/>
          <w:szCs w:val="24"/>
        </w:rPr>
      </w:r>
    </w:p>
    <w:p>
      <w:pPr>
        <w:pStyle w:val="859"/>
        <w:numPr>
          <w:ilvl w:val="0"/>
          <w:numId w:val="0"/>
        </w:numPr>
        <w:ind w:right="-6"/>
        <w:jc w:val="left"/>
        <w:spacing w:line="240" w:lineRule="auto"/>
        <w:widowControl w:val="off"/>
        <w:rPr>
          <w:color w:val="000000"/>
          <w:spacing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pacing w:val="0"/>
          <w:szCs w:val="24"/>
        </w:rPr>
        <w:t xml:space="preserve">КТРУ: 26.30.11.110-00000048</w:t>
      </w:r>
      <w:r>
        <w:rPr>
          <w:color w:val="000000"/>
          <w:spacing w:val="0"/>
          <w:szCs w:val="24"/>
        </w:rPr>
      </w:r>
      <w:r>
        <w:rPr>
          <w:color w:val="000000"/>
          <w:spacing w:val="0"/>
          <w:szCs w:val="24"/>
        </w:rPr>
      </w:r>
    </w:p>
    <w:p>
      <w:pPr>
        <w:numPr>
          <w:ilvl w:val="1"/>
          <w:numId w:val="2"/>
        </w:numPr>
        <w:contextualSpacing w:val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eastAsia="Times New Roman"/>
          <w:b/>
          <w:spacing w:val="0"/>
          <w:szCs w:val="24"/>
          <w:lang w:eastAsia="ru-RU"/>
        </w:rPr>
        <w:t xml:space="preserve">Источник финансирования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ind w:firstLine="0"/>
        <w:spacing w:line="240" w:lineRule="auto"/>
        <w:rPr>
          <w:color w:val="000000"/>
          <w:spacing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pacing w:val="0"/>
          <w:szCs w:val="24"/>
        </w:rPr>
        <w:t xml:space="preserve">Средства субсидии из федерального бюджета Российской Федерации предоставленной в соответствии с абзацем вторым пункта 1 статьи 78.1 Бюджетного кодекса Российской Федерации </w:t>
      </w:r>
      <w:r>
        <w:rPr>
          <w:color w:val="000000" w:themeColor="text1"/>
          <w:highlight w:val="white"/>
        </w:rPr>
        <w:t xml:space="preserve">(КВР – 244, код цели </w:t>
      </w:r>
      <w:r>
        <w:rPr>
          <w:color w:val="000000" w:themeColor="text1"/>
        </w:rPr>
      </w:r>
      <w:r>
        <w:rPr>
          <w:color w:val="000000" w:themeColor="text1"/>
        </w:rPr>
        <w:t xml:space="preserve">08-18-Т8 73520</w:t>
      </w:r>
      <w:r>
        <w:rPr>
          <w:color w:val="000000" w:themeColor="text1"/>
        </w:rPr>
      </w:r>
      <w:r>
        <w:rPr>
          <w:color w:val="000000" w:themeColor="text1"/>
          <w:highlight w:val="white"/>
        </w:rPr>
        <w:t xml:space="preserve">).</w:t>
      </w:r>
      <w:r>
        <w:rPr>
          <w:color w:val="000000"/>
          <w:spacing w:val="0"/>
          <w:szCs w:val="24"/>
        </w:rPr>
      </w:r>
      <w:r>
        <w:rPr>
          <w:color w:val="000000"/>
          <w:spacing w:val="0"/>
          <w:szCs w:val="24"/>
        </w:rPr>
      </w:r>
    </w:p>
    <w:p>
      <w:pPr>
        <w:numPr>
          <w:ilvl w:val="1"/>
          <w:numId w:val="2"/>
        </w:numPr>
        <w:contextualSpacing w:val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/>
      <w:bookmarkStart w:id="1" w:name="_30j0zll"/>
      <w:r/>
      <w:bookmarkStart w:id="2" w:name="_1fob9te"/>
      <w:r/>
      <w:bookmarkStart w:id="3" w:name="_3znysh7"/>
      <w:r/>
      <w:bookmarkEnd w:id="1"/>
      <w:r/>
      <w:bookmarkEnd w:id="2"/>
      <w:r/>
      <w:bookmarkEnd w:id="3"/>
      <w:r>
        <w:rPr>
          <w:rFonts w:eastAsia="Times New Roman"/>
          <w:b/>
          <w:spacing w:val="0"/>
          <w:szCs w:val="24"/>
          <w:lang w:eastAsia="ru-RU"/>
        </w:rPr>
        <w:t xml:space="preserve">Срок поставки Товара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contextualSpacing w:val="0"/>
        <w:ind w:firstLine="0"/>
        <w:jc w:val="left"/>
        <w:spacing w:line="240" w:lineRule="auto"/>
        <w:rPr>
          <w:rFonts w:eastAsia="Times New Roman"/>
          <w:color w:val="000000"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Times New Roman"/>
          <w:color w:val="000000"/>
          <w:spacing w:val="0"/>
          <w:szCs w:val="24"/>
          <w:lang w:eastAsia="ru-RU"/>
        </w:rPr>
        <w:t xml:space="preserve">Поставка в течение 10 (десяти) рабочих дней с даты заключения Контракта.</w:t>
      </w:r>
      <w:r>
        <w:rPr>
          <w:rFonts w:eastAsia="Times New Roman"/>
          <w:color w:val="000000"/>
          <w:spacing w:val="0"/>
          <w:szCs w:val="24"/>
          <w:lang w:eastAsia="ru-RU"/>
        </w:rPr>
      </w:r>
      <w:r>
        <w:rPr>
          <w:rFonts w:eastAsia="Times New Roman"/>
          <w:color w:val="000000"/>
          <w:spacing w:val="0"/>
          <w:szCs w:val="24"/>
          <w:lang w:eastAsia="ru-RU"/>
        </w:rPr>
      </w:r>
    </w:p>
    <w:p>
      <w:pPr>
        <w:numPr>
          <w:ilvl w:val="1"/>
          <w:numId w:val="2"/>
        </w:numPr>
        <w:contextualSpacing w:val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/>
      <w:bookmarkStart w:id="4" w:name="_2et92p0"/>
      <w:r/>
      <w:bookmarkEnd w:id="4"/>
      <w:r>
        <w:rPr>
          <w:rFonts w:eastAsia="Times New Roman"/>
          <w:b/>
          <w:spacing w:val="0"/>
          <w:szCs w:val="24"/>
          <w:lang w:eastAsia="ru-RU"/>
        </w:rPr>
        <w:t xml:space="preserve">Место поставки Товара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contextualSpacing w:val="0"/>
        <w:ind w:firstLine="0"/>
        <w:spacing w:line="240" w:lineRule="auto"/>
        <w:rPr>
          <w:rFonts w:eastAsia="Times New Roman"/>
          <w:color w:val="000000"/>
          <w:spacing w:val="0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Times New Roman"/>
          <w:color w:val="000000"/>
          <w:spacing w:val="0"/>
          <w:lang w:eastAsia="ru-RU"/>
        </w:rPr>
        <w:t xml:space="preserve">105082, г. Москва, ул. Большая Почтовая, д. 26, стр. 1.</w:t>
      </w:r>
      <w:r>
        <w:rPr>
          <w:rFonts w:eastAsia="Times New Roman"/>
          <w:color w:val="000000"/>
          <w:spacing w:val="0"/>
          <w:lang w:eastAsia="ru-RU"/>
        </w:rPr>
      </w:r>
      <w:r>
        <w:rPr>
          <w:rFonts w:eastAsia="Times New Roman"/>
          <w:color w:val="000000"/>
          <w:spacing w:val="0"/>
          <w:lang w:eastAsia="ru-RU"/>
        </w:rPr>
      </w:r>
    </w:p>
    <w:p>
      <w:pPr>
        <w:numPr>
          <w:ilvl w:val="0"/>
          <w:numId w:val="2"/>
        </w:numPr>
        <w:contextualSpacing w:val="0"/>
        <w:ind w:left="0" w:right="-6"/>
        <w:jc w:val="left"/>
        <w:spacing w:line="240" w:lineRule="auto"/>
        <w:widowControl w:val="off"/>
        <w:rPr>
          <w:rFonts w:eastAsia="Times New Roman"/>
          <w:b/>
          <w:bCs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Times New Roman"/>
          <w:b/>
          <w:bCs/>
          <w:color w:val="000000"/>
          <w:spacing w:val="0"/>
          <w:szCs w:val="24"/>
          <w:lang w:eastAsia="ru-RU"/>
        </w:rPr>
        <w:t xml:space="preserve">Порядок поставки Товара</w:t>
      </w:r>
      <w:r>
        <w:rPr>
          <w:rFonts w:eastAsia="Times New Roman"/>
          <w:b/>
          <w:bCs/>
          <w:spacing w:val="0"/>
          <w:szCs w:val="24"/>
          <w:lang w:eastAsia="ru-RU"/>
        </w:rPr>
      </w:r>
      <w:r>
        <w:rPr>
          <w:rFonts w:eastAsia="Times New Roman"/>
          <w:b/>
          <w:bCs/>
          <w:spacing w:val="0"/>
          <w:szCs w:val="24"/>
          <w:lang w:eastAsia="ru-RU"/>
        </w:rPr>
      </w:r>
    </w:p>
    <w:p>
      <w:pPr>
        <w:numPr>
          <w:ilvl w:val="1"/>
          <w:numId w:val="2"/>
        </w:numPr>
        <w:contextualSpacing w:val="0"/>
        <w:spacing w:line="240" w:lineRule="auto"/>
        <w:rPr>
          <w:rFonts w:eastAsia="Times New Roman"/>
          <w:color w:val="040404"/>
          <w:spacing w:val="0"/>
          <w:szCs w:val="24"/>
          <w:lang w:eastAsia="ru-RU"/>
        </w:rPr>
      </w:pPr>
      <w:r>
        <w:rPr>
          <w:rFonts w:eastAsia="Times New Roman"/>
          <w:color w:val="040404"/>
          <w:spacing w:val="0"/>
          <w:szCs w:val="24"/>
          <w:lang w:eastAsia="ru-RU"/>
        </w:rPr>
        <w:t xml:space="preserve">Товар должен быть поставлен и разгружен в период исполнения Контракта в рабочие часы Заказчика с понедельника по четверг с 09.00 до 18.00 часов, в пятницу с 09.00 до 16.45 часов (за исключением выходных дней и дней общегосударственных праздников), в соотве</w:t>
      </w:r>
      <w:r>
        <w:rPr>
          <w:rFonts w:eastAsia="Times New Roman"/>
          <w:color w:val="040404"/>
          <w:spacing w:val="0"/>
          <w:szCs w:val="24"/>
          <w:lang w:eastAsia="ru-RU"/>
        </w:rPr>
        <w:t xml:space="preserve">тствии с требованиями Таблицы № 1 настоящего документа.</w:t>
      </w:r>
      <w:r>
        <w:rPr>
          <w:rFonts w:eastAsia="Times New Roman"/>
          <w:color w:val="040404"/>
          <w:spacing w:val="0"/>
          <w:szCs w:val="24"/>
          <w:lang w:eastAsia="ru-RU"/>
        </w:rPr>
      </w:r>
      <w:r>
        <w:rPr>
          <w:rFonts w:eastAsia="Times New Roman"/>
          <w:color w:val="040404"/>
          <w:spacing w:val="0"/>
          <w:szCs w:val="24"/>
          <w:lang w:eastAsia="ru-RU"/>
        </w:rPr>
      </w:r>
    </w:p>
    <w:p>
      <w:pPr>
        <w:numPr>
          <w:ilvl w:val="1"/>
          <w:numId w:val="2"/>
        </w:numPr>
        <w:contextualSpacing w:val="0"/>
        <w:spacing w:line="240" w:lineRule="auto"/>
        <w:rPr>
          <w:rFonts w:eastAsia="Times New Roman"/>
          <w:color w:val="040404"/>
          <w:spacing w:val="0"/>
          <w:szCs w:val="24"/>
          <w:lang w:eastAsia="ru-RU"/>
        </w:rPr>
      </w:pPr>
      <w:r>
        <w:rPr>
          <w:rFonts w:eastAsia="Times New Roman"/>
          <w:color w:val="000000"/>
          <w:spacing w:val="0"/>
          <w:szCs w:val="24"/>
          <w:lang w:eastAsia="ru-RU"/>
        </w:rPr>
        <w:t xml:space="preserve">Весь Товар должен быть поставлен Заказчику единовременно в срок, указанный                                        в   п. 1.3. Технического задания, в соответствии с наименованием, количеством и характ</w:t>
      </w:r>
      <w:r>
        <w:rPr>
          <w:rFonts w:eastAsia="Times New Roman"/>
          <w:color w:val="000000"/>
          <w:spacing w:val="0"/>
          <w:szCs w:val="24"/>
          <w:lang w:eastAsia="ru-RU"/>
        </w:rPr>
        <w:t xml:space="preserve">еристиками Товара.</w:t>
      </w:r>
      <w:r>
        <w:rPr>
          <w:rFonts w:eastAsia="Times New Roman"/>
          <w:color w:val="040404"/>
          <w:spacing w:val="0"/>
          <w:szCs w:val="24"/>
          <w:lang w:eastAsia="ru-RU"/>
        </w:rPr>
        <w:t xml:space="preserve"> </w:t>
      </w:r>
      <w:r>
        <w:rPr>
          <w:rFonts w:eastAsia="Times New Roman"/>
          <w:color w:val="040404"/>
          <w:spacing w:val="0"/>
          <w:szCs w:val="24"/>
          <w:lang w:eastAsia="ru-RU"/>
        </w:rPr>
      </w:r>
      <w:r>
        <w:rPr>
          <w:rFonts w:eastAsia="Times New Roman"/>
          <w:color w:val="040404"/>
          <w:spacing w:val="0"/>
          <w:szCs w:val="24"/>
          <w:lang w:eastAsia="ru-RU"/>
        </w:rPr>
      </w:r>
    </w:p>
    <w:p>
      <w:pPr>
        <w:contextualSpacing w:val="0"/>
        <w:ind w:firstLine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</w:pPr>
      <w:r>
        <w:rPr>
          <w:rFonts w:eastAsia="Times New Roman"/>
          <w:b/>
          <w:spacing w:val="0"/>
          <w:szCs w:val="24"/>
          <w:lang w:eastAsia="ru-RU"/>
        </w:rPr>
        <w:t xml:space="preserve">3. Требования к поставляемому Товару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contextualSpacing w:val="0"/>
        <w:ind w:firstLine="0"/>
        <w:spacing w:line="240" w:lineRule="auto"/>
        <w:rPr>
          <w:rFonts w:eastAsia="Times New Roman"/>
          <w:spacing w:val="0"/>
          <w:szCs w:val="24"/>
          <w:lang w:eastAsia="ru-RU"/>
        </w:rPr>
      </w:pPr>
      <w:r>
        <w:rPr>
          <w:rFonts w:eastAsia="Times New Roman"/>
          <w:spacing w:val="0"/>
          <w:szCs w:val="24"/>
          <w:lang w:eastAsia="ru-RU"/>
        </w:rPr>
        <w:t xml:space="preserve">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</w:t>
      </w:r>
      <w:r>
        <w:rPr>
          <w:rFonts w:eastAsia="Times New Roman"/>
          <w:spacing w:val="0"/>
          <w:szCs w:val="24"/>
          <w:lang w:eastAsia="ru-RU"/>
        </w:rPr>
        <w:t xml:space="preserve">ребительские свойства), серийно выпускаемым, не имеющим дефектов, связанных с конструкцией, материалами или функционированием в процессе эксплуатации.</w:t>
      </w:r>
      <w:r>
        <w:rPr>
          <w:rFonts w:eastAsia="Times New Roman"/>
          <w:spacing w:val="0"/>
          <w:szCs w:val="24"/>
          <w:lang w:eastAsia="ru-RU"/>
        </w:rPr>
      </w:r>
      <w:r>
        <w:rPr>
          <w:rFonts w:eastAsia="Times New Roman"/>
          <w:spacing w:val="0"/>
          <w:szCs w:val="24"/>
          <w:lang w:eastAsia="ru-RU"/>
        </w:rPr>
      </w:r>
    </w:p>
    <w:p>
      <w:pPr>
        <w:pStyle w:val="859"/>
        <w:numPr>
          <w:ilvl w:val="0"/>
          <w:numId w:val="0"/>
        </w:numPr>
        <w:contextualSpacing w:val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suppressLineNumbers/>
      </w:pPr>
      <w:r>
        <w:rPr>
          <w:rFonts w:eastAsia="Times New Roman"/>
          <w:b/>
          <w:spacing w:val="0"/>
          <w:szCs w:val="24"/>
          <w:lang w:eastAsia="ru-RU"/>
        </w:rPr>
        <w:t xml:space="preserve">4. Гарантийные обязательства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ind w:right="-6" w:firstLine="0"/>
        <w:spacing w:line="240" w:lineRule="auto"/>
        <w:rPr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Times New Roman"/>
          <w:color w:val="000000"/>
          <w:spacing w:val="0"/>
          <w:szCs w:val="24"/>
          <w:lang w:eastAsia="ru-RU"/>
        </w:rPr>
        <w:t xml:space="preserve">4.1. </w:t>
      </w:r>
      <w:r>
        <w:rPr>
          <w:color w:val="000000"/>
        </w:rPr>
        <w:t xml:space="preserve">Гарантийный срок на поставляемый Товар устанавливается заводом-изготови</w:t>
      </w:r>
      <w:r>
        <w:rPr>
          <w:color w:val="000000"/>
        </w:rPr>
        <w:t xml:space="preserve">телем, составляет не менее 12 (двенадцати) месяцев и исчисляется со дня подписания Заказчиком документа о приемке в соответствии с Контрактом.</w:t>
      </w:r>
      <w:r>
        <w:rPr>
          <w:color w:val="000000"/>
        </w:rPr>
      </w:r>
      <w:r>
        <w:rPr>
          <w:color w:val="000000"/>
        </w:rPr>
      </w:r>
    </w:p>
    <w:p>
      <w:pPr>
        <w:ind w:right="-6" w:firstLine="0"/>
        <w:spacing w:line="240" w:lineRule="auto"/>
        <w:rPr>
          <w:color w:val="000000"/>
          <w:lang w:bidi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</w:rPr>
        <w:t xml:space="preserve">4.2. Гарантийное обслуживание осуществляется путем ремонта или замены поставленного Товара (при отсутствии механи</w:t>
      </w:r>
      <w:r>
        <w:rPr>
          <w:color w:val="000000"/>
        </w:rPr>
        <w:t xml:space="preserve">ческих повреждений и соблюдения Заказчиком требований инструкций по эксплуатации).</w:t>
      </w:r>
      <w:r>
        <w:rPr>
          <w:color w:val="000000"/>
          <w:spacing w:val="0"/>
          <w:szCs w:val="24"/>
          <w:lang w:eastAsia="ru-RU" w:bidi="ru-RU"/>
        </w:rPr>
        <w:t xml:space="preserve"> </w:t>
      </w:r>
      <w:r>
        <w:rPr>
          <w:color w:val="000000"/>
          <w:lang w:bidi="ru-RU"/>
        </w:rPr>
      </w:r>
      <w:r>
        <w:rPr>
          <w:color w:val="000000"/>
          <w:lang w:bidi="ru-RU"/>
        </w:rPr>
      </w:r>
    </w:p>
    <w:p>
      <w:pPr>
        <w:contextualSpacing w:val="0"/>
        <w:ind w:firstLine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0"/>
      </w:pPr>
      <w:r>
        <w:rPr>
          <w:rFonts w:eastAsia="Times New Roman"/>
          <w:b/>
          <w:spacing w:val="0"/>
          <w:szCs w:val="24"/>
          <w:lang w:eastAsia="ru-RU"/>
        </w:rPr>
        <w:t xml:space="preserve">5. Требования к упаковке Товара</w:t>
      </w:r>
      <w:r>
        <w:rPr>
          <w:rFonts w:eastAsia="Times New Roman"/>
          <w:b/>
          <w:spacing w:val="0"/>
          <w:szCs w:val="24"/>
          <w:lang w:eastAsia="ru-RU"/>
        </w:rPr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contextualSpacing w:val="0"/>
        <w:ind w:firstLine="0"/>
        <w:spacing w:line="240" w:lineRule="auto"/>
        <w:rPr>
          <w:rFonts w:eastAsia="Times New Roman"/>
          <w:color w:val="000000"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Times New Roman"/>
          <w:color w:val="000000"/>
          <w:spacing w:val="0"/>
          <w:szCs w:val="24"/>
          <w:lang w:eastAsia="ru-RU"/>
        </w:rPr>
        <w:t xml:space="preserve">5.1. Товар должен поставляться в оригинальной заводской упаковке, соответствующей характеру поставляемого Товара и способу транспортировки, обеспечивающей защиту товара от внешних воздействующих факторов (в т. ч. климатических, механических) при транспорти</w:t>
      </w:r>
      <w:r>
        <w:rPr>
          <w:rFonts w:eastAsia="Times New Roman"/>
          <w:color w:val="000000"/>
          <w:spacing w:val="0"/>
          <w:szCs w:val="24"/>
          <w:lang w:eastAsia="ru-RU"/>
        </w:rPr>
        <w:t xml:space="preserve">ровании, хранении и погрузочно-разгрузочных работах. Упаковка товара возврату Поставщику не подлежит.</w:t>
      </w:r>
      <w:r>
        <w:rPr>
          <w:rFonts w:eastAsia="Times New Roman"/>
          <w:color w:val="000000"/>
          <w:spacing w:val="0"/>
          <w:szCs w:val="24"/>
          <w:lang w:eastAsia="ru-RU"/>
        </w:rPr>
      </w:r>
      <w:r>
        <w:rPr>
          <w:rFonts w:eastAsia="Times New Roman"/>
          <w:color w:val="000000"/>
          <w:spacing w:val="0"/>
          <w:szCs w:val="24"/>
          <w:lang w:eastAsia="ru-RU"/>
        </w:rPr>
      </w:r>
    </w:p>
    <w:p>
      <w:pPr>
        <w:contextualSpacing w:val="0"/>
        <w:ind w:firstLine="0"/>
        <w:jc w:val="right"/>
        <w:spacing w:line="240" w:lineRule="auto"/>
        <w:rPr>
          <w:rFonts w:eastAsia="Times New Roman"/>
          <w:spacing w:val="0"/>
          <w:szCs w:val="24"/>
          <w:lang w:eastAsia="ru-RU"/>
        </w:rPr>
      </w:pPr>
      <w:r>
        <w:rPr>
          <w:rFonts w:eastAsia="Times New Roman"/>
          <w:spacing w:val="0"/>
          <w:szCs w:val="24"/>
          <w:lang w:eastAsia="ru-RU"/>
        </w:rPr>
      </w:r>
      <w:r>
        <w:rPr>
          <w:rFonts w:eastAsia="Times New Roman"/>
          <w:spacing w:val="0"/>
          <w:szCs w:val="24"/>
          <w:lang w:eastAsia="ru-RU"/>
        </w:rPr>
      </w:r>
      <w:r>
        <w:rPr>
          <w:rFonts w:eastAsia="Times New Roman"/>
          <w:spacing w:val="0"/>
          <w:szCs w:val="24"/>
          <w:lang w:eastAsia="ru-RU"/>
        </w:rPr>
      </w:r>
    </w:p>
    <w:p>
      <w:pPr>
        <w:contextualSpacing w:val="0"/>
        <w:ind w:firstLine="0"/>
        <w:jc w:val="left"/>
        <w:spacing w:line="240" w:lineRule="auto"/>
        <w:rPr>
          <w:rFonts w:eastAsia="Times New Roman"/>
          <w:spacing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Times New Roman"/>
          <w:spacing w:val="0"/>
          <w:szCs w:val="24"/>
          <w:lang w:eastAsia="ru-RU"/>
        </w:rPr>
        <w:t xml:space="preserve">Таблица № 1</w:t>
      </w:r>
      <w:r>
        <w:rPr>
          <w:rFonts w:eastAsia="Times New Roman"/>
          <w:spacing w:val="0"/>
          <w:szCs w:val="24"/>
        </w:rPr>
      </w:r>
      <w:r>
        <w:rPr>
          <w:rFonts w:eastAsia="Times New Roman"/>
          <w:spacing w:val="0"/>
          <w:szCs w:val="24"/>
        </w:rPr>
      </w:r>
    </w:p>
    <w:tbl>
      <w:tblPr>
        <w:tblW w:w="10200" w:type="dxa"/>
        <w:tblLayout w:type="fixed"/>
        <w:tblLook w:val="04A0" w:firstRow="1" w:lastRow="0" w:firstColumn="1" w:lastColumn="0" w:noHBand="0" w:noVBand="1"/>
      </w:tblPr>
      <w:tblGrid>
        <w:gridCol w:w="460"/>
        <w:gridCol w:w="2082"/>
        <w:gridCol w:w="1852"/>
        <w:gridCol w:w="3477"/>
        <w:gridCol w:w="1689"/>
        <w:gridCol w:w="64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textDirection w:val="lrTb"/>
            <w:noWrap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№</w:t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textDirection w:val="lrTb"/>
            <w:noWrap/>
          </w:tcPr>
          <w:p>
            <w:pPr>
              <w:ind w:firstLine="0"/>
              <w:jc w:val="center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Товара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ind w:firstLine="0"/>
              <w:jc w:val="center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i/>
                <w:sz w:val="16"/>
                <w:szCs w:val="16"/>
                <w:highlight w:val="lightGray"/>
              </w:rPr>
              <w:t xml:space="preserve">Участник закупки дополнительно указывает в заявке: марку, модель, страну происхождения товара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характеристики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Значение характеристики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ind w:firstLine="0"/>
              <w:jc w:val="center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i/>
                <w:sz w:val="16"/>
                <w:szCs w:val="16"/>
                <w:highlight w:val="lightGray"/>
              </w:rPr>
              <w:t xml:space="preserve">Участник закупки указывает в заявке конкретные характеристики предлагаемого к поставке Товара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единица измерения характеристики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Кол-во, шт.</w:t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restart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Терминал IP телефонии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  <w:p>
            <w:pPr>
              <w:ind w:firstLine="0"/>
              <w:jc w:val="left"/>
              <w:spacing w:line="240" w:lineRule="auto"/>
              <w:rPr>
                <w:bCs/>
                <w:spacing w:val="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Y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e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a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l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i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n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k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S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I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P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-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T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P</w:t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  <w:r>
              <w:rPr>
                <w:bCs/>
                <w:spacing w:val="0"/>
                <w:sz w:val="20"/>
                <w:szCs w:val="20"/>
                <w:highlight w:val="white"/>
              </w:rPr>
            </w:r>
          </w:p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</w:t>
            </w:r>
            <w:r>
              <w:rPr>
                <w:rFonts w:eastAsia="Times New Roman"/>
                <w:bCs/>
                <w:spacing w:val="0"/>
                <w:sz w:val="20"/>
                <w:szCs w:val="20"/>
                <w:highlight w:val="white"/>
                <w:lang w:eastAsia="ru-RU"/>
              </w:rPr>
              <w:t xml:space="preserve">Китай.</w:t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spacing w:val="0"/>
                <w:sz w:val="20"/>
                <w:szCs w:val="20"/>
                <w:lang w:eastAsia="ru-RU"/>
              </w:rPr>
            </w:r>
          </w:p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КТРУ: 26.30.11.110-00000048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Голосовые функции 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Генерация комфортного шума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15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Эхокомпенсация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генерация двухтональных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 многочастотных аналоговых сигнал (DTMF)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Конструктивные особенности дисплея 1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Жидкокристаллический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Монохромный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Наличие подсветки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6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Количество поддерживаемых SIP-линий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2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штука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Конструкция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Электропитание по стандарту PoE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Наличие модулей, портов и интерфейсов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Порт Ethernet для подключения к АРМ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Порт Ethernet для подключения к ЛВС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Порт для подключения гарнитуры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Поддержка аудиокодеков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</w:p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G.711A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G.711U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G.729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G722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vMerge w:val="restart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Размер дисплея 1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2.3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Дюйм (25,4 мм)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Сетевые протоколы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Поддержка NAT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Поддержка SIP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Поддержка TLS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Сетевые функции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WEB-интерфейс управления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Поддержка QoS: 802.1p/Q tagging (VLAN)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Поддержка получения ip-адреса по протоколу DHCP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Поддержка стандарта IEEE 802.1X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Управление HTTPS-сертификатами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Скорость портов Ethernet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100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Мегабит в секунду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Тип устройства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Стационарный телефон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Функции устройства</w:t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bCs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Встроенные клавиши быстрого набора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Выбор рингтона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Голосовая почта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Громкая связь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Запрет выдачи Caller ID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История вызовов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Локальная записная книжка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Отключение микрофона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Отоображение номера и имени вызывающего абонента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Переадресация вызова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Переадресация по занятости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Переадресация по неответу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Перенаправление вызова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Перехват вызова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Повторный набор номера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Поддержка аудиоконференций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Поиск по записным книжкам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Сетевая записная книжка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Уведомление о поступлении нового вызова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Удержание вызова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2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cc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7" w:type="dxa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Функция не беспокоить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9" w:type="dxa"/>
            <w:textDirection w:val="lrTb"/>
            <w:noWrap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 </w:t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567" w:right="567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Arial">
    <w:panose1 w:val="020B0604020202020204"/>
  </w:font>
  <w:font w:name="Wingdings">
    <w:panose1 w:val="05000000000000000000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Т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russianLower"/>
      <w:pStyle w:val="859"/>
      <w:isLgl w:val="false"/>
      <w:suff w:val="tab"/>
      <w:lvlText w:val="%1)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778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"/>
      <w:lvlJc w:val="left"/>
      <w:pPr>
        <w:ind w:left="2487" w:hanging="360"/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350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2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4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6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8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04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370" w:firstLine="0"/>
      </w:pPr>
      <w:rPr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0"/>
      </w:pPr>
      <w:rPr>
        <w:b w:val="0"/>
        <w:i w:val="0"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915" w:hanging="504"/>
      </w:pPr>
      <w:rPr>
        <w:rFonts w:hint="default" w:ascii="Times New Roman" w:hAnsi="Times New Roman" w:cs="Times New Roman"/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76" w:hanging="647"/>
      </w:pPr>
      <w:rPr>
        <w:vertAlign w:val="baseli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380" w:hanging="792"/>
      </w:pPr>
      <w:rPr>
        <w:vertAlign w:val="baselin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4" w:hanging="935"/>
      </w:pPr>
      <w:rPr>
        <w:vertAlign w:val="baselin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388" w:hanging="1080"/>
      </w:pPr>
      <w:rPr>
        <w:vertAlign w:val="baselin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892" w:hanging="1224"/>
      </w:pPr>
      <w:rPr>
        <w:vertAlign w:val="baselin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68" w:hanging="144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 w:default="1">
    <w:name w:val="Normal"/>
    <w:qFormat/>
    <w:pPr>
      <w:contextualSpacing/>
      <w:ind w:firstLine="709"/>
      <w:jc w:val="both"/>
      <w:spacing w:after="0" w:line="360" w:lineRule="exact"/>
    </w:pPr>
    <w:rPr>
      <w:rFonts w:ascii="Times New Roman" w:hAnsi="Times New Roman" w:eastAsia="Calibri" w:cs="Times New Roman"/>
      <w:spacing w:val="2"/>
      <w:sz w:val="24"/>
    </w:rPr>
  </w:style>
  <w:style w:type="paragraph" w:styleId="661">
    <w:name w:val="Heading 1"/>
    <w:basedOn w:val="660"/>
    <w:next w:val="660"/>
    <w:link w:val="691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662">
    <w:name w:val="Heading 2"/>
    <w:basedOn w:val="660"/>
    <w:next w:val="660"/>
    <w:link w:val="69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63">
    <w:name w:val="Heading 3"/>
    <w:basedOn w:val="660"/>
    <w:next w:val="660"/>
    <w:link w:val="693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64">
    <w:name w:val="Heading 4"/>
    <w:basedOn w:val="660"/>
    <w:next w:val="660"/>
    <w:link w:val="69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5">
    <w:name w:val="Heading 5"/>
    <w:basedOn w:val="660"/>
    <w:next w:val="660"/>
    <w:link w:val="695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Cs w:val="24"/>
    </w:rPr>
  </w:style>
  <w:style w:type="paragraph" w:styleId="666">
    <w:name w:val="Heading 6"/>
    <w:basedOn w:val="660"/>
    <w:next w:val="660"/>
    <w:link w:val="69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</w:rPr>
  </w:style>
  <w:style w:type="paragraph" w:styleId="667">
    <w:name w:val="Heading 7"/>
    <w:basedOn w:val="660"/>
    <w:next w:val="660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</w:rPr>
  </w:style>
  <w:style w:type="paragraph" w:styleId="668">
    <w:name w:val="Heading 8"/>
    <w:basedOn w:val="660"/>
    <w:next w:val="660"/>
    <w:link w:val="69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</w:rPr>
  </w:style>
  <w:style w:type="paragraph" w:styleId="669">
    <w:name w:val="Heading 9"/>
    <w:basedOn w:val="660"/>
    <w:next w:val="660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0" w:default="1">
    <w:name w:val="Default Paragraph Font"/>
    <w:uiPriority w:val="1"/>
    <w:semiHidden/>
    <w:unhideWhenUsed/>
  </w:style>
  <w:style w:type="table" w:styleId="6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2" w:default="1">
    <w:name w:val="No List"/>
    <w:uiPriority w:val="99"/>
    <w:semiHidden/>
    <w:unhideWhenUsed/>
  </w:style>
  <w:style w:type="character" w:styleId="673" w:customStyle="1">
    <w:name w:val="Heading 1 Char"/>
    <w:basedOn w:val="670"/>
    <w:uiPriority w:val="9"/>
    <w:rPr>
      <w:rFonts w:ascii="Arial" w:hAnsi="Arial" w:eastAsia="Arial" w:cs="Arial"/>
      <w:sz w:val="40"/>
      <w:szCs w:val="40"/>
    </w:rPr>
  </w:style>
  <w:style w:type="character" w:styleId="674" w:customStyle="1">
    <w:name w:val="Heading 2 Char"/>
    <w:basedOn w:val="670"/>
    <w:uiPriority w:val="9"/>
    <w:rPr>
      <w:rFonts w:ascii="Arial" w:hAnsi="Arial" w:eastAsia="Arial" w:cs="Arial"/>
      <w:sz w:val="34"/>
    </w:rPr>
  </w:style>
  <w:style w:type="character" w:styleId="675" w:customStyle="1">
    <w:name w:val="Heading 3 Char"/>
    <w:basedOn w:val="670"/>
    <w:uiPriority w:val="9"/>
    <w:rPr>
      <w:rFonts w:ascii="Arial" w:hAnsi="Arial" w:eastAsia="Arial" w:cs="Arial"/>
      <w:sz w:val="30"/>
      <w:szCs w:val="30"/>
    </w:rPr>
  </w:style>
  <w:style w:type="character" w:styleId="676" w:customStyle="1">
    <w:name w:val="Heading 4 Char"/>
    <w:basedOn w:val="670"/>
    <w:uiPriority w:val="9"/>
    <w:rPr>
      <w:rFonts w:ascii="Arial" w:hAnsi="Arial" w:eastAsia="Arial" w:cs="Arial"/>
      <w:b/>
      <w:bCs/>
      <w:sz w:val="26"/>
      <w:szCs w:val="26"/>
    </w:rPr>
  </w:style>
  <w:style w:type="character" w:styleId="677" w:customStyle="1">
    <w:name w:val="Heading 5 Char"/>
    <w:basedOn w:val="670"/>
    <w:uiPriority w:val="9"/>
    <w:rPr>
      <w:rFonts w:ascii="Arial" w:hAnsi="Arial" w:eastAsia="Arial" w:cs="Arial"/>
      <w:b/>
      <w:bCs/>
      <w:sz w:val="24"/>
      <w:szCs w:val="24"/>
    </w:rPr>
  </w:style>
  <w:style w:type="character" w:styleId="678" w:customStyle="1">
    <w:name w:val="Heading 6 Char"/>
    <w:basedOn w:val="670"/>
    <w:uiPriority w:val="9"/>
    <w:rPr>
      <w:rFonts w:ascii="Arial" w:hAnsi="Arial" w:eastAsia="Arial" w:cs="Arial"/>
      <w:b/>
      <w:bCs/>
      <w:sz w:val="22"/>
      <w:szCs w:val="22"/>
    </w:rPr>
  </w:style>
  <w:style w:type="character" w:styleId="679" w:customStyle="1">
    <w:name w:val="Heading 7 Char"/>
    <w:basedOn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0" w:customStyle="1">
    <w:name w:val="Heading 8 Char"/>
    <w:basedOn w:val="670"/>
    <w:uiPriority w:val="9"/>
    <w:rPr>
      <w:rFonts w:ascii="Arial" w:hAnsi="Arial" w:eastAsia="Arial" w:cs="Arial"/>
      <w:i/>
      <w:iCs/>
      <w:sz w:val="22"/>
      <w:szCs w:val="22"/>
    </w:rPr>
  </w:style>
  <w:style w:type="character" w:styleId="681" w:customStyle="1">
    <w:name w:val="Heading 9 Char"/>
    <w:basedOn w:val="670"/>
    <w:uiPriority w:val="9"/>
    <w:rPr>
      <w:rFonts w:ascii="Arial" w:hAnsi="Arial" w:eastAsia="Arial" w:cs="Arial"/>
      <w:i/>
      <w:iCs/>
      <w:sz w:val="21"/>
      <w:szCs w:val="21"/>
    </w:rPr>
  </w:style>
  <w:style w:type="character" w:styleId="682" w:customStyle="1">
    <w:name w:val="Title Char"/>
    <w:basedOn w:val="670"/>
    <w:uiPriority w:val="10"/>
    <w:rPr>
      <w:sz w:val="48"/>
      <w:szCs w:val="48"/>
    </w:rPr>
  </w:style>
  <w:style w:type="character" w:styleId="683" w:customStyle="1">
    <w:name w:val="Subtitle Char"/>
    <w:basedOn w:val="670"/>
    <w:uiPriority w:val="11"/>
    <w:rPr>
      <w:sz w:val="24"/>
      <w:szCs w:val="24"/>
    </w:rPr>
  </w:style>
  <w:style w:type="character" w:styleId="684" w:customStyle="1">
    <w:name w:val="Quote Char"/>
    <w:uiPriority w:val="29"/>
    <w:rPr>
      <w:i/>
    </w:rPr>
  </w:style>
  <w:style w:type="character" w:styleId="685" w:customStyle="1">
    <w:name w:val="Intense Quote Char"/>
    <w:uiPriority w:val="30"/>
    <w:rPr>
      <w:i/>
    </w:rPr>
  </w:style>
  <w:style w:type="character" w:styleId="686" w:customStyle="1">
    <w:name w:val="Header Char"/>
    <w:basedOn w:val="670"/>
    <w:uiPriority w:val="99"/>
  </w:style>
  <w:style w:type="character" w:styleId="687" w:customStyle="1">
    <w:name w:val="Footer Char"/>
    <w:basedOn w:val="670"/>
    <w:uiPriority w:val="99"/>
  </w:style>
  <w:style w:type="character" w:styleId="688" w:customStyle="1">
    <w:name w:val="Caption Char"/>
    <w:basedOn w:val="670"/>
    <w:uiPriority w:val="35"/>
    <w:rPr>
      <w:b/>
      <w:bCs/>
      <w:color w:val="4472c4" w:themeColor="accent1"/>
      <w:sz w:val="18"/>
      <w:szCs w:val="18"/>
    </w:rPr>
  </w:style>
  <w:style w:type="character" w:styleId="689" w:customStyle="1">
    <w:name w:val="Footnote Text Char"/>
    <w:uiPriority w:val="99"/>
    <w:rPr>
      <w:sz w:val="18"/>
    </w:rPr>
  </w:style>
  <w:style w:type="character" w:styleId="690" w:customStyle="1">
    <w:name w:val="Endnote Text Char"/>
    <w:uiPriority w:val="99"/>
    <w:rPr>
      <w:sz w:val="20"/>
    </w:rPr>
  </w:style>
  <w:style w:type="character" w:styleId="691" w:customStyle="1">
    <w:name w:val="Заголовок 1 Знак"/>
    <w:basedOn w:val="670"/>
    <w:link w:val="66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2" w:customStyle="1">
    <w:name w:val="Заголовок 2 Знак"/>
    <w:basedOn w:val="670"/>
    <w:link w:val="662"/>
    <w:uiPriority w:val="9"/>
    <w:rPr>
      <w:rFonts w:ascii="Liberation Sans" w:hAnsi="Liberation Sans" w:eastAsia="Liberation Sans" w:cs="Liberation Sans"/>
      <w:sz w:val="34"/>
    </w:rPr>
  </w:style>
  <w:style w:type="character" w:styleId="693" w:customStyle="1">
    <w:name w:val="Заголовок 3 Знак"/>
    <w:basedOn w:val="670"/>
    <w:link w:val="66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4" w:customStyle="1">
    <w:name w:val="Заголовок 4 Знак"/>
    <w:basedOn w:val="670"/>
    <w:link w:val="66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5" w:customStyle="1">
    <w:name w:val="Заголовок 5 Знак"/>
    <w:basedOn w:val="670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6" w:customStyle="1">
    <w:name w:val="Заголовок 6 Знак"/>
    <w:basedOn w:val="670"/>
    <w:link w:val="66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7" w:customStyle="1">
    <w:name w:val="Заголовок 7 Знак"/>
    <w:basedOn w:val="670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8" w:customStyle="1">
    <w:name w:val="Заголовок 8 Знак"/>
    <w:basedOn w:val="670"/>
    <w:link w:val="66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9" w:customStyle="1">
    <w:name w:val="Заголовок 9 Знак"/>
    <w:basedOn w:val="670"/>
    <w:link w:val="66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0">
    <w:name w:val="No Spacing"/>
    <w:uiPriority w:val="1"/>
    <w:qFormat/>
    <w:pPr>
      <w:spacing w:after="0" w:line="240" w:lineRule="auto"/>
    </w:pPr>
  </w:style>
  <w:style w:type="paragraph" w:styleId="701">
    <w:name w:val="Title"/>
    <w:basedOn w:val="660"/>
    <w:next w:val="660"/>
    <w:link w:val="702"/>
    <w:uiPriority w:val="10"/>
    <w:qFormat/>
    <w:pPr>
      <w:spacing w:before="300" w:after="200"/>
    </w:pPr>
    <w:rPr>
      <w:sz w:val="48"/>
      <w:szCs w:val="48"/>
    </w:rPr>
  </w:style>
  <w:style w:type="character" w:styleId="702" w:customStyle="1">
    <w:name w:val="Заголовок Знак"/>
    <w:basedOn w:val="670"/>
    <w:link w:val="701"/>
    <w:uiPriority w:val="10"/>
    <w:rPr>
      <w:sz w:val="48"/>
      <w:szCs w:val="48"/>
    </w:rPr>
  </w:style>
  <w:style w:type="paragraph" w:styleId="703">
    <w:name w:val="Subtitle"/>
    <w:basedOn w:val="660"/>
    <w:next w:val="660"/>
    <w:link w:val="704"/>
    <w:uiPriority w:val="11"/>
    <w:qFormat/>
    <w:pPr>
      <w:spacing w:before="200" w:after="200"/>
    </w:pPr>
    <w:rPr>
      <w:szCs w:val="24"/>
    </w:rPr>
  </w:style>
  <w:style w:type="character" w:styleId="704" w:customStyle="1">
    <w:name w:val="Подзаголовок Знак"/>
    <w:basedOn w:val="670"/>
    <w:link w:val="703"/>
    <w:uiPriority w:val="11"/>
    <w:rPr>
      <w:sz w:val="24"/>
      <w:szCs w:val="24"/>
    </w:rPr>
  </w:style>
  <w:style w:type="paragraph" w:styleId="705">
    <w:name w:val="Quote"/>
    <w:basedOn w:val="660"/>
    <w:next w:val="660"/>
    <w:link w:val="706"/>
    <w:uiPriority w:val="29"/>
    <w:qFormat/>
    <w:pPr>
      <w:ind w:left="720" w:right="720"/>
    </w:pPr>
    <w:rPr>
      <w:i/>
    </w:rPr>
  </w:style>
  <w:style w:type="character" w:styleId="706" w:customStyle="1">
    <w:name w:val="Цитата 2 Знак"/>
    <w:link w:val="705"/>
    <w:uiPriority w:val="29"/>
    <w:rPr>
      <w:i/>
    </w:rPr>
  </w:style>
  <w:style w:type="paragraph" w:styleId="707">
    <w:name w:val="Intense Quote"/>
    <w:basedOn w:val="660"/>
    <w:next w:val="660"/>
    <w:link w:val="70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8" w:customStyle="1">
    <w:name w:val="Выделенная цитата Знак"/>
    <w:link w:val="707"/>
    <w:uiPriority w:val="30"/>
    <w:rPr>
      <w:i/>
    </w:rPr>
  </w:style>
  <w:style w:type="paragraph" w:styleId="709">
    <w:name w:val="Header"/>
    <w:basedOn w:val="660"/>
    <w:link w:val="710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710" w:customStyle="1">
    <w:name w:val="Верхний колонтитул Знак"/>
    <w:basedOn w:val="670"/>
    <w:link w:val="709"/>
    <w:uiPriority w:val="99"/>
  </w:style>
  <w:style w:type="paragraph" w:styleId="711">
    <w:name w:val="Footer"/>
    <w:basedOn w:val="660"/>
    <w:link w:val="712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712" w:customStyle="1">
    <w:name w:val="Нижний колонтитул Знак"/>
    <w:basedOn w:val="670"/>
    <w:link w:val="711"/>
    <w:uiPriority w:val="99"/>
  </w:style>
  <w:style w:type="paragraph" w:styleId="713">
    <w:name w:val="Caption"/>
    <w:basedOn w:val="660"/>
    <w:next w:val="660"/>
    <w:link w:val="714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14" w:customStyle="1">
    <w:name w:val="Название объекта Знак"/>
    <w:basedOn w:val="670"/>
    <w:link w:val="713"/>
    <w:uiPriority w:val="35"/>
    <w:rPr>
      <w:b/>
      <w:bCs/>
      <w:color w:val="4472c4" w:themeColor="accent1"/>
      <w:sz w:val="18"/>
      <w:szCs w:val="18"/>
    </w:rPr>
  </w:style>
  <w:style w:type="table" w:styleId="715">
    <w:name w:val="Table Grid"/>
    <w:basedOn w:val="67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6" w:customStyle="1">
    <w:name w:val="Table Grid Light"/>
    <w:basedOn w:val="67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7">
    <w:name w:val="Plain Table 1"/>
    <w:basedOn w:val="67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8">
    <w:name w:val="Plain Table 2"/>
    <w:basedOn w:val="67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9">
    <w:name w:val="Plain Table 3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0">
    <w:name w:val="Plain Table 4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Plain Table 5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2">
    <w:name w:val="Grid Table 1 Light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4"/>
    <w:basedOn w:val="6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4" w:customStyle="1">
    <w:name w:val="Grid Table 4 - Accent 1"/>
    <w:basedOn w:val="6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45" w:customStyle="1">
    <w:name w:val="Grid Table 4 - Accent 2"/>
    <w:basedOn w:val="6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6" w:customStyle="1">
    <w:name w:val="Grid Table 4 - Accent 3"/>
    <w:basedOn w:val="6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7" w:customStyle="1">
    <w:name w:val="Grid Table 4 - Accent 4"/>
    <w:basedOn w:val="6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8" w:customStyle="1">
    <w:name w:val="Grid Table 4 - Accent 5"/>
    <w:basedOn w:val="6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49" w:customStyle="1">
    <w:name w:val="Grid Table 4 - Accent 6"/>
    <w:basedOn w:val="67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0">
    <w:name w:val="Grid Table 5 Dark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7">
    <w:name w:val="Grid Table 6 Colorful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8" w:customStyle="1">
    <w:name w:val="Grid Table 6 Colorful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59" w:customStyle="1">
    <w:name w:val="Grid Table 6 Colorful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0" w:customStyle="1">
    <w:name w:val="Grid Table 6 Colorful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1" w:customStyle="1">
    <w:name w:val="Grid Table 6 Colorful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2" w:customStyle="1">
    <w:name w:val="Grid Table 6 Colorful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63" w:customStyle="1">
    <w:name w:val="Grid Table 6 Colorful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64">
    <w:name w:val="Grid Table 7 Colorful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Grid Table 7 Colorful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 w:customStyle="1">
    <w:name w:val="Grid Table 7 Colorful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 w:customStyle="1">
    <w:name w:val="Grid Table 7 Colorful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rFonts w:ascii="Liberation Sans" w:hAnsi="Liberation Sans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0" w:customStyle="1">
    <w:name w:val="Grid Table 7 Colorful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1">
    <w:name w:val="List Table 1 Light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1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2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3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4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5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6"/>
    <w:basedOn w:val="67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5">
    <w:name w:val="List Table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5 Dark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0" w:customStyle="1">
    <w:name w:val="List Table 5 Dark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1" w:customStyle="1">
    <w:name w:val="List Table 5 Dark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2" w:customStyle="1">
    <w:name w:val="List Table 5 Dark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3" w:customStyle="1">
    <w:name w:val="List Table 5 Dark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4" w:customStyle="1">
    <w:name w:val="List Table 5 Dark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5" w:customStyle="1">
    <w:name w:val="List Table 5 Dark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6">
    <w:name w:val="List Table 6 Colorful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7" w:customStyle="1">
    <w:name w:val="List Table 6 Colorful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08" w:customStyle="1">
    <w:name w:val="List Table 6 Colorful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9" w:customStyle="1">
    <w:name w:val="List Table 6 Colorful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0" w:customStyle="1">
    <w:name w:val="List Table 6 Colorful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1" w:customStyle="1">
    <w:name w:val="List Table 6 Colorful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12" w:customStyle="1">
    <w:name w:val="List Table 6 Colorful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3">
    <w:name w:val="List Table 7 Colorful"/>
    <w:basedOn w:val="6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rFonts w:ascii="Liberation Sans" w:hAnsi="Liberation Sans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st Table 7 Colorful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st Table 7 Colorful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st Table 7 Colorful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List Table 7 Colorful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Lined - Accent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Lined - Accent 1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22" w:customStyle="1">
    <w:name w:val="Lined - Accent 2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3" w:customStyle="1">
    <w:name w:val="Lined - Accent 3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4" w:customStyle="1">
    <w:name w:val="Lined - Accent 4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5" w:customStyle="1">
    <w:name w:val="Lined - Accent 5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26" w:customStyle="1">
    <w:name w:val="Lined - Accent 6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7" w:customStyle="1">
    <w:name w:val="Bordered &amp; Lined - Accent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8" w:customStyle="1">
    <w:name w:val="Bordered &amp; Lined - Accent 1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29" w:customStyle="1">
    <w:name w:val="Bordered &amp; Lined - Accent 2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0" w:customStyle="1">
    <w:name w:val="Bordered &amp; Lined - Accent 3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1" w:customStyle="1">
    <w:name w:val="Bordered &amp; Lined - Accent 4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2" w:customStyle="1">
    <w:name w:val="Bordered &amp; Lined - Accent 5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33" w:customStyle="1">
    <w:name w:val="Bordered &amp; Lined - Accent 6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4" w:customStyle="1">
    <w:name w:val="Bordered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5" w:customStyle="1">
    <w:name w:val="Bordered - Accent 1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36" w:customStyle="1">
    <w:name w:val="Bordered - Accent 2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7" w:customStyle="1">
    <w:name w:val="Bordered - Accent 3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8" w:customStyle="1">
    <w:name w:val="Bordered - Accent 4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9" w:customStyle="1">
    <w:name w:val="Bordered - Accent 5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40" w:customStyle="1">
    <w:name w:val="Bordered - Accent 6"/>
    <w:basedOn w:val="67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41">
    <w:name w:val="Hyperlink"/>
    <w:uiPriority w:val="99"/>
    <w:unhideWhenUsed/>
    <w:rPr>
      <w:color w:val="0563c1" w:themeColor="hyperlink"/>
      <w:u w:val="single"/>
    </w:rPr>
  </w:style>
  <w:style w:type="paragraph" w:styleId="842">
    <w:name w:val="footnote text"/>
    <w:basedOn w:val="660"/>
    <w:link w:val="843"/>
    <w:uiPriority w:val="99"/>
    <w:semiHidden/>
    <w:unhideWhenUsed/>
    <w:pPr>
      <w:spacing w:after="40" w:line="240" w:lineRule="auto"/>
    </w:pPr>
    <w:rPr>
      <w:sz w:val="18"/>
    </w:rPr>
  </w:style>
  <w:style w:type="character" w:styleId="843" w:customStyle="1">
    <w:name w:val="Текст сноски Знак"/>
    <w:link w:val="842"/>
    <w:uiPriority w:val="99"/>
    <w:rPr>
      <w:sz w:val="18"/>
    </w:rPr>
  </w:style>
  <w:style w:type="character" w:styleId="844">
    <w:name w:val="footnote reference"/>
    <w:basedOn w:val="670"/>
    <w:uiPriority w:val="99"/>
    <w:unhideWhenUsed/>
    <w:rPr>
      <w:vertAlign w:val="superscript"/>
    </w:rPr>
  </w:style>
  <w:style w:type="paragraph" w:styleId="845">
    <w:name w:val="endnote text"/>
    <w:basedOn w:val="660"/>
    <w:link w:val="846"/>
    <w:uiPriority w:val="99"/>
    <w:semiHidden/>
    <w:unhideWhenUsed/>
    <w:pPr>
      <w:spacing w:line="240" w:lineRule="auto"/>
    </w:pPr>
    <w:rPr>
      <w:sz w:val="20"/>
    </w:rPr>
  </w:style>
  <w:style w:type="character" w:styleId="846" w:customStyle="1">
    <w:name w:val="Текст концевой сноски Знак"/>
    <w:link w:val="845"/>
    <w:uiPriority w:val="99"/>
    <w:rPr>
      <w:sz w:val="20"/>
    </w:rPr>
  </w:style>
  <w:style w:type="character" w:styleId="847">
    <w:name w:val="endnote reference"/>
    <w:basedOn w:val="670"/>
    <w:uiPriority w:val="99"/>
    <w:semiHidden/>
    <w:unhideWhenUsed/>
    <w:rPr>
      <w:vertAlign w:val="superscript"/>
    </w:rPr>
  </w:style>
  <w:style w:type="paragraph" w:styleId="848">
    <w:name w:val="toc 1"/>
    <w:basedOn w:val="660"/>
    <w:next w:val="660"/>
    <w:uiPriority w:val="39"/>
    <w:unhideWhenUsed/>
    <w:pPr>
      <w:ind w:firstLine="0"/>
      <w:spacing w:after="57"/>
    </w:pPr>
  </w:style>
  <w:style w:type="paragraph" w:styleId="849">
    <w:name w:val="toc 2"/>
    <w:basedOn w:val="660"/>
    <w:next w:val="660"/>
    <w:uiPriority w:val="39"/>
    <w:unhideWhenUsed/>
    <w:pPr>
      <w:ind w:left="283" w:firstLine="0"/>
      <w:spacing w:after="57"/>
    </w:pPr>
  </w:style>
  <w:style w:type="paragraph" w:styleId="850">
    <w:name w:val="toc 3"/>
    <w:basedOn w:val="660"/>
    <w:next w:val="660"/>
    <w:uiPriority w:val="39"/>
    <w:unhideWhenUsed/>
    <w:pPr>
      <w:ind w:left="567" w:firstLine="0"/>
      <w:spacing w:after="57"/>
    </w:pPr>
  </w:style>
  <w:style w:type="paragraph" w:styleId="851">
    <w:name w:val="toc 4"/>
    <w:basedOn w:val="660"/>
    <w:next w:val="660"/>
    <w:uiPriority w:val="39"/>
    <w:unhideWhenUsed/>
    <w:pPr>
      <w:ind w:left="850" w:firstLine="0"/>
      <w:spacing w:after="57"/>
    </w:pPr>
  </w:style>
  <w:style w:type="paragraph" w:styleId="852">
    <w:name w:val="toc 5"/>
    <w:basedOn w:val="660"/>
    <w:next w:val="660"/>
    <w:uiPriority w:val="39"/>
    <w:unhideWhenUsed/>
    <w:pPr>
      <w:ind w:left="1134" w:firstLine="0"/>
      <w:spacing w:after="57"/>
    </w:pPr>
  </w:style>
  <w:style w:type="paragraph" w:styleId="853">
    <w:name w:val="toc 6"/>
    <w:basedOn w:val="660"/>
    <w:next w:val="660"/>
    <w:uiPriority w:val="39"/>
    <w:unhideWhenUsed/>
    <w:pPr>
      <w:ind w:left="1417" w:firstLine="0"/>
      <w:spacing w:after="57"/>
    </w:pPr>
  </w:style>
  <w:style w:type="paragraph" w:styleId="854">
    <w:name w:val="toc 7"/>
    <w:basedOn w:val="660"/>
    <w:next w:val="660"/>
    <w:uiPriority w:val="39"/>
    <w:unhideWhenUsed/>
    <w:pPr>
      <w:ind w:left="1701" w:firstLine="0"/>
      <w:spacing w:after="57"/>
    </w:pPr>
  </w:style>
  <w:style w:type="paragraph" w:styleId="855">
    <w:name w:val="toc 8"/>
    <w:basedOn w:val="660"/>
    <w:next w:val="660"/>
    <w:uiPriority w:val="39"/>
    <w:unhideWhenUsed/>
    <w:pPr>
      <w:ind w:left="1984" w:firstLine="0"/>
      <w:spacing w:after="57"/>
    </w:pPr>
  </w:style>
  <w:style w:type="paragraph" w:styleId="856">
    <w:name w:val="toc 9"/>
    <w:basedOn w:val="660"/>
    <w:next w:val="660"/>
    <w:uiPriority w:val="39"/>
    <w:unhideWhenUsed/>
    <w:pPr>
      <w:ind w:left="2268" w:firstLine="0"/>
      <w:spacing w:after="57"/>
    </w:pPr>
  </w:style>
  <w:style w:type="paragraph" w:styleId="857">
    <w:name w:val="TOC Heading"/>
    <w:uiPriority w:val="39"/>
    <w:unhideWhenUsed/>
  </w:style>
  <w:style w:type="paragraph" w:styleId="858">
    <w:name w:val="table of figures"/>
    <w:basedOn w:val="660"/>
    <w:next w:val="660"/>
    <w:uiPriority w:val="99"/>
    <w:unhideWhenUsed/>
  </w:style>
  <w:style w:type="paragraph" w:styleId="859">
    <w:name w:val="List Paragraph"/>
    <w:basedOn w:val="660"/>
    <w:link w:val="860"/>
    <w:uiPriority w:val="34"/>
    <w:qFormat/>
    <w:pPr>
      <w:numPr>
        <w:ilvl w:val="0"/>
        <w:numId w:val="1"/>
      </w:numPr>
    </w:pPr>
  </w:style>
  <w:style w:type="character" w:styleId="860" w:customStyle="1">
    <w:name w:val="Абзац списка Знак"/>
    <w:link w:val="859"/>
    <w:uiPriority w:val="34"/>
    <w:qFormat/>
    <w:rPr>
      <w:rFonts w:ascii="Times New Roman" w:hAnsi="Times New Roman" w:eastAsia="Calibri" w:cs="Times New Roman"/>
      <w:spacing w:val="2"/>
      <w:sz w:val="24"/>
    </w:rPr>
  </w:style>
  <w:style w:type="paragraph" w:styleId="861">
    <w:name w:val="Balloon Text"/>
    <w:basedOn w:val="660"/>
    <w:link w:val="862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862" w:customStyle="1">
    <w:name w:val="Текст выноски Знак"/>
    <w:basedOn w:val="670"/>
    <w:link w:val="861"/>
    <w:uiPriority w:val="99"/>
    <w:semiHidden/>
    <w:rPr>
      <w:rFonts w:ascii="Segoe UI" w:hAnsi="Segoe UI" w:eastAsia="Calibri" w:cs="Segoe UI"/>
      <w:spacing w:val="2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 Ch.</dc:creator>
  <cp:keywords/>
  <dc:description/>
  <cp:lastModifiedBy>p.mukhin</cp:lastModifiedBy>
  <cp:revision>9</cp:revision>
  <dcterms:created xsi:type="dcterms:W3CDTF">2026-07-14T15:34:00Z</dcterms:created>
  <dcterms:modified xsi:type="dcterms:W3CDTF">2026-07-23T07:58:00Z</dcterms:modified>
</cp:coreProperties>
</file>