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0F1E28">
        <w:rPr>
          <w:rFonts w:ascii="Times New Roman" w:hAnsi="Times New Roman" w:cs="Times New Roman"/>
          <w:sz w:val="20"/>
          <w:szCs w:val="20"/>
        </w:rPr>
        <w:t>__________</w:t>
      </w:r>
      <w:r w:rsidRPr="00D91286">
        <w:rPr>
          <w:rFonts w:ascii="Times New Roman" w:hAnsi="Times New Roman" w:cs="Times New Roman"/>
          <w:sz w:val="20"/>
          <w:szCs w:val="20"/>
        </w:rPr>
        <w:t xml:space="preserve">, действующего на основании </w:t>
      </w:r>
      <w:r w:rsidR="000F1E28">
        <w:rPr>
          <w:rFonts w:ascii="Times New Roman" w:hAnsi="Times New Roman" w:cs="Times New Roman"/>
          <w:sz w:val="20"/>
          <w:szCs w:val="20"/>
        </w:rPr>
        <w:t>____________________</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Pr="00143A9F" w:rsidRDefault="00143A9F" w:rsidP="00850E69">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09276B">
        <w:rPr>
          <w:rFonts w:ascii="Times New Roman" w:hAnsi="Times New Roman" w:cs="Times New Roman"/>
        </w:rPr>
        <w:t>к</w:t>
      </w:r>
      <w:r w:rsidR="0009276B" w:rsidRPr="0009276B">
        <w:rPr>
          <w:rFonts w:ascii="Times New Roman" w:hAnsi="Times New Roman" w:cs="Times New Roman"/>
        </w:rPr>
        <w:t>улер для воды напольный с нижней загрузкой</w:t>
      </w:r>
      <w:r w:rsidR="000F1E28">
        <w:rPr>
          <w:rFonts w:ascii="Times New Roman" w:hAnsi="Times New Roman" w:cs="Times New Roman"/>
        </w:rPr>
        <w:t xml:space="preserve"> </w:t>
      </w:r>
      <w:r w:rsidR="000F1E28" w:rsidRPr="000F1E28">
        <w:rPr>
          <w:rFonts w:ascii="Times New Roman" w:hAnsi="Times New Roman" w:cs="Times New Roman"/>
        </w:rPr>
        <w:t xml:space="preserve">для оснащения комнаты матери 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1504C3" w:rsidRPr="0078793C">
        <w:rPr>
          <w:rFonts w:ascii="Times New Roman" w:hAnsi="Times New Roman" w:cs="Times New Roman"/>
        </w:rPr>
        <w:t>(</w:t>
      </w:r>
      <w:r w:rsidRPr="00143A9F">
        <w:rPr>
          <w:rFonts w:ascii="Times New Roman" w:hAnsi="Times New Roman" w:cs="Times New Roman"/>
        </w:rPr>
        <w:t>далее - Товар),</w:t>
      </w:r>
      <w:r w:rsidR="00EC1396">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F1E28" w:rsidRPr="000F1E28">
        <w:rPr>
          <w:rFonts w:ascii="Times New Roman" w:hAnsi="Times New Roman" w:cs="Times New Roman"/>
        </w:rPr>
        <w:t>субсидии, предоставляемые в соответствии с абзацем 2 пункта 1 ст.78.1БК РФ (код субсидии 08-04)</w:t>
      </w:r>
      <w:r w:rsidR="008547E0">
        <w:rPr>
          <w:rFonts w:ascii="Times New Roman" w:hAnsi="Times New Roman" w:cs="Times New Roman"/>
        </w:rPr>
        <w:t>,</w:t>
      </w:r>
      <w:r w:rsidR="000F1E28">
        <w:rPr>
          <w:rFonts w:ascii="Times New Roman" w:hAnsi="Times New Roman" w:cs="Times New Roman"/>
        </w:rPr>
        <w:t xml:space="preserve"> </w:t>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товар в полном объеме должен быть поставлен</w:t>
      </w:r>
      <w:r w:rsidR="0009276B">
        <w:rPr>
          <w:rFonts w:ascii="Times New Roman" w:hAnsi="Times New Roman" w:cs="Times New Roman"/>
        </w:rPr>
        <w:t xml:space="preserve"> не ранее 15.06.2026 </w:t>
      </w:r>
      <w:r w:rsidR="00522D1E" w:rsidRPr="00522D1E">
        <w:rPr>
          <w:rFonts w:ascii="Times New Roman" w:hAnsi="Times New Roman" w:cs="Times New Roman"/>
        </w:rPr>
        <w:t xml:space="preserve"> не позднее </w:t>
      </w:r>
      <w:r w:rsidR="000F1E28">
        <w:rPr>
          <w:rFonts w:ascii="Times New Roman" w:hAnsi="Times New Roman" w:cs="Times New Roman"/>
        </w:rPr>
        <w:lastRenderedPageBreak/>
        <w:t>01.08.2026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w:t>
      </w:r>
      <w:r w:rsidRPr="00AF697C">
        <w:rPr>
          <w:rFonts w:ascii="Times New Roman" w:hAnsi="Times New Roman" w:cs="Times New Roman"/>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432D00" w:rsidRDefault="00432D00" w:rsidP="00143A9F">
      <w:pPr>
        <w:pStyle w:val="ConsPlusNormal"/>
        <w:ind w:firstLine="540"/>
        <w:jc w:val="both"/>
        <w:rPr>
          <w:rFonts w:ascii="Times New Roman" w:hAnsi="Times New Roman" w:cs="Times New Roman"/>
        </w:rPr>
      </w:pPr>
    </w:p>
    <w:p w:rsidR="00EC1396" w:rsidRDefault="00EC1396" w:rsidP="00143A9F">
      <w:pPr>
        <w:pStyle w:val="ConsPlusNormal"/>
        <w:ind w:firstLine="540"/>
        <w:jc w:val="both"/>
        <w:rPr>
          <w:rFonts w:ascii="Times New Roman" w:hAnsi="Times New Roman" w:cs="Times New Roman"/>
        </w:rPr>
      </w:pP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w:t>
      </w:r>
      <w:r w:rsidRPr="002D370F">
        <w:rPr>
          <w:rFonts w:ascii="Times New Roman" w:hAnsi="Times New Roman" w:cs="Times New Roman"/>
        </w:rPr>
        <w:lastRenderedPageBreak/>
        <w:t>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143A9F" w:rsidRPr="0052077E"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r w:rsidR="004052E0" w:rsidRPr="0052077E">
        <w:rPr>
          <w:rFonts w:ascii="Times New Roman" w:hAnsi="Times New Roman" w:cs="Times New Roman"/>
        </w:rPr>
        <w:t>№</w:t>
      </w:r>
      <w:r w:rsidRPr="0052077E">
        <w:rPr>
          <w:rFonts w:ascii="Times New Roman" w:hAnsi="Times New Roman" w:cs="Times New Roman"/>
        </w:rPr>
        <w:t xml:space="preserve"> __</w:t>
      </w:r>
      <w:r w:rsidR="004052E0" w:rsidRPr="0052077E">
        <w:rPr>
          <w:rFonts w:ascii="Times New Roman" w:hAnsi="Times New Roman" w:cs="Times New Roman"/>
        </w:rPr>
        <w:t>____</w:t>
      </w:r>
      <w:r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0F1E28" w:rsidRDefault="00143A9F" w:rsidP="00080FDE">
      <w:pPr>
        <w:pStyle w:val="ConsPlusNormal"/>
        <w:ind w:firstLine="0"/>
        <w:jc w:val="center"/>
        <w:rPr>
          <w:rFonts w:ascii="Times New Roman" w:hAnsi="Times New Roman" w:cs="Times New Roman"/>
          <w:b/>
          <w:sz w:val="24"/>
          <w:szCs w:val="24"/>
        </w:rPr>
      </w:pPr>
      <w:bookmarkStart w:id="23" w:name="P497"/>
      <w:bookmarkEnd w:id="23"/>
      <w:r w:rsidRPr="000F1E28">
        <w:rPr>
          <w:rFonts w:ascii="Times New Roman" w:hAnsi="Times New Roman" w:cs="Times New Roman"/>
          <w:b/>
          <w:sz w:val="24"/>
          <w:szCs w:val="24"/>
        </w:rPr>
        <w:t>Спецификация</w:t>
      </w:r>
      <w:r w:rsidR="00CA411F" w:rsidRPr="000F1E28">
        <w:rPr>
          <w:rFonts w:ascii="Times New Roman" w:hAnsi="Times New Roman" w:cs="Times New Roman"/>
          <w:b/>
          <w:sz w:val="24"/>
          <w:szCs w:val="24"/>
        </w:rPr>
        <w:t xml:space="preserve"> </w:t>
      </w:r>
    </w:p>
    <w:p w:rsidR="000710C6" w:rsidRPr="000F1E28" w:rsidRDefault="000710C6" w:rsidP="00080FDE">
      <w:pPr>
        <w:pStyle w:val="ConsPlusNormal"/>
        <w:ind w:firstLine="0"/>
        <w:jc w:val="center"/>
        <w:rPr>
          <w:rFonts w:ascii="Times New Roman" w:hAnsi="Times New Roman" w:cs="Times New Roman"/>
          <w:b/>
          <w:sz w:val="24"/>
          <w:szCs w:val="24"/>
        </w:rPr>
      </w:pPr>
    </w:p>
    <w:p w:rsidR="000710C6" w:rsidRPr="000F1E28" w:rsidRDefault="000710C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 xml:space="preserve">Объект закупки: </w:t>
      </w:r>
      <w:r w:rsidRPr="000F1E28">
        <w:rPr>
          <w:rFonts w:ascii="Times New Roman" w:eastAsia="Calibri" w:hAnsi="Times New Roman" w:cs="Times New Roman"/>
          <w:sz w:val="24"/>
          <w:szCs w:val="24"/>
        </w:rPr>
        <w:t xml:space="preserve">Поставка </w:t>
      </w:r>
      <w:r w:rsidR="0009276B">
        <w:rPr>
          <w:rFonts w:ascii="Times New Roman" w:eastAsia="Calibri" w:hAnsi="Times New Roman" w:cs="Times New Roman"/>
          <w:sz w:val="24"/>
          <w:szCs w:val="24"/>
        </w:rPr>
        <w:t>к</w:t>
      </w:r>
      <w:r w:rsidR="0009276B" w:rsidRPr="0009276B">
        <w:rPr>
          <w:rFonts w:ascii="Times New Roman" w:eastAsia="Calibri" w:hAnsi="Times New Roman" w:cs="Times New Roman"/>
          <w:sz w:val="24"/>
          <w:szCs w:val="24"/>
        </w:rPr>
        <w:t>улер</w:t>
      </w:r>
      <w:r w:rsidR="0009276B">
        <w:rPr>
          <w:rFonts w:ascii="Times New Roman" w:eastAsia="Calibri" w:hAnsi="Times New Roman" w:cs="Times New Roman"/>
          <w:sz w:val="24"/>
          <w:szCs w:val="24"/>
        </w:rPr>
        <w:t>а для воды напольного</w:t>
      </w:r>
      <w:r w:rsidR="0009276B" w:rsidRPr="0009276B">
        <w:rPr>
          <w:rFonts w:ascii="Times New Roman" w:eastAsia="Calibri" w:hAnsi="Times New Roman" w:cs="Times New Roman"/>
          <w:sz w:val="24"/>
          <w:szCs w:val="24"/>
        </w:rPr>
        <w:t xml:space="preserve"> с нижней загрузкой</w:t>
      </w:r>
      <w:r w:rsidR="002E53D9">
        <w:rPr>
          <w:rFonts w:ascii="Times New Roman" w:eastAsia="Calibri" w:hAnsi="Times New Roman" w:cs="Times New Roman"/>
          <w:sz w:val="24"/>
          <w:szCs w:val="24"/>
        </w:rPr>
        <w:t xml:space="preserve"> </w:t>
      </w:r>
      <w:r w:rsidR="004E0B1F" w:rsidRPr="004E0B1F">
        <w:rPr>
          <w:rFonts w:ascii="Times New Roman" w:eastAsia="Calibri" w:hAnsi="Times New Roman" w:cs="Times New Roman"/>
          <w:sz w:val="24"/>
          <w:szCs w:val="24"/>
        </w:rPr>
        <w:t xml:space="preserve">для оснащения комнаты матери 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0F1E28" w:rsidRPr="000F1E28">
        <w:rPr>
          <w:rFonts w:ascii="Times New Roman" w:eastAsia="Calibri" w:hAnsi="Times New Roman" w:cs="Times New Roman"/>
          <w:sz w:val="24"/>
          <w:szCs w:val="24"/>
        </w:rPr>
        <w:t xml:space="preserve"> </w:t>
      </w:r>
      <w:r w:rsidRPr="000F1E28">
        <w:rPr>
          <w:rFonts w:ascii="Times New Roman" w:eastAsia="Calibri" w:hAnsi="Times New Roman" w:cs="Times New Roman"/>
          <w:sz w:val="24"/>
          <w:szCs w:val="24"/>
        </w:rPr>
        <w:t>(далее – товар).</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Место поставки товара:</w:t>
      </w:r>
      <w:r w:rsidRPr="000F1E28">
        <w:rPr>
          <w:rFonts w:ascii="Times New Roman" w:eastAsia="Calibri" w:hAnsi="Times New Roman" w:cs="Times New Roman"/>
          <w:sz w:val="24"/>
          <w:szCs w:val="24"/>
        </w:rPr>
        <w:t xml:space="preserve"> Краснодарский край, г. Сочи, ул. Пластунская, 94.</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Срок поставки товара:</w:t>
      </w:r>
      <w:r w:rsidRPr="000F1E28">
        <w:rPr>
          <w:rFonts w:ascii="Times New Roman" w:eastAsia="Calibri" w:hAnsi="Times New Roman" w:cs="Times New Roman"/>
          <w:sz w:val="24"/>
          <w:szCs w:val="24"/>
        </w:rPr>
        <w:t xml:space="preserve"> </w:t>
      </w:r>
      <w:r w:rsidR="000F1E28" w:rsidRPr="000F1E28">
        <w:rPr>
          <w:rFonts w:ascii="Times New Roman" w:eastAsia="Calibri" w:hAnsi="Times New Roman" w:cs="Times New Roman"/>
          <w:sz w:val="24"/>
          <w:szCs w:val="24"/>
        </w:rPr>
        <w:t xml:space="preserve">товар в полном объеме должен быть поставлен </w:t>
      </w:r>
      <w:r w:rsidR="0009276B">
        <w:rPr>
          <w:rFonts w:ascii="Times New Roman" w:eastAsia="Calibri" w:hAnsi="Times New Roman" w:cs="Times New Roman"/>
          <w:sz w:val="24"/>
          <w:szCs w:val="24"/>
        </w:rPr>
        <w:t>не ранее 1</w:t>
      </w:r>
      <w:bookmarkStart w:id="24" w:name="_GoBack"/>
      <w:bookmarkEnd w:id="24"/>
      <w:r w:rsidR="0009276B">
        <w:rPr>
          <w:rFonts w:ascii="Times New Roman" w:eastAsia="Calibri" w:hAnsi="Times New Roman" w:cs="Times New Roman"/>
          <w:sz w:val="24"/>
          <w:szCs w:val="24"/>
        </w:rPr>
        <w:t xml:space="preserve">5.06.2026 </w:t>
      </w:r>
      <w:r w:rsidR="000F1E28" w:rsidRPr="000F1E28">
        <w:rPr>
          <w:rFonts w:ascii="Times New Roman" w:eastAsia="Calibri" w:hAnsi="Times New Roman" w:cs="Times New Roman"/>
          <w:sz w:val="24"/>
          <w:szCs w:val="24"/>
        </w:rPr>
        <w:t>не позднее 01.08.2026 года</w:t>
      </w:r>
      <w:r w:rsidRPr="000F1E28">
        <w:rPr>
          <w:rFonts w:ascii="Times New Roman" w:eastAsia="Calibri" w:hAnsi="Times New Roman" w:cs="Times New Roman"/>
          <w:sz w:val="24"/>
          <w:szCs w:val="24"/>
        </w:rPr>
        <w:t>.</w:t>
      </w:r>
    </w:p>
    <w:p w:rsidR="00EC1396" w:rsidRPr="000F1E28" w:rsidRDefault="00EC1396" w:rsidP="000F1E28">
      <w:pPr>
        <w:pStyle w:val="ConsPlusNormal"/>
        <w:ind w:firstLine="567"/>
        <w:jc w:val="center"/>
        <w:rPr>
          <w:rFonts w:ascii="Times New Roman" w:hAnsi="Times New Roman" w:cs="Times New Roman"/>
          <w:b/>
          <w:sz w:val="24"/>
          <w:szCs w:val="24"/>
        </w:rPr>
      </w:pPr>
    </w:p>
    <w:p w:rsidR="000F1E28" w:rsidRPr="000F1E28" w:rsidRDefault="000F1E28" w:rsidP="000F1E28">
      <w:pPr>
        <w:spacing w:after="0" w:line="240" w:lineRule="auto"/>
        <w:ind w:firstLine="567"/>
        <w:jc w:val="both"/>
        <w:rPr>
          <w:rFonts w:ascii="Times New Roman" w:eastAsia="Calibri" w:hAnsi="Times New Roman" w:cs="Times New Roman"/>
          <w:b/>
          <w:sz w:val="24"/>
          <w:szCs w:val="24"/>
        </w:rPr>
      </w:pPr>
      <w:r w:rsidRPr="000F1E28">
        <w:rPr>
          <w:rFonts w:ascii="Times New Roman" w:eastAsia="Calibri" w:hAnsi="Times New Roman" w:cs="Times New Roman"/>
          <w:b/>
          <w:sz w:val="24"/>
          <w:szCs w:val="24"/>
        </w:rPr>
        <w:t>Общие сведения по поставке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1. Поставщик обязан поставить товар, являющийся объектом закупки, в сроки, объеме и качестве, указанными в контракте.</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 Общие требования к товару</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 Условия поставки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3.1. Весь товар, указанный в разделе 6 Спецификации, поставляется одной или отдельными партиями.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Pr="000F1E28">
        <w:rPr>
          <w:sz w:val="24"/>
          <w:szCs w:val="24"/>
        </w:rPr>
        <w:t xml:space="preserve"> </w:t>
      </w:r>
      <w:r w:rsidRPr="000F1E28">
        <w:rPr>
          <w:rFonts w:ascii="Times New Roman" w:eastAsia="Calibri" w:hAnsi="Times New Roman" w:cs="Times New Roman"/>
          <w:sz w:val="24"/>
          <w:szCs w:val="24"/>
        </w:rPr>
        <w:t>подъем в помещения, указанные Заказчиком.</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lastRenderedPageBreak/>
        <w:t>4. Требования к документации на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 Гарантия качества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6. Поставляемый товар:</w:t>
      </w:r>
    </w:p>
    <w:p w:rsidR="000710C6" w:rsidRPr="0052077E" w:rsidRDefault="000710C6" w:rsidP="000F1E28">
      <w:pPr>
        <w:spacing w:after="0" w:line="240" w:lineRule="auto"/>
        <w:jc w:val="both"/>
        <w:rPr>
          <w:rFonts w:ascii="Times New Roman" w:eastAsia="Calibri" w:hAnsi="Times New Roman" w:cs="Times New Roman"/>
          <w:b/>
          <w:sz w:val="20"/>
          <w:szCs w:val="20"/>
        </w:rPr>
      </w:pPr>
    </w:p>
    <w:tbl>
      <w:tblPr>
        <w:tblStyle w:val="2"/>
        <w:tblW w:w="10916" w:type="dxa"/>
        <w:tblInd w:w="-885" w:type="dxa"/>
        <w:tblLayout w:type="fixed"/>
        <w:tblLook w:val="04A0" w:firstRow="1" w:lastRow="0" w:firstColumn="1" w:lastColumn="0" w:noHBand="0" w:noVBand="1"/>
      </w:tblPr>
      <w:tblGrid>
        <w:gridCol w:w="562"/>
        <w:gridCol w:w="1281"/>
        <w:gridCol w:w="1560"/>
        <w:gridCol w:w="3118"/>
        <w:gridCol w:w="1135"/>
        <w:gridCol w:w="851"/>
        <w:gridCol w:w="566"/>
        <w:gridCol w:w="851"/>
        <w:gridCol w:w="992"/>
      </w:tblGrid>
      <w:tr w:rsidR="00792288" w:rsidRPr="002E53D9" w:rsidTr="00792288">
        <w:tc>
          <w:tcPr>
            <w:tcW w:w="562"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w:t>
            </w:r>
          </w:p>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п/п</w:t>
            </w:r>
          </w:p>
        </w:tc>
        <w:tc>
          <w:tcPr>
            <w:tcW w:w="1281" w:type="dxa"/>
          </w:tcPr>
          <w:p w:rsidR="00792288" w:rsidRPr="002E53D9" w:rsidRDefault="004E0B1F"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Изображение</w:t>
            </w:r>
          </w:p>
        </w:tc>
        <w:tc>
          <w:tcPr>
            <w:tcW w:w="1560"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Название товара</w:t>
            </w:r>
          </w:p>
        </w:tc>
        <w:tc>
          <w:tcPr>
            <w:tcW w:w="3118"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Описание</w:t>
            </w:r>
            <w:r w:rsidR="00931631" w:rsidRPr="002E53D9">
              <w:rPr>
                <w:rFonts w:ascii="Times New Roman" w:eastAsia="Calibri" w:hAnsi="Times New Roman" w:cs="Times New Roman"/>
                <w:sz w:val="20"/>
                <w:szCs w:val="20"/>
              </w:rPr>
              <w:t>, характеристики</w:t>
            </w:r>
          </w:p>
        </w:tc>
        <w:tc>
          <w:tcPr>
            <w:tcW w:w="1135" w:type="dxa"/>
          </w:tcPr>
          <w:p w:rsidR="00792288" w:rsidRPr="002E53D9" w:rsidRDefault="00792288" w:rsidP="00792288">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Страна происхождения товара</w:t>
            </w:r>
          </w:p>
        </w:tc>
        <w:tc>
          <w:tcPr>
            <w:tcW w:w="851" w:type="dxa"/>
          </w:tcPr>
          <w:p w:rsidR="00792288" w:rsidRPr="002E53D9" w:rsidRDefault="00792288" w:rsidP="00792288">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 xml:space="preserve">Единица измерения </w:t>
            </w:r>
          </w:p>
        </w:tc>
        <w:tc>
          <w:tcPr>
            <w:tcW w:w="566"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Кол-во</w:t>
            </w:r>
          </w:p>
        </w:tc>
        <w:tc>
          <w:tcPr>
            <w:tcW w:w="851"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Цена (руб.)</w:t>
            </w:r>
          </w:p>
        </w:tc>
        <w:tc>
          <w:tcPr>
            <w:tcW w:w="992"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Общая сумма (руб.)</w:t>
            </w:r>
          </w:p>
          <w:p w:rsidR="00792288" w:rsidRPr="002E53D9" w:rsidRDefault="00792288" w:rsidP="00792288">
            <w:pPr>
              <w:rPr>
                <w:rFonts w:ascii="Times New Roman" w:eastAsia="Calibri" w:hAnsi="Times New Roman" w:cs="Times New Roman"/>
                <w:sz w:val="20"/>
                <w:szCs w:val="20"/>
              </w:rPr>
            </w:pPr>
          </w:p>
        </w:tc>
      </w:tr>
      <w:tr w:rsidR="002E53D9" w:rsidRPr="002E53D9" w:rsidTr="00792288">
        <w:tc>
          <w:tcPr>
            <w:tcW w:w="562" w:type="dxa"/>
          </w:tcPr>
          <w:p w:rsidR="002E53D9" w:rsidRPr="002E53D9" w:rsidRDefault="002E53D9" w:rsidP="002E53D9">
            <w:pPr>
              <w:jc w:val="both"/>
              <w:rPr>
                <w:rFonts w:ascii="Times New Roman" w:hAnsi="Times New Roman" w:cs="Times New Roman"/>
                <w:sz w:val="20"/>
                <w:szCs w:val="20"/>
              </w:rPr>
            </w:pPr>
            <w:r w:rsidRPr="002E53D9">
              <w:rPr>
                <w:rFonts w:ascii="Times New Roman" w:hAnsi="Times New Roman" w:cs="Times New Roman"/>
                <w:sz w:val="20"/>
                <w:szCs w:val="20"/>
              </w:rPr>
              <w:t>1</w:t>
            </w:r>
          </w:p>
        </w:tc>
        <w:tc>
          <w:tcPr>
            <w:tcW w:w="1281" w:type="dxa"/>
          </w:tcPr>
          <w:p w:rsidR="002E53D9" w:rsidRPr="002E53D9" w:rsidRDefault="0009276B" w:rsidP="002E53D9">
            <w:pPr>
              <w:pStyle w:val="a4"/>
              <w:rPr>
                <w:sz w:val="20"/>
                <w:szCs w:val="20"/>
              </w:rPr>
            </w:pPr>
            <w:r>
              <w:rPr>
                <w:noProof/>
                <w:sz w:val="20"/>
                <w:szCs w:val="20"/>
              </w:rPr>
              <w:drawing>
                <wp:inline distT="0" distB="0" distL="0" distR="0" wp14:anchorId="663C25E6">
                  <wp:extent cx="744178" cy="15182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429" cy="1559565"/>
                          </a:xfrm>
                          <a:prstGeom prst="rect">
                            <a:avLst/>
                          </a:prstGeom>
                          <a:noFill/>
                        </pic:spPr>
                      </pic:pic>
                    </a:graphicData>
                  </a:graphic>
                </wp:inline>
              </w:drawing>
            </w:r>
          </w:p>
        </w:tc>
        <w:tc>
          <w:tcPr>
            <w:tcW w:w="1560" w:type="dxa"/>
          </w:tcPr>
          <w:p w:rsidR="002E53D9" w:rsidRPr="002E53D9"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Кулер для воды напольный с нижней загрузкой</w:t>
            </w:r>
          </w:p>
        </w:tc>
        <w:tc>
          <w:tcPr>
            <w:tcW w:w="3118" w:type="dxa"/>
          </w:tcPr>
          <w:p w:rsidR="0009276B" w:rsidRPr="0009276B" w:rsidRDefault="002E53D9" w:rsidP="0009276B">
            <w:pPr>
              <w:jc w:val="both"/>
              <w:rPr>
                <w:rFonts w:ascii="Times New Roman" w:hAnsi="Times New Roman" w:cs="Times New Roman"/>
                <w:sz w:val="20"/>
                <w:szCs w:val="20"/>
              </w:rPr>
            </w:pPr>
            <w:r w:rsidRPr="002E53D9">
              <w:rPr>
                <w:rFonts w:ascii="Times New Roman" w:hAnsi="Times New Roman" w:cs="Times New Roman"/>
                <w:sz w:val="20"/>
                <w:szCs w:val="20"/>
              </w:rPr>
              <w:t xml:space="preserve"> </w:t>
            </w:r>
            <w:r w:rsidR="0009276B" w:rsidRPr="0009276B">
              <w:rPr>
                <w:rFonts w:ascii="Times New Roman" w:hAnsi="Times New Roman" w:cs="Times New Roman"/>
                <w:sz w:val="20"/>
                <w:szCs w:val="20"/>
              </w:rPr>
              <w:t>Размещение кулера Напольный</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Загрузка бутылки Снизу</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Температура воды Горячая</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Тип охлаждения воды Без охлаждения</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Размеры, мм 310mmx300mmx1000mm</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Тип Кулер для воды</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Цвет Белый</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Мощность нагрева, Вт 550</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Мощность охлаждения, Вт 70</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Макс. температура нагрева воды, °С 100</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Класс энергоэффективности A++</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Управление Сенсорный экран</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Количество краников 2</w:t>
            </w:r>
          </w:p>
          <w:p w:rsidR="0009276B" w:rsidRPr="0009276B"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Индикация Нагрев</w:t>
            </w:r>
          </w:p>
          <w:p w:rsidR="002E53D9" w:rsidRPr="002E53D9" w:rsidRDefault="0009276B" w:rsidP="0009276B">
            <w:pPr>
              <w:jc w:val="both"/>
              <w:rPr>
                <w:rFonts w:ascii="Times New Roman" w:hAnsi="Times New Roman" w:cs="Times New Roman"/>
                <w:sz w:val="20"/>
                <w:szCs w:val="20"/>
              </w:rPr>
            </w:pPr>
            <w:r w:rsidRPr="0009276B">
              <w:rPr>
                <w:rFonts w:ascii="Times New Roman" w:hAnsi="Times New Roman" w:cs="Times New Roman"/>
                <w:sz w:val="20"/>
                <w:szCs w:val="20"/>
              </w:rPr>
              <w:t>Материал корпуса Металл, Пластик, Стекло</w:t>
            </w:r>
          </w:p>
        </w:tc>
        <w:tc>
          <w:tcPr>
            <w:tcW w:w="1135" w:type="dxa"/>
          </w:tcPr>
          <w:p w:rsidR="002E53D9" w:rsidRPr="002E53D9" w:rsidRDefault="002E53D9" w:rsidP="002E53D9">
            <w:pPr>
              <w:jc w:val="both"/>
              <w:rPr>
                <w:rFonts w:ascii="Times New Roman" w:hAnsi="Times New Roman" w:cs="Times New Roman"/>
                <w:sz w:val="20"/>
                <w:szCs w:val="20"/>
              </w:rPr>
            </w:pPr>
          </w:p>
        </w:tc>
        <w:tc>
          <w:tcPr>
            <w:tcW w:w="851" w:type="dxa"/>
          </w:tcPr>
          <w:p w:rsidR="002E53D9" w:rsidRPr="002E53D9" w:rsidRDefault="005344FD" w:rsidP="002E53D9">
            <w:pPr>
              <w:jc w:val="both"/>
              <w:rPr>
                <w:rFonts w:ascii="Times New Roman" w:eastAsia="Calibri" w:hAnsi="Times New Roman" w:cs="Times New Roman"/>
                <w:sz w:val="20"/>
                <w:szCs w:val="20"/>
              </w:rPr>
            </w:pPr>
            <w:r>
              <w:rPr>
                <w:rFonts w:ascii="Times New Roman" w:eastAsia="Calibri" w:hAnsi="Times New Roman" w:cs="Times New Roman"/>
                <w:sz w:val="20"/>
                <w:szCs w:val="20"/>
              </w:rPr>
              <w:t>штука</w:t>
            </w:r>
          </w:p>
        </w:tc>
        <w:tc>
          <w:tcPr>
            <w:tcW w:w="566" w:type="dxa"/>
          </w:tcPr>
          <w:p w:rsidR="002E53D9" w:rsidRPr="002E53D9" w:rsidRDefault="002E53D9" w:rsidP="002E53D9">
            <w:pPr>
              <w:jc w:val="both"/>
              <w:rPr>
                <w:rFonts w:ascii="Times New Roman" w:hAnsi="Times New Roman" w:cs="Times New Roman"/>
                <w:sz w:val="20"/>
                <w:szCs w:val="20"/>
              </w:rPr>
            </w:pPr>
            <w:r w:rsidRPr="002E53D9">
              <w:rPr>
                <w:rFonts w:ascii="Times New Roman" w:hAnsi="Times New Roman" w:cs="Times New Roman"/>
                <w:sz w:val="20"/>
                <w:szCs w:val="20"/>
              </w:rPr>
              <w:t>1</w:t>
            </w:r>
          </w:p>
        </w:tc>
        <w:tc>
          <w:tcPr>
            <w:tcW w:w="851" w:type="dxa"/>
          </w:tcPr>
          <w:p w:rsidR="002E53D9" w:rsidRPr="002E53D9" w:rsidRDefault="002E53D9" w:rsidP="002E53D9">
            <w:pPr>
              <w:jc w:val="both"/>
              <w:rPr>
                <w:rFonts w:ascii="Times New Roman" w:eastAsia="Calibri" w:hAnsi="Times New Roman" w:cs="Times New Roman"/>
                <w:sz w:val="20"/>
                <w:szCs w:val="20"/>
              </w:rPr>
            </w:pPr>
          </w:p>
        </w:tc>
        <w:tc>
          <w:tcPr>
            <w:tcW w:w="992" w:type="dxa"/>
          </w:tcPr>
          <w:p w:rsidR="002E53D9" w:rsidRPr="002E53D9" w:rsidRDefault="002E53D9" w:rsidP="002E53D9">
            <w:pPr>
              <w:jc w:val="both"/>
              <w:rPr>
                <w:rFonts w:ascii="Times New Roman" w:eastAsia="Calibri" w:hAnsi="Times New Roman" w:cs="Times New Roman"/>
                <w:sz w:val="20"/>
                <w:szCs w:val="20"/>
              </w:rPr>
            </w:pPr>
          </w:p>
        </w:tc>
      </w:tr>
      <w:tr w:rsidR="004E0B1F" w:rsidRPr="002E53D9" w:rsidTr="00E874D5">
        <w:tc>
          <w:tcPr>
            <w:tcW w:w="9924" w:type="dxa"/>
            <w:gridSpan w:val="8"/>
          </w:tcPr>
          <w:p w:rsidR="004E0B1F" w:rsidRPr="002E53D9" w:rsidRDefault="004E0B1F" w:rsidP="004E0B1F">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ИТОГО:</w:t>
            </w:r>
          </w:p>
        </w:tc>
        <w:tc>
          <w:tcPr>
            <w:tcW w:w="992" w:type="dxa"/>
          </w:tcPr>
          <w:p w:rsidR="004E0B1F" w:rsidRPr="002E53D9" w:rsidRDefault="004E0B1F" w:rsidP="004E0B1F">
            <w:pPr>
              <w:jc w:val="both"/>
              <w:rPr>
                <w:rFonts w:ascii="Times New Roman" w:eastAsia="Calibri" w:hAnsi="Times New Roman" w:cs="Times New Roman"/>
                <w:sz w:val="20"/>
                <w:szCs w:val="20"/>
              </w:rPr>
            </w:pPr>
          </w:p>
        </w:tc>
      </w:tr>
    </w:tbl>
    <w:p w:rsidR="009F650C" w:rsidRDefault="009F650C" w:rsidP="0052077E">
      <w:pPr>
        <w:rPr>
          <w:rFonts w:ascii="Times New Roman" w:hAnsi="Times New Roman" w:cs="Times New Roman"/>
          <w:sz w:val="20"/>
          <w:szCs w:val="20"/>
        </w:rPr>
      </w:pPr>
    </w:p>
    <w:p w:rsidR="00792288" w:rsidRDefault="00792288" w:rsidP="0052077E">
      <w:pPr>
        <w:rPr>
          <w:rFonts w:ascii="Times New Roman" w:hAnsi="Times New Roman" w:cs="Times New Roman"/>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792288" w:rsidRPr="0052077E" w:rsidTr="0050562A">
        <w:trPr>
          <w:trHeight w:val="1417"/>
        </w:trPr>
        <w:tc>
          <w:tcPr>
            <w:tcW w:w="2571"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792288" w:rsidRPr="0052077E" w:rsidRDefault="00792288" w:rsidP="0052077E">
      <w:pPr>
        <w:rPr>
          <w:rFonts w:ascii="Times New Roman" w:hAnsi="Times New Roman" w:cs="Times New Roman"/>
          <w:sz w:val="20"/>
          <w:szCs w:val="20"/>
        </w:rPr>
      </w:pPr>
    </w:p>
    <w:sectPr w:rsidR="00792288"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39" w:rsidRDefault="00116639" w:rsidP="00143A9F">
      <w:pPr>
        <w:spacing w:after="0" w:line="240" w:lineRule="auto"/>
      </w:pPr>
      <w:r>
        <w:separator/>
      </w:r>
    </w:p>
  </w:endnote>
  <w:endnote w:type="continuationSeparator" w:id="0">
    <w:p w:rsidR="00116639" w:rsidRDefault="00116639"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39" w:rsidRDefault="00116639" w:rsidP="00143A9F">
      <w:pPr>
        <w:spacing w:after="0" w:line="240" w:lineRule="auto"/>
      </w:pPr>
      <w:r>
        <w:separator/>
      </w:r>
    </w:p>
  </w:footnote>
  <w:footnote w:type="continuationSeparator" w:id="0">
    <w:p w:rsidR="00116639" w:rsidRDefault="00116639"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217AA"/>
    <w:rsid w:val="00026EA0"/>
    <w:rsid w:val="00027D73"/>
    <w:rsid w:val="00030EF0"/>
    <w:rsid w:val="00036AB7"/>
    <w:rsid w:val="00041ADD"/>
    <w:rsid w:val="00042EA4"/>
    <w:rsid w:val="00043195"/>
    <w:rsid w:val="000462E8"/>
    <w:rsid w:val="000533E0"/>
    <w:rsid w:val="000650BF"/>
    <w:rsid w:val="00066DAA"/>
    <w:rsid w:val="000710C6"/>
    <w:rsid w:val="00071293"/>
    <w:rsid w:val="00077277"/>
    <w:rsid w:val="00080FDE"/>
    <w:rsid w:val="000819A4"/>
    <w:rsid w:val="000902C7"/>
    <w:rsid w:val="0009276B"/>
    <w:rsid w:val="000A0B2C"/>
    <w:rsid w:val="000B2732"/>
    <w:rsid w:val="000B2A57"/>
    <w:rsid w:val="000C29C1"/>
    <w:rsid w:val="000C3E54"/>
    <w:rsid w:val="000C7565"/>
    <w:rsid w:val="000E5563"/>
    <w:rsid w:val="000F1E28"/>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3E7D"/>
    <w:rsid w:val="0018596D"/>
    <w:rsid w:val="001917AE"/>
    <w:rsid w:val="00193DEE"/>
    <w:rsid w:val="00197C4D"/>
    <w:rsid w:val="001A5E3F"/>
    <w:rsid w:val="001A63FE"/>
    <w:rsid w:val="001B06F1"/>
    <w:rsid w:val="001C7BE2"/>
    <w:rsid w:val="001D4153"/>
    <w:rsid w:val="001D623F"/>
    <w:rsid w:val="001D6AEB"/>
    <w:rsid w:val="001E30B2"/>
    <w:rsid w:val="00201E0F"/>
    <w:rsid w:val="00206040"/>
    <w:rsid w:val="00210691"/>
    <w:rsid w:val="00216C15"/>
    <w:rsid w:val="00225F90"/>
    <w:rsid w:val="00227A01"/>
    <w:rsid w:val="0023186D"/>
    <w:rsid w:val="002336DE"/>
    <w:rsid w:val="002436FE"/>
    <w:rsid w:val="0024411D"/>
    <w:rsid w:val="0024464B"/>
    <w:rsid w:val="002463A2"/>
    <w:rsid w:val="002545DA"/>
    <w:rsid w:val="0026518A"/>
    <w:rsid w:val="002737ED"/>
    <w:rsid w:val="0027395D"/>
    <w:rsid w:val="002927B5"/>
    <w:rsid w:val="002A71AA"/>
    <w:rsid w:val="002B4D67"/>
    <w:rsid w:val="002C3F37"/>
    <w:rsid w:val="002C5EDA"/>
    <w:rsid w:val="002C7A76"/>
    <w:rsid w:val="002D731A"/>
    <w:rsid w:val="002E1811"/>
    <w:rsid w:val="002E23E7"/>
    <w:rsid w:val="002E42E6"/>
    <w:rsid w:val="002E53D9"/>
    <w:rsid w:val="002E7CA4"/>
    <w:rsid w:val="003008F0"/>
    <w:rsid w:val="00302223"/>
    <w:rsid w:val="00302FF1"/>
    <w:rsid w:val="00317676"/>
    <w:rsid w:val="00337D8D"/>
    <w:rsid w:val="003463AB"/>
    <w:rsid w:val="0034799A"/>
    <w:rsid w:val="00350272"/>
    <w:rsid w:val="003548BF"/>
    <w:rsid w:val="0035559D"/>
    <w:rsid w:val="00362F68"/>
    <w:rsid w:val="00371CCB"/>
    <w:rsid w:val="003843D6"/>
    <w:rsid w:val="00386657"/>
    <w:rsid w:val="00392ACE"/>
    <w:rsid w:val="003A02E9"/>
    <w:rsid w:val="003A498C"/>
    <w:rsid w:val="003B3B43"/>
    <w:rsid w:val="003B4A94"/>
    <w:rsid w:val="003B52A3"/>
    <w:rsid w:val="003C5F6E"/>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6CBB"/>
    <w:rsid w:val="004371A7"/>
    <w:rsid w:val="004700B4"/>
    <w:rsid w:val="004721C3"/>
    <w:rsid w:val="00491B4B"/>
    <w:rsid w:val="00492C15"/>
    <w:rsid w:val="00493412"/>
    <w:rsid w:val="004C2852"/>
    <w:rsid w:val="004C2A29"/>
    <w:rsid w:val="004C5798"/>
    <w:rsid w:val="004E0B1F"/>
    <w:rsid w:val="004F41C5"/>
    <w:rsid w:val="004F6530"/>
    <w:rsid w:val="00500D63"/>
    <w:rsid w:val="005036B6"/>
    <w:rsid w:val="00515AC2"/>
    <w:rsid w:val="00516209"/>
    <w:rsid w:val="00517EE9"/>
    <w:rsid w:val="0052077E"/>
    <w:rsid w:val="00522D1E"/>
    <w:rsid w:val="005257DD"/>
    <w:rsid w:val="00527BE9"/>
    <w:rsid w:val="005344FD"/>
    <w:rsid w:val="00534795"/>
    <w:rsid w:val="00542992"/>
    <w:rsid w:val="00543781"/>
    <w:rsid w:val="00556C7A"/>
    <w:rsid w:val="00572C8F"/>
    <w:rsid w:val="005958F0"/>
    <w:rsid w:val="005A7297"/>
    <w:rsid w:val="005B2E63"/>
    <w:rsid w:val="005B323B"/>
    <w:rsid w:val="005B721A"/>
    <w:rsid w:val="005C0DE6"/>
    <w:rsid w:val="005C190A"/>
    <w:rsid w:val="005C6F30"/>
    <w:rsid w:val="005E350E"/>
    <w:rsid w:val="005F1575"/>
    <w:rsid w:val="005F3737"/>
    <w:rsid w:val="005F4DBF"/>
    <w:rsid w:val="0061489B"/>
    <w:rsid w:val="0062295A"/>
    <w:rsid w:val="006407E5"/>
    <w:rsid w:val="006508FE"/>
    <w:rsid w:val="00653D6D"/>
    <w:rsid w:val="0066023C"/>
    <w:rsid w:val="00660E64"/>
    <w:rsid w:val="00661A1F"/>
    <w:rsid w:val="0066604C"/>
    <w:rsid w:val="00684192"/>
    <w:rsid w:val="006851EF"/>
    <w:rsid w:val="00693DAB"/>
    <w:rsid w:val="006A36A1"/>
    <w:rsid w:val="006A3EBA"/>
    <w:rsid w:val="006A563C"/>
    <w:rsid w:val="006A70E8"/>
    <w:rsid w:val="006B7B52"/>
    <w:rsid w:val="006C12E1"/>
    <w:rsid w:val="006C2F4E"/>
    <w:rsid w:val="006C3219"/>
    <w:rsid w:val="006C41BB"/>
    <w:rsid w:val="006D3E4E"/>
    <w:rsid w:val="006D548D"/>
    <w:rsid w:val="007026AB"/>
    <w:rsid w:val="00732722"/>
    <w:rsid w:val="007346D9"/>
    <w:rsid w:val="00737735"/>
    <w:rsid w:val="00764B03"/>
    <w:rsid w:val="007712B0"/>
    <w:rsid w:val="00771D19"/>
    <w:rsid w:val="00772078"/>
    <w:rsid w:val="00772C56"/>
    <w:rsid w:val="007768A1"/>
    <w:rsid w:val="00776D78"/>
    <w:rsid w:val="007877B8"/>
    <w:rsid w:val="0078793C"/>
    <w:rsid w:val="00792288"/>
    <w:rsid w:val="007B40DF"/>
    <w:rsid w:val="007C1D25"/>
    <w:rsid w:val="007D2480"/>
    <w:rsid w:val="007D5F7E"/>
    <w:rsid w:val="007E0730"/>
    <w:rsid w:val="007E0D33"/>
    <w:rsid w:val="007E2927"/>
    <w:rsid w:val="007E5E06"/>
    <w:rsid w:val="007E71F0"/>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5908"/>
    <w:rsid w:val="0087432F"/>
    <w:rsid w:val="0087626E"/>
    <w:rsid w:val="008775DE"/>
    <w:rsid w:val="00881DCA"/>
    <w:rsid w:val="008833E6"/>
    <w:rsid w:val="00884C24"/>
    <w:rsid w:val="00893275"/>
    <w:rsid w:val="008A2F7B"/>
    <w:rsid w:val="008A3FD2"/>
    <w:rsid w:val="008B04A2"/>
    <w:rsid w:val="008B4AC6"/>
    <w:rsid w:val="008B51AD"/>
    <w:rsid w:val="008C4FEA"/>
    <w:rsid w:val="008D2462"/>
    <w:rsid w:val="008E26DB"/>
    <w:rsid w:val="008E54D3"/>
    <w:rsid w:val="008E6449"/>
    <w:rsid w:val="008E68E7"/>
    <w:rsid w:val="008E72DC"/>
    <w:rsid w:val="009014F1"/>
    <w:rsid w:val="009043A2"/>
    <w:rsid w:val="009046F7"/>
    <w:rsid w:val="00916065"/>
    <w:rsid w:val="00931631"/>
    <w:rsid w:val="00931BB9"/>
    <w:rsid w:val="00934DCA"/>
    <w:rsid w:val="00935EC5"/>
    <w:rsid w:val="00937F4F"/>
    <w:rsid w:val="00944136"/>
    <w:rsid w:val="00944ACB"/>
    <w:rsid w:val="009563EB"/>
    <w:rsid w:val="009871BB"/>
    <w:rsid w:val="00987348"/>
    <w:rsid w:val="009901DE"/>
    <w:rsid w:val="00993B39"/>
    <w:rsid w:val="009A60EC"/>
    <w:rsid w:val="009B04DE"/>
    <w:rsid w:val="009C6CC4"/>
    <w:rsid w:val="009C79DF"/>
    <w:rsid w:val="009D1BE6"/>
    <w:rsid w:val="009D30AF"/>
    <w:rsid w:val="009D33E8"/>
    <w:rsid w:val="009E01B9"/>
    <w:rsid w:val="009E4413"/>
    <w:rsid w:val="009F3465"/>
    <w:rsid w:val="009F5501"/>
    <w:rsid w:val="009F650C"/>
    <w:rsid w:val="00A00422"/>
    <w:rsid w:val="00A04291"/>
    <w:rsid w:val="00A05A17"/>
    <w:rsid w:val="00A1400D"/>
    <w:rsid w:val="00A150AE"/>
    <w:rsid w:val="00A2090C"/>
    <w:rsid w:val="00A20EA1"/>
    <w:rsid w:val="00A334B0"/>
    <w:rsid w:val="00A344BC"/>
    <w:rsid w:val="00A44F88"/>
    <w:rsid w:val="00A46127"/>
    <w:rsid w:val="00A477DD"/>
    <w:rsid w:val="00A5216E"/>
    <w:rsid w:val="00A5500F"/>
    <w:rsid w:val="00A55A9E"/>
    <w:rsid w:val="00A65F3C"/>
    <w:rsid w:val="00A752AE"/>
    <w:rsid w:val="00A84A4D"/>
    <w:rsid w:val="00A8733F"/>
    <w:rsid w:val="00AC1DD5"/>
    <w:rsid w:val="00AC39A9"/>
    <w:rsid w:val="00AF2E48"/>
    <w:rsid w:val="00AF3AA4"/>
    <w:rsid w:val="00AF4BC5"/>
    <w:rsid w:val="00AF7AE9"/>
    <w:rsid w:val="00B06EB5"/>
    <w:rsid w:val="00B1406B"/>
    <w:rsid w:val="00B208AA"/>
    <w:rsid w:val="00B2210B"/>
    <w:rsid w:val="00B2305E"/>
    <w:rsid w:val="00B278F9"/>
    <w:rsid w:val="00B3073A"/>
    <w:rsid w:val="00B33701"/>
    <w:rsid w:val="00B36A24"/>
    <w:rsid w:val="00B4097F"/>
    <w:rsid w:val="00B44259"/>
    <w:rsid w:val="00B50210"/>
    <w:rsid w:val="00B56093"/>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26A8A"/>
    <w:rsid w:val="00C34915"/>
    <w:rsid w:val="00C349EB"/>
    <w:rsid w:val="00C35760"/>
    <w:rsid w:val="00C42A93"/>
    <w:rsid w:val="00C5368A"/>
    <w:rsid w:val="00C61E58"/>
    <w:rsid w:val="00C65464"/>
    <w:rsid w:val="00C71227"/>
    <w:rsid w:val="00C74480"/>
    <w:rsid w:val="00C86737"/>
    <w:rsid w:val="00C9173C"/>
    <w:rsid w:val="00CA1B45"/>
    <w:rsid w:val="00CA411F"/>
    <w:rsid w:val="00CA5144"/>
    <w:rsid w:val="00CC3C93"/>
    <w:rsid w:val="00CD1EA2"/>
    <w:rsid w:val="00CD5B4B"/>
    <w:rsid w:val="00CD7D49"/>
    <w:rsid w:val="00CE6491"/>
    <w:rsid w:val="00D04BEC"/>
    <w:rsid w:val="00D0659F"/>
    <w:rsid w:val="00D11A1D"/>
    <w:rsid w:val="00D12BBE"/>
    <w:rsid w:val="00D13BDC"/>
    <w:rsid w:val="00D17E60"/>
    <w:rsid w:val="00D248D8"/>
    <w:rsid w:val="00D3534A"/>
    <w:rsid w:val="00D361B5"/>
    <w:rsid w:val="00D42085"/>
    <w:rsid w:val="00D46D93"/>
    <w:rsid w:val="00D47018"/>
    <w:rsid w:val="00D47BF4"/>
    <w:rsid w:val="00D51E54"/>
    <w:rsid w:val="00D572A7"/>
    <w:rsid w:val="00D60C58"/>
    <w:rsid w:val="00D91286"/>
    <w:rsid w:val="00D92879"/>
    <w:rsid w:val="00D942A9"/>
    <w:rsid w:val="00D950FB"/>
    <w:rsid w:val="00DA2F3A"/>
    <w:rsid w:val="00DA50B7"/>
    <w:rsid w:val="00DA6FBB"/>
    <w:rsid w:val="00DA7F52"/>
    <w:rsid w:val="00DB5795"/>
    <w:rsid w:val="00DB70E2"/>
    <w:rsid w:val="00DC12DC"/>
    <w:rsid w:val="00DC2195"/>
    <w:rsid w:val="00DC23CE"/>
    <w:rsid w:val="00DC3E13"/>
    <w:rsid w:val="00DC4C25"/>
    <w:rsid w:val="00DC4CB6"/>
    <w:rsid w:val="00DE2092"/>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6373"/>
    <w:rsid w:val="00EB04FA"/>
    <w:rsid w:val="00EB4371"/>
    <w:rsid w:val="00EB6FB3"/>
    <w:rsid w:val="00EC1396"/>
    <w:rsid w:val="00ED420E"/>
    <w:rsid w:val="00EF65B2"/>
    <w:rsid w:val="00F12AA1"/>
    <w:rsid w:val="00F21E35"/>
    <w:rsid w:val="00F25A53"/>
    <w:rsid w:val="00F26C0C"/>
    <w:rsid w:val="00F43F00"/>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ED2C8"/>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2">
    <w:name w:val="Сетка таблицы2"/>
    <w:basedOn w:val="a1"/>
    <w:next w:val="af4"/>
    <w:uiPriority w:val="39"/>
    <w:rsid w:val="0079228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52D96-D1F3-4BF9-B661-DA1E4536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7</Pages>
  <Words>3828</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191</cp:revision>
  <cp:lastPrinted>2026-06-17T17:21:00Z</cp:lastPrinted>
  <dcterms:created xsi:type="dcterms:W3CDTF">2022-10-12T12:38:00Z</dcterms:created>
  <dcterms:modified xsi:type="dcterms:W3CDTF">2026-06-17T17:22:00Z</dcterms:modified>
</cp:coreProperties>
</file>