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7"/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Государственный контракт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№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  <w:t xml:space="preserve">028-26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на оказание услуг по плановому техническому обслуживанию автомобил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ей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893"/>
        <w:jc w:val="center"/>
        <w:spacing w:before="0" w:after="0" w:line="240" w:lineRule="auto"/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  <w:u w:val="none"/>
        </w:rPr>
        <w:t xml:space="preserve">ИКЗ: </w:t>
      </w:r>
      <w:r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  <w:t xml:space="preserve">26 1 4401050246 440101001 0016 009 0000 244</w:t>
      </w:r>
      <w:r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b/>
          <w:bCs/>
          <w:i/>
          <w:iCs/>
          <w:sz w:val="24"/>
          <w:szCs w:val="24"/>
          <w:highlight w:val="none"/>
          <w:u w:val="none"/>
        </w:rPr>
      </w:r>
    </w:p>
    <w:p>
      <w:pPr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67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Кострома </w:t>
        <w:tab/>
        <w:tab/>
        <w:tab/>
        <w:tab/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«___» апреля 202</w:t>
      </w:r>
      <w:r>
        <w:rPr>
          <w:rFonts w:ascii="PT Astra Serif" w:hAnsi="PT Astra Serif" w:cs="PT Astra Serif"/>
          <w:sz w:val="24"/>
          <w:szCs w:val="24"/>
        </w:rPr>
        <w:t xml:space="preserve">6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355"/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</w:r>
      <w:r>
        <w:rPr>
          <w:u w:val="singl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Костромской области (Управление Росреестра по Костромской области)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именуемое в дальнейшем «Заказчик», в лице и.о. руководителя Управления </w:t>
      </w:r>
      <w:r>
        <w:rPr>
          <w:rFonts w:ascii="PT Astra Serif" w:hAnsi="PT Astra Serif" w:eastAsia="PT Astra Serif" w:cs="PT Astra Serif"/>
          <w:color w:val="ff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Добровольской Елены Сергеевны, действующего на основании Положения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об Управлении и приказа Управления от 26.02.2026 № 39-к/о, с одной стороны,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</w:rPr>
        <w:t xml:space="preserve">Индивидуальный предприниматель Вершинин Иван Владимирович,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именуем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ый в дальнейшем «Исполнитель», в лице Вершинина Ивана Владимировича,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другой стороны,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совместно именуемые «Стороны», в соответствии с п.4 ч.1 ст.93 Федерального закона от 05.04.2013 № 44-ФЗ         «О контрактной системе в сфере закупок товаров, работ, услуг для обеспечения государственных и муниципальных нужд» (д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алее - Закон №44-ФЗ)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заключили настоящий государственный контракт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(далее – Контракт) о нижеследующем:</w:t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numPr>
          <w:ilvl w:val="0"/>
          <w:numId w:val="4"/>
        </w:numPr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Предмет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нт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8"/>
        <w:jc w:val="both"/>
        <w:rPr>
          <w:rFonts w:ascii="PT Astra Serif" w:hAnsi="PT Astra Serif" w:cs="PT Astra Serif"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1.1.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По настоящему Контракту Исполнитель обязуется оказать услуги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по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плановому техническому обслуживанию автомобилей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(далее- Услуги)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в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соответствии с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Техническим заданием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№1 к Контракту) 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Спецификацией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№2 к Контракту)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которые являются неотъемлемой час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тью Контракта.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1.2.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Услуги оказываются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со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1.3. Заказчик обязуется принять и оплатить услуги в порядке и на условиях, предусмотренных настоящим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Обязательства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2.1. Исполнитель обязан: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2.1.1. Оказать Заказчику услуги в порядке, предусмотренном настоящим Контрактом.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2.1.2. Оказать услуги в полном объеме и надлежащего качества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 в соответствии с Приложени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ями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№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настоящего Контракта.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2.1.3. 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беспечить за свой счет устранение недостатков, выявленных при приемке Заказчиком оказанных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2.1.4.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Обеспечить сохранн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ость транспортного средства Заказчика при оказании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2.1.5.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Осуществлять все виды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плановому техническому обслуживанию автомобиля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 соблюдением правил техники безопасности и с использованием собственных производственных площадей, оборудования и расходных материалов.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2.2. Исполнитель вправе: 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2.2.1. Требовать своевременной оплаты на условиях,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установленных</w:t>
      </w: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 настоящим Контрактом, надлежащим образом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оказанных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и </w:t>
      </w: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принятых Заказчиком 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услуг</w:t>
      </w:r>
      <w:r>
        <w:rPr>
          <w:rFonts w:ascii="PT Astra Serif" w:hAnsi="PT Astra Serif" w:eastAsia="PT Astra Serif" w:cs="PT Astra Serif"/>
          <w:bCs/>
          <w:sz w:val="24"/>
          <w:szCs w:val="24"/>
          <w:lang w:val="en-US"/>
        </w:rPr>
        <w:t xml:space="preserve">.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  <w:lang w:val="en-US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2.2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Принять решение об одностороннем отказе от исполнения Контракта </w:t>
      </w:r>
      <w:r>
        <w:rPr>
          <w:rFonts w:ascii="PT Astra Serif" w:hAnsi="PT Astra Serif" w:cs="PT Astra Serif"/>
          <w:bCs/>
          <w:sz w:val="24"/>
          <w:szCs w:val="24"/>
        </w:rPr>
        <w:t xml:space="preserve">в соответствии с гражданским законодательством.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-1843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.2.3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. Осуществлять иные права, предусмотренные Контрактом и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2.3. Заказчик обязан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94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2.3.1.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Принять и оплатить оказанные услуги в соответствии с Контрактом.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2.3.2. Обеспечить контроль за исполнением Контракта.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67"/>
        <w:ind w:firstLine="708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2.3.3. Исполнять иные обязанности, предусмотренные Контрактом и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2.4. Заказчик вправе: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2.4.1. Требовать от Исполнителя надлежащего исполнения обязательств, установленных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2.4.2. Требовать от Исполнителя своевременного устранения недостатков, выявленных в ходе приемки.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2.4.3.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2.4.4.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Принять решение об одностороннем отказе от исполнения Контракта </w:t>
      </w:r>
      <w:r>
        <w:rPr>
          <w:rFonts w:ascii="PT Astra Serif" w:hAnsi="PT Astra Serif" w:cs="PT Astra Serif"/>
          <w:bCs/>
          <w:sz w:val="24"/>
          <w:szCs w:val="24"/>
        </w:rPr>
        <w:t xml:space="preserve">в соответствии с гражданским законодательством.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2.4.5.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2.4.6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Осуществлять иные права, предусмотренные Контрактом и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  <w:t xml:space="preserve">3. Место и сроки оказания услуг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94"/>
        <w:ind w:firstLine="567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</w:rPr>
        <w:t xml:space="preserve">3.1. Услуги оказываются с момента заключения Контракта по 30 июня 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94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3.2. Услуги оказываются на основании заявки Заказчика.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Срок исполнения заявки Заказчика: 3 (три) рабочий дня, с момента её получения.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Д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ата и время прохождения ТО Исполнитель определяет по согласованию с Заказчиком.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4"/>
        <w:ind w:firstLine="567"/>
        <w:jc w:val="both"/>
        <w:rPr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Место оказания Услуг: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станция технического обслуживания по адресу: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г. Иваново, ул. Фрунзе, д.96 (далее-по тексту СТО).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/>
      <w:r>
        <w:rPr>
          <w:highlight w:val="none"/>
        </w:rPr>
      </w:r>
    </w:p>
    <w:p>
      <w:pPr>
        <w:pStyle w:val="894"/>
        <w:ind w:firstLine="567"/>
        <w:jc w:val="both"/>
        <w:rPr>
          <w:rFonts w:ascii="PT Astra Serif" w:hAnsi="PT Astra Serif" w:cs="PT Astra Serif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67"/>
        <w:ind w:firstLine="709"/>
        <w:jc w:val="center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сдачи и приемки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оказанных услуг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в течении 3 (Трех) рабочих дней</w:t>
      </w:r>
      <w:r>
        <w:rPr>
          <w:rFonts w:ascii="PT Astra Serif" w:hAnsi="PT Astra Serif" w:eastAsia="PT Astra Serif" w:cs="PT Astra Serif"/>
          <w:color w:val="334059"/>
          <w:sz w:val="24"/>
          <w:szCs w:val="24"/>
          <w:highlight w:val="white"/>
        </w:rPr>
        <w:t xml:space="preserve"> 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после выполнения обязательств по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предоставляет Заказчику 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платежны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е документы об оказанных услугах: счет/счет-фактуру/УПД/акт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Style w:val="871"/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4.2.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Для проверки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 г.            № 44-ФЗ.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4.3.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Срок осуществления Заказчиком приемки оказанных услуг составляет 5 (пять) рабочих дней с момента получения от Исполнителя платежных документов, указанных в      п. 4.1 Контракта.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</w:p>
    <w:p>
      <w:pPr>
        <w:pStyle w:val="895"/>
        <w:ind w:firstLine="708"/>
        <w:jc w:val="both"/>
        <w:spacing w:line="240" w:lineRule="auto"/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По результатам приемки, Сторонами в рамках указанного срока подписывается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либо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Исполнителю в те же сроки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направляется в письменной форме мотивированный отказ от подписания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 В случае мотивированного отказа Сторонами составляется двусторонний акт с указанием перечня необходимых доработок и сроков их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устранения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4.4.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Оформление документа о приемке оказанных услуг осуществляется 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в течение 1 (одного) рабочего дня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без участия Исполнителя на основании документов, указанных в пункте 4.1 Контракта, и подтверждается подписанным Актом приемки товара по форме 0510452, утвержденной приказом Минфина от 15.04.2021 № 61н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"Об утверждении унифицированных форм электронных документов бухгалтерского учета, применяе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мы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применению". Копия подписанного акта приемки по форме 0510452 направляется Исполнителю на адрес электронной почты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b/>
          <w:bCs/>
          <w:i/>
          <w:iCs/>
          <w:sz w:val="24"/>
          <w:szCs w:val="24"/>
        </w:rPr>
        <w:t xml:space="preserve">IPVERSHININ2024@yandex.ru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4.5. </w:t>
      </w:r>
      <w:r>
        <w:rPr>
          <w:rFonts w:ascii="PT Astra Serif" w:hAnsi="PT Astra Serif" w:eastAsia="PT Astra Serif" w:cs="PT Astra Serif"/>
          <w:color w:val="000000" w:themeColor="text1"/>
          <w:spacing w:val="2"/>
          <w:sz w:val="24"/>
          <w:szCs w:val="24"/>
          <w:shd w:val="clear" w:color="auto" w:fill="ffffff"/>
        </w:rPr>
        <w:t xml:space="preserve">Услуги считаются оказанными и принятыми после подписания сторонами Акта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left="720" w:firstLine="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 Цена Контракта и порядок расчетов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Цена настоящего Контракта составляет </w:t>
      </w: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</w:rPr>
        <w:t xml:space="preserve">35 550,00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Тридцать пять тысяч пятьсот пятьдесят) рубл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ей 00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копеек,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в том числе НДС 5%.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5.3. Ц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ена Контракта является твердой и определяется на весь срок исполнения настоящего Контракта, за исключением случаев, установленных Законом № 44-ФЗ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708"/>
        <w:ind w:firstLine="709"/>
        <w:jc w:val="both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5.4. Цена настоящего Контракта включает все расходы Исполнителя, необходимые для осуществления им своих обязательств по Контракту в полном объеме и надлежащего качества, в том числе налоги и другие обязательные платежи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подлежащие уплате в соответствии с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Источник финансирования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Федеральный бюджет (по главе 321, разделу 04, подразделу 12, целевой статье расходов 5440190019, виду расходов 244).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5.6. Оплата производится в рублях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6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5.7. Расчеты между Заказчиком и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производятся по факту оказания услуг </w:t>
      </w:r>
      <w:r>
        <w:rPr>
          <w:rFonts w:ascii="PT Astra Serif" w:hAnsi="PT Astra Serif" w:eastAsia="PT Astra Serif" w:cs="PT Astra Serif" w:eastAsiaTheme="minorEastAsia"/>
          <w:sz w:val="24"/>
          <w:szCs w:val="24"/>
        </w:rPr>
        <w:t xml:space="preserve">в течение 7 (семи) рабочих дней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даты подписания Сторонами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сдачи-приемки оказанных услуг,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основании счета (счета-фактуры).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6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5.8.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5.9. Датой 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Заказчиком своих обязательств по оплате оказанных услуг является дата списания денежных средств с лицевого счёта Заказчика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5.10. Стороны производят сверку расчетов, которой подтверждается объем услуг, 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оказанных исполнителем и принятых Заказчиком, а также размер суммы, перечисленной Заказчиком Исполнителю за оказанные услуги. Исполнитель обязан ежеквартально предоставлять Заказчику акты сверки расчетов (ф.0510477) по унифицированной форме, установленной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приказом Минфина от 15.04.2021 № 61н. Акт предоставляется не позднее     15 числа месяца, следующего за отчетным кварталом.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6. Ответственность сторон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6.1. В случае не исполнения, либо ненадлежащего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исполнения обязанностей, предусмотренных настоящим Контрактом, стороны несут ответственность в соответствии с действующим законодательством Российской Федерации и определяется в порядке, предусмотренном Постановлением Правительства РФ от 30.08.2017 №1042.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6.2. В случае просрочки исполнени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6.3.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Правилами в размере </w:t>
      </w:r>
      <w:r>
        <w:rPr>
          <w:rFonts w:ascii="PT Astra Serif" w:hAnsi="PT Astra Serif" w:eastAsia="PT Astra Serif" w:cs="PT Astra Serif"/>
          <w:b/>
          <w:i/>
          <w:sz w:val="24"/>
          <w:szCs w:val="24"/>
        </w:rPr>
        <w:t xml:space="preserve">1 000,00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(Одна тысяча) рублей 00 копеек.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6.6. В случае просрочки исполнения Исполнителем обязательств (в том числе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6.7. Пеня начисляется за каждый день просрочки исполнения Исполнителем,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едусмотренных Контрактом (соответствующим отдельным этапом исполнения контракта) и фактически исполненных Исполнителем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6.8. Штрафы начисляются за каждый факт неисполнения или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Штраф устанавливается контрактом в размере </w:t>
      </w: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</w:rPr>
        <w:t xml:space="preserve">3 555,00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Три тысячи пятьсот пятьдесят пять) рублей 00 копеек,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6.12. Во всем остальном, Стороны руководствуются нормами действующего законод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ательства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center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7. Срок действия Контракта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7.1. Настоящий Контракт вступает в силу с моме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нта подписания и действует до 31.07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.202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 года, а в части расчетов – до полного исполнения обязательств Сторонами. 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center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8. Форс-мажор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Стороны освобождаются от ответственности за неисполнение или ненадлежащее исполнение обязательств по настоящему Контракту, если такое неисполнение явилось следствием обстоятельств непреодолимой силы, возникших после заключения Контракта в результате собы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тий чрезвычайного характера, не позволяющих Сторонам исполнить обязательства по настоящему Контракту, или других непредвиденных обстоятельств, не зависящих от воли Сторон, если эти обстоятельства непосредственно повлияли на исполнение настоящего Контракта.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8.2.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867"/>
        <w:contextualSpacing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contextualSpacing/>
        <w:ind w:firstLine="709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9. Заключительные положения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ind w:firstLine="709"/>
        <w:jc w:val="both"/>
        <w:shd w:val="clear" w:color="auto" w:fill="ffffff"/>
        <w:widowControl w:val="off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9.2. В случае изменения у какой-либо из Сторон юридического адреса, названия, банковских реквизитов и прочего она обязана в течение 3 (Трех) дней письменно известить об этом другую Сторону.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9.3. Расторжение контракта допуск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ается по соглашению Сторон, по решению суда или в связи с односторонним отказам Стороны от исполнения Контракта в соответствии с гражданским законодательством Российской Федерации а порядке, предусмотренном частями 9-23 статьи 95 Федерального закона 44-ФЗ.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9.4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Настоящий Контракт составлен и подписан в двух экземплярах – по одному для каждой Стороны, каждый экземпляр идентичен и имеет одинаковую юридическую силу.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67"/>
        <w:ind w:firstLine="709"/>
        <w:jc w:val="both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9.5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Во всем остальном, что не предусмотрено Контрактом, Стороны руководствуются 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67"/>
        <w:ind w:firstLine="708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 Все изменения и приложения к настоящему государственному контракту являются его неотъемлемой частью, в том числе: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7"/>
        <w:ind w:firstLine="720"/>
        <w:jc w:val="both"/>
        <w:rPr>
          <w:rFonts w:ascii="PT Astra Serif" w:hAnsi="PT Astra Serif" w:cs="PT Astra Serif"/>
          <w:color w:val="auto"/>
          <w:sz w:val="24"/>
          <w:szCs w:val="24"/>
          <w:highlight w:val="none"/>
        </w:rPr>
        <w:outlineLvl w:val="0"/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Приложение №1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Техническое задание;</w:t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</w:p>
    <w:p>
      <w:pPr>
        <w:pStyle w:val="867"/>
        <w:ind w:firstLine="720"/>
        <w:jc w:val="both"/>
        <w:rPr>
          <w:rFonts w:ascii="PT Astra Serif" w:hAnsi="PT Astra Serif" w:cs="PT Astra Serif"/>
          <w:color w:val="auto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Приложение №2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cs="PT Astra Serif"/>
          <w:color w:val="auto"/>
          <w:sz w:val="24"/>
          <w:szCs w:val="24"/>
        </w:rPr>
        <w:t xml:space="preserve">Спецификация.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pStyle w:val="867"/>
        <w:ind w:firstLine="720"/>
        <w:jc w:val="both"/>
        <w:rPr>
          <w:rFonts w:ascii="PT Astra Serif" w:hAnsi="PT Astra Serif" w:cs="PT Astra Serif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10. Реквизиты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8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  <w:t xml:space="preserve">Заказчик 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</w:p>
          <w:p>
            <w:pPr>
              <w:pStyle w:val="867"/>
              <w:jc w:val="both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156013, г. Кострома, ул. Сенная, д.17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 1044408640561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 4401050246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 440101001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 5012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 34701000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л/с 03411А54810 в УФК по Нижегородской области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Казначейский счет: 03211643000000013202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40102810745370000024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012202102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Наименование банка: ОКЦ №1 ВОЛГО-ВЯТСКОГО ГУ БАНКА РОССИИ//УФК  по Нижегородской области г. Нижний Новгород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 8(4942) 64-56-33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Факс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8(4942)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44_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Ершов Александр Сергеевич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8(4942) 64-56-34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mto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Индивидуальный предприниматель 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  <w:t xml:space="preserve">Вершинин Иван Владимирович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Юридический адрес: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15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3505, Ивановская обл., Ивановский район, с. Озерный, ул. Колхозная, д.32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ИНН 370201024438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ОГРНИП 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324370000018535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Расч/счёт:  40802810711450002445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БИК:  044525411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Банк: Филиал «Центральный» Банка ВТБ (ПАО) в г. Москве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Корр. счёт: 30101810145250000411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1154" w:leader="none"/>
              </w:tabs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Телефон: </w:t>
            </w:r>
            <w:r>
              <w:rPr>
                <w:rFonts w:ascii="PT Astra Serif" w:hAnsi="PT Astra Serif" w:cs="PT Astra Serif"/>
                <w:sz w:val="24"/>
              </w:rPr>
              <w:tab/>
              <w:t xml:space="preserve">(4932) 32-32-32</w:t>
            </w:r>
            <w:r>
              <w:rPr>
                <w:rFonts w:ascii="PT Astra Serif" w:hAnsi="PT Astra Serif" w:cs="PT Astra Serif"/>
                <w:sz w:val="24"/>
              </w:rPr>
            </w:r>
            <w:r>
              <w:rPr>
                <w:rFonts w:ascii="PT Astra Serif" w:hAnsi="PT Astra Serif" w:cs="PT Astra Serif"/>
                <w:sz w:val="24"/>
              </w:rPr>
            </w:r>
          </w:p>
          <w:p>
            <w:pPr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 Вершинин Иван Владимирович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Эл. почта: IPVERSHININ2024@yandex.ru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82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20"/>
        <w:gridCol w:w="50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Е.С. Добровольская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6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И.В. Вершинин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/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1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right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государственному кон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тракту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№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028-26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«_____» апреля 2026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Calibri"/>
          <w:b/>
          <w:bCs/>
          <w:sz w:val="24"/>
          <w:szCs w:val="24"/>
          <w:lang w:eastAsia="ar-SA"/>
        </w:rPr>
      </w:pP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ar-SA"/>
        </w:rPr>
        <w:t xml:space="preserve">Техническое задание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на оказание услуг по плановому техническому обслуживанию автомобиля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Calibri" w:cs="Calibri"/>
          <w:b/>
          <w:bCs/>
          <w:sz w:val="24"/>
          <w:szCs w:val="24"/>
          <w:highlight w:val="none"/>
          <w:lang w:eastAsia="ar-SA"/>
        </w:rPr>
      </w:r>
    </w:p>
    <w:p>
      <w:pPr>
        <w:ind w:right="177" w:firstLine="461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ar-SA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1.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Наименование объекта закупки: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  <w:highlight w:val="none"/>
        </w:rPr>
        <w:t xml:space="preserve">казание услуг по плановому техническому обслуживанию автомобилей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</w:rPr>
        <w:t xml:space="preserve"> (далее - ТО).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Автомобиль Заказчика, подлежащий ТО.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603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pPr w:horzAnchor="text" w:tblpXSpec="left" w:vertAnchor="text" w:tblpY="1" w:leftFromText="180" w:topFromText="0" w:rightFromText="180" w:bottomFromText="200"/>
        <w:tblW w:w="9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2409"/>
        <w:gridCol w:w="3402"/>
        <w:gridCol w:w="2977"/>
      </w:tblGrid>
      <w:tr>
        <w:tblPrEx/>
        <w:trPr>
          <w:trHeight w:val="20"/>
        </w:trPr>
        <w:tc>
          <w:tcPr>
            <w:tcW w:w="5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eastAsia="en-US"/>
              </w:rPr>
              <w:t xml:space="preserve">п/п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eastAsia="en-US"/>
              </w:rPr>
              <w:t xml:space="preserve">Марка и модель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560" w:leader="none"/>
                <w:tab w:val="left" w:pos="1701" w:leader="none"/>
                <w:tab w:val="left" w:pos="7740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val="en-US" w:eastAsia="en-US"/>
              </w:rPr>
              <w:t xml:space="preserve">VIN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Гос.номер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57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ХТА212300S0947806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 594 ВУ 44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63"/>
        </w:trPr>
        <w:tc>
          <w:tcPr>
            <w:tcW w:w="57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ХТА212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  <w:t xml:space="preserve">140S2579541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</w:p>
        </w:tc>
        <w:tc>
          <w:tcPr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 375 ВУ 44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63"/>
        </w:trPr>
        <w:tc>
          <w:tcPr>
            <w:tcW w:w="57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740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 w:eastAsia="en-US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ХТАGFL350S0965889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ar-SA"/>
              </w:rPr>
            </w:r>
          </w:p>
        </w:tc>
        <w:tc>
          <w:tcPr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 475 ВУ 44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ind w:firstLine="603"/>
        <w:jc w:val="both"/>
        <w:spacing w:after="0" w:line="240" w:lineRule="auto"/>
        <w:widowControl w:val="off"/>
        <w:tabs>
          <w:tab w:val="left" w:pos="3544" w:leader="none"/>
        </w:tabs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eastAsia="en-US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3. Объем оказываемых услуг.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eastAsia="en-US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eastAsia="en-US"/>
        </w:rPr>
      </w:r>
    </w:p>
    <w:p>
      <w:pPr>
        <w:ind w:firstLine="603"/>
        <w:jc w:val="both"/>
        <w:spacing w:after="0" w:line="240" w:lineRule="auto"/>
        <w:widowControl w:val="off"/>
        <w:tabs>
          <w:tab w:val="left" w:pos="3544" w:leader="none"/>
        </w:tabs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pPr w:horzAnchor="margin" w:tblpXSpec="left" w:vertAnchor="text" w:tblpY="86" w:leftFromText="180" w:topFromText="0" w:rightFromText="180" w:bottomFromText="200"/>
        <w:tblW w:w="9351" w:type="dxa"/>
        <w:tblLayout w:type="fixed"/>
        <w:tblLook w:val="00A0" w:firstRow="1" w:lastRow="0" w:firstColumn="1" w:lastColumn="0" w:noHBand="0" w:noVBand="0"/>
      </w:tblPr>
      <w:tblGrid>
        <w:gridCol w:w="562"/>
        <w:gridCol w:w="6109"/>
        <w:gridCol w:w="1559"/>
        <w:gridCol w:w="1121"/>
      </w:tblGrid>
      <w:tr>
        <w:tblPrEx/>
        <w:trPr>
          <w:trHeight w:val="6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Единица измерения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(по ОКЕИ)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Кол-во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>
          <w:trHeight w:val="8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Штука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8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Штука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8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auto"/>
                <w:sz w:val="24"/>
                <w:szCs w:val="24"/>
                <w:lang w:eastAsia="en-US"/>
              </w:rPr>
              <w:t xml:space="preserve">15000</w:t>
            </w:r>
            <w:r>
              <w:rPr>
                <w:rFonts w:ascii="PT Astra Serif" w:hAnsi="PT Astra Serif" w:eastAsia="PT Astra Serif" w:cs="PT Astra Serif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Штука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544" w:leader="none"/>
              </w:tabs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firstLine="567"/>
        <w:jc w:val="both"/>
        <w:spacing w:after="0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Характеристики.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901"/>
        <w:tblW w:w="9462" w:type="dxa"/>
        <w:tblLayout w:type="fixed"/>
        <w:tblLook w:val="04A0" w:firstRow="1" w:lastRow="0" w:firstColumn="1" w:lastColumn="0" w:noHBand="0" w:noVBand="1"/>
      </w:tblPr>
      <w:tblGrid>
        <w:gridCol w:w="680"/>
        <w:gridCol w:w="3255"/>
        <w:gridCol w:w="5528"/>
      </w:tblGrid>
      <w:tr>
        <w:tblPrEx/>
        <w:trPr/>
        <w:tc>
          <w:tcPr>
            <w:tcW w:w="6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4"/>
                <w:szCs w:val="24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32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4"/>
                <w:szCs w:val="24"/>
              </w:rPr>
              <w:t xml:space="preserve">Наименование услуги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4"/>
                <w:szCs w:val="24"/>
              </w:rPr>
              <w:t xml:space="preserve">Характеристики услуги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r>
          </w:p>
        </w:tc>
        <w:tc>
          <w:tcPr>
            <w:tcW w:w="325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  <w:p>
            <w:pPr>
              <w:jc w:val="both"/>
            </w:pPr>
            <w:r/>
            <w:r/>
          </w:p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диагностических работ: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кузова, наличия трещин и коррозии кузова, отслоение мастики от днища и арок колес,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работы замков дверей и капота;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рычагов и штанг подвесок и их резинометаллических шарниров; шаровых опор; шарниров рулевых тяг; защитных резиновых чехлов и колпачков, буферов отбоя; состояние резиновых втулок; амортизаторов;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суммарного люфта в рулевом управлении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систем охлаждения, питания и гидравлического привода тормозов, сцепления и гидроусилителя рулевого управления; состояние шлангов, трубок и соединений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уплотнений узлов и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тормозной жидкости и работу сигнализатора уровня жидкости в бачке гидропривода тормозов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уровня охлаждающей жидкости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и натяжения ремня привода генератора и ремня привода вспомогательных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проводов, надежность соединений и крепящих хомутов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работы генератора, освещения, световой и звуковой сигнализации, электрооборудования и электронных систем по индикаторам комбинации приборов и других указателей на панели приборов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отсутствия нефункциональных шумов и стуков в двигателе, узлах и агрегатах трансмиссии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жидкости в бачке гидроусилителя рулевого управления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tabs>
                <w:tab w:val="left" w:pos="283" w:leader="none"/>
              </w:tabs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работоспособности электронных систем автомобиля при помощи сигнализаторов панели приборов и отсутствие в памяти контроллера кодов неисправностей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работы системы вызова экстренных оперативных служб (при наличии).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</w:r>
            <w:r>
              <w:rPr>
                <w:rFonts w:eastAsia="Times New Roman"/>
                <w:bCs/>
                <w:sz w:val="22"/>
                <w:szCs w:val="22"/>
              </w:rPr>
            </w:r>
            <w:r>
              <w:rPr>
                <w:rFonts w:eastAsia="Times New Roman"/>
                <w:bCs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регламентных работ: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-заменить фильтрующий элемент системы вентиляции и отопления салона;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-заменить масляный фильтр и масло в картере двигателя;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-измерить осевые зазоры и при необходимости отрегулировать их в подшипниках ступиц передних колес;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колодок передних тормозов;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дисков и шин колес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-смазать: трущиеся участки ограничителя открывания дверей, шарнир и пружину крышки люка топливного бака, замочной скважины дверей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-прочистить дренажные отверстия дверей и порогов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При оказании услуг Исполнитель использует приобретенные за свой счет горюче-смазочные материалы и запасные части, необходимые для выполнения ТО,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рекомендованные к использованию заводом изготовителем.</w:t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5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  <w:p>
            <w:pPr>
              <w:jc w:val="both"/>
            </w:pPr>
            <w:r/>
            <w:r/>
          </w:p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диагностических работ: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кузова, наличия трещин и коррозии кузова, отслоение мастики от днища и арок колес,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работы замков дверей и капота;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состояния рычагов и штанг подвесок и их резинометаллических шарниров; шаровых опор; шарниров рулевых тяг; защитных резиновых чехлов и колпачков, буферов отбоя; состояние резиновых втулок; амортизаторов;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суммарного люфта в рулевом управлении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систем охлаждения, питания и гидравлического привода тормозов, сцепления и гидроусилителя рулевого управления; состояние шлангов, трубок и соединений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герметичности уплотнений узлов и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тормозной жидкости и работу сигнализатора уровня жидкости в бачке гидропривода тормозов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уровня охлаждающей жидкости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и натяжения ремня привода генератора и ремня привода вспомогательных агрегатов;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состояния проводов, надежность соединений и крепящих хомутов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работы генератора, освещения, световой и звуковой сигнализации, электрооборудования и электронных систем по индикаторам комбинации приборов и других указателей на панели приборов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отсутствия нефункциональных шумов и стуков в двигателе, узлах и агрегатах трансмиссии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уровня жидкости в бачке гидроусилителя рулевого управления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tabs>
                <w:tab w:val="left" w:pos="283" w:leader="none"/>
              </w:tabs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проверка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работоспособности электронных систем автомобиля при помощи сигнализаторов панели приборов и отсутствие в памяти контроллера кодов неисправностей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проверка работы системы вызова экстренных оперативных служб (при наличии).</w:t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регламентных работ: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-заменить фильтрующий элемент системы вентиляции и отопления салона;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-заменить масляный фильтр и масло в картере двигателя;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-измерить осевые зазоры и при необходимости отрегулировать их в подшипниках ступиц передних колес;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колодок передних тормозов;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-проверить состояние дисков и шин колес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-смазать: трущиеся участки ограничителя открывания дверей, шарнир и пружину крышки люка топливного бака, замочной скважины дверей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-прочистить дренажные отверстия дверей и порогов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При оказании услуг Исполнитель использует приобретенные за свой счет горюче-смазочные материалы и запасные части, необходимые для выполнения ТО,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рекомендованные к использованию заводом изготовителем.</w:t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64"/>
        </w:trPr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325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auto"/>
                <w:sz w:val="24"/>
                <w:szCs w:val="24"/>
                <w:lang w:eastAsia="en-US"/>
              </w:rPr>
              <w:t xml:space="preserve">15000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  <w:p>
            <w:pPr>
              <w:jc w:val="both"/>
            </w:pPr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диагностических работ: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элементов передней и задней подвесок, их резиновых и резинометаллических шарниров, втулок и подушек; состояние шарниров рулевых тяг и их защитных колпачков; защитных чехлов рулевого механизма, приводов колес, шаровых пальцев, состояние наконе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чников тросов привода управления механизмом переключения передач и их защитных чехлов; состояние тросов ручного привода тормоза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-герметичность систем охлаждения, питания и гидравлического привода тормозов и 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цепления, состояние шлангов, трубок и соединений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-отсутствие нефункционального шума и вибрации в двигателе, узлах и агрегатах трансмиссии. Работу сцепления и привода переключения передач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состояние и натяжение ремня привода вспомогательных агрегатов (генератора)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аккумуляторн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ой батареи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-работоспособность генератора, освещения, световой и звуковой сигнализации, контрольных приборов и сигнализаторов состояния систем автомобиля, отопителя, стеклоочистителей, омывателей, обог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рева стекол, наружных зеркал и сидений, электропривода стеклоподъёмников и наружных зеркал, электрической блокировки замков дверей, корректора фар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шин 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дисков колес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-герметичность уплотнений узлов и агрегатов, герметичность системы выпуска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-суммарный люфт в рулевом управлении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-уровень охлаждающей жидкости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-уровень масла в коробке передач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-уровень тормозной жидкости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-работоспособность системы кондиционирования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электронных систем автомобиля (по сигнализаторам)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работоспособность усилителя рулевого управления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-работоспособность рабочей и стояночной тормозных систем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-коды неисправностей электронных систем автомобиля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-работу замков дверей, капота, кр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ышки багажника; люка топливного бака; механизмов сидений, ремней безопасности, устройства перемещения и фиксации рулевой колонки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-состояние колодок, дисков, защитных чехлов и смазку напра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вляющих пальцев передних тормозов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-направление световых пучков и силу света фар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Виды регламентных работ: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-заменить масляный фильтр и масло в картере двигателя (с наклейкой в моторном отделении этикетки с информацией о залитом масле)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-заменить фильтрующий элемент воздушного фильтра двигателя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-заменить фильтрующий элемент системы вентиляции и отопления салона, прочистить дренажное отверстие в щитке передка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-смазать петли дверей, трущиеся участки ограничителей открывания дверей, шарниров и пружины крышки люка топливного бака, замочные скважины дверей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highlight w:val="none"/>
              </w:rPr>
              <w:t xml:space="preserve">-прочистить дренажные отверстия порогов и дверей.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54"/>
        </w:trPr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5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552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При оказании услуг Исполнитель использует приобретенные за свой счет горюче-смазочные материалы и запасные части, необходимые для выполнения ТО,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</w:rPr>
              <w:t xml:space="preserve">рекомендованные к использованию заводом изготовителем.</w:t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5</w:t>
      </w: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. Общие требования к оказанию услуг. 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Оказание услуг по ТО производится согласно регламента завода-изготовителя, в соответствии с графиком планового технического обслуживания указанным в Руководстве по эксплуатации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NIVA, LADA 4x4 212140 и LADA VESTA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. По окончании ТО указывается отметка о его выполнении в сервисной книжке. Произведенные Исполнителем ремонтные работы не должны быть причиной снятия автомобиля Заказчика с гарантии производителя.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Исполнитель обязан иметь копию действующего сертификата официального дилера завода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NIVA,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4x4 212140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и LADA VESTA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(авторизованного сервисного центра), ли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бо копию действующего Договора с официальным дилером (авторизованным сервисным центром), либо иной документ, подтверждающий сохранение гарантии на автомобили при условии прохождения ТО и ремонта, для предъявления Заказчику по его требованию.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Объем и параметры технических жидкостей, 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горюче-смазочных материалов необходимых для выполнения ТО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определяется Руководством по эксплуатации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LADA NIVA,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LADA 4x4 212140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и LADA VESTA</w:t>
      </w:r>
      <w:r>
        <w:rPr>
          <w:rFonts w:ascii="PT Astra Serif" w:hAnsi="PT Astra Serif" w:eastAsia="PT Astra Serif" w:cs="PT Astra Serif"/>
          <w:color w:val="auto"/>
          <w:sz w:val="24"/>
          <w:szCs w:val="24"/>
          <w:lang w:eastAsia="en-US"/>
        </w:rPr>
        <w:t xml:space="preserve">.</w:t>
      </w:r>
      <w:r>
        <w:rPr>
          <w:rFonts w:ascii="PT Astra Serif" w:hAnsi="PT Astra Serif" w:cs="PT Astra Serif"/>
          <w:color w:val="auto"/>
          <w:sz w:val="24"/>
          <w:szCs w:val="24"/>
        </w:rPr>
      </w:r>
      <w:r>
        <w:rPr>
          <w:rFonts w:ascii="PT Astra Serif" w:hAnsi="PT Astra Serif" w:cs="PT Astra Serif"/>
          <w:color w:val="auto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При оказании услуг Исполнитель использует приобретенные за свой счет горюче-смазочные материалы и запасные части (далее -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Расходные материалы)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, необходимые для выполнения ТО.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Расходные материалы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должны иметь надлежащие сертификаты качества, в случае, если наличие данных документов предусмотрено законодательством Российской Федерации, а также быть рекомендованными для использования заводом-изготовителем.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Исполните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ль применяет при оказании услуг только новые оригинальные расходные материалы, не восстановленные, не бывшие в употреблении, имеющие соответствующие паспорта, сертификаты или ярлыки, выдаваемые заводом-изготовителем или сопроводительные документы, подтверж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дающие соответствие их качества требованиям стандартов, технических условий или другой нормативно-технической документации, утвержденной в установленном порядке, в случае, если наличие данных документов предусмотрено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Выполняемые работы производятся Исполнителем с использованием собственного оборудования. Стоимость Расходных материалов, а также все иные расходы, связанные исполнением Контракта, включены в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603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Услуги по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техническому обслуживанию автотранспорта проводятся с соблюдением «ГОСТ 33997-2016. Межгосударственный стандарт. Колесные транспортные средства. Требования к безопасности в эксплуатации и методы проверки», санитарных норм и правил эксплуатации автомобиля.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tabs>
          <w:tab w:val="left" w:pos="42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49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20"/>
        <w:gridCol w:w="467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Е.С. Добровольская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6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И.В. Вершинин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</w:t>
            </w:r>
            <w:r/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tabs>
          <w:tab w:val="left" w:pos="426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67"/>
        <w:tabs>
          <w:tab w:val="left" w:pos="426" w:leader="none"/>
        </w:tabs>
        <w:rPr>
          <w:rFonts w:ascii="PT Astra Serif" w:hAnsi="PT Astra Serif" w:cs="PT Astra Serif"/>
          <w:sz w:val="24"/>
          <w:szCs w:val="24"/>
        </w:rPr>
        <w:sectPr>
          <w:footnotePr/>
          <w:endnotePr/>
          <w:type w:val="nextPage"/>
          <w:pgSz w:w="11906" w:h="16838" w:orient="portrait"/>
          <w:pgMar w:top="1020" w:right="850" w:bottom="1020" w:left="1417" w:header="720" w:footer="720" w:gutter="0"/>
          <w:cols w:num="1" w:sep="0" w:space="720" w:equalWidth="1"/>
          <w:docGrid w:linePitch="360"/>
        </w:sect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1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right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государственному кон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тракту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№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028-26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«_____» апреля 2026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СПЕЦИФИКАЦИЯ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Style w:val="723"/>
        <w:tblW w:w="104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3544"/>
        <w:gridCol w:w="1558"/>
        <w:gridCol w:w="1134"/>
        <w:gridCol w:w="1560"/>
        <w:gridCol w:w="1984"/>
      </w:tblGrid>
      <w:tr>
        <w:tblPrEx/>
        <w:trPr>
          <w:trHeight w:val="769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№ 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/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Наименование услуг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Ед. 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измерения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Цена за единицу, руб.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Стоимость услуг, руб.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337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NIVA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W w:w="15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Штука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11 150,00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11 150,00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337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LADA 4x4 212140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9500-10500 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</w:r>
          </w:p>
        </w:tc>
        <w:tc>
          <w:tcPr>
            <w:tcW w:w="15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Штука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8 200,00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8 200,00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337"/>
        </w:trPr>
        <w:tc>
          <w:tcPr>
            <w:tcW w:w="6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ланово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техническо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обслуживани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автомобиля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LADA VESTA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 в гарантийный период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пробег </w:t>
            </w:r>
            <w:r>
              <w:rPr>
                <w:rFonts w:ascii="PT Astra Serif" w:hAnsi="PT Astra Serif" w:eastAsia="PT Astra Serif" w:cs="PT Astra Serif"/>
                <w:bCs/>
                <w:color w:val="auto"/>
                <w:sz w:val="24"/>
                <w:szCs w:val="24"/>
                <w:lang w:eastAsia="en-US"/>
              </w:rPr>
              <w:t xml:space="preserve">15000 </w:t>
            </w:r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4"/>
                <w:szCs w:val="24"/>
                <w:lang w:eastAsia="en-US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м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)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  <w:t xml:space="preserve">либо не позднее одного месяца с окончания года эксплуатации (что наступит ранее)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en-US"/>
              </w:rPr>
            </w:r>
          </w:p>
        </w:tc>
        <w:tc>
          <w:tcPr>
            <w:tcW w:w="15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Штука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16 200,00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16 200,00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06"/>
        </w:trPr>
        <w:tc>
          <w:tcPr>
            <w:gridSpan w:val="5"/>
            <w:tcW w:w="849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ИТОГО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35 550,00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06"/>
        </w:trPr>
        <w:tc>
          <w:tcPr>
            <w:gridSpan w:val="6"/>
            <w:tcW w:w="104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В том числе НДС 5% 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6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10335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374"/>
        <w:gridCol w:w="496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4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  <w:t xml:space="preserve">Е.С. Добровольская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6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top"/>
            <w:textDirection w:val="lrTb"/>
            <w:noWrap w:val="false"/>
          </w:tcPr>
          <w:p>
            <w:pPr>
              <w:pStyle w:val="86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И.В. Вершинин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</w:t>
            </w:r>
            <w:r/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6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"/>
        <w:jc w:val="both"/>
        <w:spacing w:line="240" w:lineRule="auto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p>
      <w:pPr>
        <w:pStyle w:val="867"/>
        <w:ind w:left="720"/>
        <w:jc w:val="both"/>
        <w:spacing w:line="240" w:lineRule="auto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sectPr>
      <w:footnotePr/>
      <w:endnotePr/>
      <w:type w:val="nextPage"/>
      <w:pgSz w:w="11906" w:h="16838" w:orient="portrait"/>
      <w:pgMar w:top="720" w:right="425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SimSun">
    <w:panose1 w:val="02000506000000020000"/>
  </w:font>
  <w:font w:name="Segoe UI">
    <w:panose1 w:val="020B0502040504020204"/>
  </w:font>
  <w:font w:name="Lucida Sans Unicode">
    <w:panose1 w:val="020B0502040504020204"/>
  </w:font>
  <w:font w:name="Courier New">
    <w:panose1 w:val="02070409020205020404"/>
  </w:font>
  <w:font w:name="Mangal">
    <w:panose1 w:val="02040503050306020203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6.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b/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7"/>
    <w:next w:val="867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7"/>
    <w:next w:val="867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7"/>
    <w:next w:val="867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7"/>
    <w:next w:val="867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7"/>
    <w:next w:val="867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7"/>
    <w:next w:val="867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7"/>
    <w:next w:val="867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7"/>
    <w:next w:val="867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7"/>
    <w:next w:val="867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  <w:pPr>
      <w:spacing w:before="0" w:after="0" w:line="240" w:lineRule="auto"/>
    </w:pPr>
  </w:style>
  <w:style w:type="paragraph" w:styleId="709">
    <w:name w:val="Title"/>
    <w:basedOn w:val="867"/>
    <w:next w:val="867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>
    <w:name w:val="Title Char"/>
    <w:link w:val="709"/>
    <w:uiPriority w:val="10"/>
    <w:rPr>
      <w:sz w:val="48"/>
      <w:szCs w:val="48"/>
    </w:rPr>
  </w:style>
  <w:style w:type="paragraph" w:styleId="711">
    <w:name w:val="Subtitle"/>
    <w:basedOn w:val="867"/>
    <w:next w:val="867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>
    <w:name w:val="Subtitle Char"/>
    <w:link w:val="711"/>
    <w:uiPriority w:val="11"/>
    <w:rPr>
      <w:sz w:val="24"/>
      <w:szCs w:val="24"/>
    </w:rPr>
  </w:style>
  <w:style w:type="paragraph" w:styleId="713">
    <w:name w:val="Quote"/>
    <w:basedOn w:val="867"/>
    <w:next w:val="867"/>
    <w:link w:val="714"/>
    <w:uiPriority w:val="29"/>
    <w:qFormat/>
    <w:pPr>
      <w:ind w:left="720" w:right="720"/>
    </w:pPr>
    <w:rPr>
      <w:i/>
    </w:rPr>
  </w:style>
  <w:style w:type="character" w:styleId="714">
    <w:name w:val="Quote Char"/>
    <w:link w:val="713"/>
    <w:uiPriority w:val="29"/>
    <w:rPr>
      <w:i/>
    </w:rPr>
  </w:style>
  <w:style w:type="paragraph" w:styleId="715">
    <w:name w:val="Intense Quote"/>
    <w:basedOn w:val="867"/>
    <w:next w:val="867"/>
    <w:link w:val="71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>
    <w:name w:val="Intense Quote Char"/>
    <w:link w:val="715"/>
    <w:uiPriority w:val="30"/>
    <w:rPr>
      <w:i/>
    </w:rPr>
  </w:style>
  <w:style w:type="paragraph" w:styleId="717">
    <w:name w:val="Header"/>
    <w:basedOn w:val="867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Header Char"/>
    <w:link w:val="717"/>
    <w:uiPriority w:val="99"/>
  </w:style>
  <w:style w:type="paragraph" w:styleId="719">
    <w:name w:val="Footer"/>
    <w:basedOn w:val="867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Footer Char"/>
    <w:link w:val="719"/>
    <w:uiPriority w:val="99"/>
  </w:style>
  <w:style w:type="paragraph" w:styleId="721">
    <w:name w:val="Caption"/>
    <w:basedOn w:val="867"/>
    <w:next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719"/>
    <w:uiPriority w:val="99"/>
  </w:style>
  <w:style w:type="table" w:styleId="72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next w:val="867"/>
    <w:link w:val="867"/>
    <w:qFormat/>
    <w:rPr>
      <w:sz w:val="25"/>
      <w:szCs w:val="25"/>
      <w:lang w:val="ru-RU" w:eastAsia="ru-RU" w:bidi="ar-SA"/>
    </w:rPr>
  </w:style>
  <w:style w:type="character" w:styleId="868">
    <w:name w:val="Основной шрифт абзаца"/>
    <w:next w:val="868"/>
    <w:link w:val="867"/>
  </w:style>
  <w:style w:type="table" w:styleId="869">
    <w:name w:val="Обычная таблица"/>
    <w:next w:val="869"/>
    <w:link w:val="867"/>
    <w:uiPriority w:val="99"/>
    <w:semiHidden/>
    <w:unhideWhenUsed/>
    <w:tblPr/>
  </w:style>
  <w:style w:type="numbering" w:styleId="870">
    <w:name w:val="Нет списка"/>
    <w:next w:val="870"/>
    <w:link w:val="867"/>
    <w:uiPriority w:val="99"/>
    <w:semiHidden/>
    <w:unhideWhenUsed/>
  </w:style>
  <w:style w:type="character" w:styleId="871">
    <w:name w:val="Основной шрифт абзаца1"/>
    <w:next w:val="871"/>
    <w:link w:val="867"/>
  </w:style>
  <w:style w:type="paragraph" w:styleId="872">
    <w:name w:val="Заголовок"/>
    <w:basedOn w:val="867"/>
    <w:next w:val="873"/>
    <w:link w:val="867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873">
    <w:name w:val="Основной текст"/>
    <w:basedOn w:val="867"/>
    <w:next w:val="873"/>
    <w:link w:val="867"/>
    <w:pPr>
      <w:spacing w:before="0" w:after="120"/>
    </w:pPr>
  </w:style>
  <w:style w:type="paragraph" w:styleId="874">
    <w:name w:val="Список"/>
    <w:basedOn w:val="873"/>
    <w:next w:val="874"/>
    <w:link w:val="867"/>
    <w:rPr>
      <w:rFonts w:ascii="Arial" w:hAnsi="Arial" w:cs="Mangal"/>
    </w:rPr>
  </w:style>
  <w:style w:type="paragraph" w:styleId="875">
    <w:name w:val="Название1"/>
    <w:basedOn w:val="867"/>
    <w:next w:val="875"/>
    <w:link w:val="867"/>
    <w:pPr>
      <w:spacing w:before="120" w:after="120"/>
      <w:suppressLineNumbers/>
    </w:pPr>
    <w:rPr>
      <w:rFonts w:ascii="Arial" w:hAnsi="Arial" w:cs="Mangal"/>
      <w:i/>
      <w:iCs/>
      <w:sz w:val="20"/>
      <w:szCs w:val="24"/>
    </w:rPr>
  </w:style>
  <w:style w:type="paragraph" w:styleId="876">
    <w:name w:val="Указатель1"/>
    <w:basedOn w:val="867"/>
    <w:next w:val="876"/>
    <w:link w:val="867"/>
    <w:pPr>
      <w:suppressLineNumbers/>
    </w:pPr>
    <w:rPr>
      <w:rFonts w:ascii="Arial" w:hAnsi="Arial" w:cs="Mangal"/>
    </w:rPr>
  </w:style>
  <w:style w:type="paragraph" w:styleId="877">
    <w:name w:val="Содержимое таблицы"/>
    <w:basedOn w:val="867"/>
    <w:next w:val="877"/>
    <w:link w:val="867"/>
    <w:pPr>
      <w:suppressLineNumbers/>
    </w:pPr>
  </w:style>
  <w:style w:type="paragraph" w:styleId="878">
    <w:name w:val="Заголовок таблицы"/>
    <w:basedOn w:val="877"/>
    <w:next w:val="878"/>
    <w:link w:val="867"/>
    <w:pPr>
      <w:jc w:val="center"/>
      <w:suppressLineNumbers/>
    </w:pPr>
    <w:rPr>
      <w:b/>
      <w:bCs/>
    </w:rPr>
  </w:style>
  <w:style w:type="character" w:styleId="879">
    <w:name w:val="ConsNormal Знак"/>
    <w:next w:val="879"/>
    <w:link w:val="880"/>
    <w:rPr>
      <w:rFonts w:ascii="Arial" w:hAnsi="Arial"/>
      <w:lang w:val="ru-RU" w:eastAsia="ru-RU" w:bidi="ar-SA"/>
    </w:rPr>
  </w:style>
  <w:style w:type="paragraph" w:styleId="880">
    <w:name w:val="ConsNormal"/>
    <w:next w:val="880"/>
    <w:link w:val="879"/>
    <w:pPr>
      <w:ind w:right="19772" w:firstLine="720"/>
      <w:widowControl w:val="off"/>
    </w:pPr>
    <w:rPr>
      <w:rFonts w:ascii="Arial" w:hAnsi="Arial"/>
      <w:sz w:val="25"/>
      <w:szCs w:val="25"/>
      <w:lang w:val="ru-RU" w:eastAsia="ru-RU" w:bidi="ar-SA"/>
    </w:rPr>
  </w:style>
  <w:style w:type="paragraph" w:styleId="881">
    <w:name w:val="Основной текст с отступом"/>
    <w:basedOn w:val="867"/>
    <w:next w:val="881"/>
    <w:link w:val="867"/>
    <w:pPr>
      <w:ind w:left="283"/>
      <w:spacing w:after="120"/>
    </w:pPr>
  </w:style>
  <w:style w:type="paragraph" w:styleId="882">
    <w:name w:val="List Paragraph"/>
    <w:basedOn w:val="867"/>
    <w:next w:val="882"/>
    <w:link w:val="867"/>
    <w:pPr>
      <w:ind w:left="720"/>
    </w:pPr>
    <w:rPr>
      <w:sz w:val="20"/>
      <w:szCs w:val="20"/>
      <w:lang w:eastAsia="ru-RU"/>
    </w:rPr>
  </w:style>
  <w:style w:type="table" w:styleId="883">
    <w:name w:val="Сетка таблицы"/>
    <w:basedOn w:val="869"/>
    <w:next w:val="883"/>
    <w:link w:val="867"/>
    <w:uiPriority w:val="59"/>
    <w:tblPr/>
  </w:style>
  <w:style w:type="paragraph" w:styleId="884">
    <w:name w:val="msonormal_mailru_css_attribute_postfix_mailru_css_attribute_postfix_mailru_css_attribute_postfix"/>
    <w:basedOn w:val="867"/>
    <w:next w:val="884"/>
    <w:link w:val="867"/>
    <w:pPr>
      <w:spacing w:before="100" w:beforeAutospacing="1" w:after="100" w:afterAutospacing="1"/>
    </w:pPr>
    <w:rPr>
      <w:lang w:eastAsia="ru-RU"/>
    </w:rPr>
  </w:style>
  <w:style w:type="character" w:styleId="885">
    <w:name w:val="apple-converted-space"/>
    <w:basedOn w:val="868"/>
    <w:next w:val="885"/>
    <w:link w:val="867"/>
  </w:style>
  <w:style w:type="paragraph" w:styleId="886">
    <w:name w:val="Текст выноски"/>
    <w:basedOn w:val="867"/>
    <w:next w:val="886"/>
    <w:link w:val="88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7">
    <w:name w:val="Текст выноски Знак"/>
    <w:next w:val="887"/>
    <w:link w:val="886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styleId="888">
    <w:name w:val="Обычный (веб)"/>
    <w:basedOn w:val="867"/>
    <w:next w:val="888"/>
    <w:link w:val="867"/>
    <w:pPr>
      <w:spacing w:before="280" w:after="280"/>
      <w:widowControl w:val="off"/>
    </w:pPr>
    <w:rPr>
      <w:rFonts w:eastAsia="SimSun" w:cs="Mangal"/>
      <w:lang w:eastAsia="hi-IN" w:bidi="hi-IN"/>
    </w:rPr>
  </w:style>
  <w:style w:type="character" w:styleId="889">
    <w:name w:val="Гиперссылка"/>
    <w:next w:val="889"/>
    <w:link w:val="867"/>
    <w:uiPriority w:val="99"/>
    <w:unhideWhenUsed/>
    <w:rPr>
      <w:color w:val="0563c1"/>
      <w:u w:val="single"/>
    </w:rPr>
  </w:style>
  <w:style w:type="character" w:styleId="890" w:default="1">
    <w:name w:val="Default Paragraph Font"/>
    <w:uiPriority w:val="1"/>
    <w:semiHidden/>
    <w:unhideWhenUsed/>
  </w:style>
  <w:style w:type="numbering" w:styleId="891" w:default="1">
    <w:name w:val="No List"/>
    <w:uiPriority w:val="99"/>
    <w:semiHidden/>
    <w:unhideWhenUsed/>
  </w:style>
  <w:style w:type="table" w:styleId="892" w:default="1">
    <w:name w:val="Normal Table"/>
    <w:uiPriority w:val="99"/>
    <w:semiHidden/>
    <w:unhideWhenUsed/>
    <w:tblPr/>
  </w:style>
  <w:style w:type="paragraph" w:styleId="893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4" w:customStyle="1">
    <w:name w:val="ConsPlusNormal"/>
    <w:next w:val="710"/>
    <w:pPr>
      <w:contextualSpacing w:val="0"/>
      <w:ind w:left="0" w:right="0" w:firstLine="72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95" w:customStyle="1">
    <w:name w:val="Без интервала1"/>
    <w:next w:val="787"/>
    <w:link w:val="78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6" w:customStyle="1">
    <w:name w:val="msonospacing_mailru_css_attribute_postfix"/>
    <w:basedOn w:val="838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7" w:customStyle="1">
    <w:name w:val="Текст сноски"/>
    <w:pPr>
      <w:contextualSpacing w:val="0"/>
      <w:ind w:left="340" w:right="0" w:hanging="340"/>
      <w:jc w:val="left"/>
      <w:keepLines w:val="0"/>
      <w:keepNext w:val="0"/>
      <w:pageBreakBefore w:val="0"/>
      <w:spacing w:before="0" w:beforeAutospacing="0" w:after="160" w:afterAutospacing="0" w:line="252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898" w:customStyle="1">
    <w:name w:val="Символ сноски"/>
  </w:style>
  <w:style w:type="character" w:styleId="899" w:customStyle="1">
    <w:name w:val="Знак сноски"/>
    <w:rPr>
      <w:vertAlign w:val="superscript"/>
    </w:rPr>
  </w:style>
  <w:style w:type="paragraph" w:styleId="900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ar-SA"/>
      <w14:ligatures w14:val="none"/>
    </w:rPr>
  </w:style>
  <w:style w:type="table" w:styleId="901" w:customStyle="1">
    <w:name w:val="Сетка таблицы2"/>
    <w:basedOn w:val="694"/>
    <w:next w:val="714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902" w:customStyle="1">
    <w:name w:val="Plain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Эля</dc:creator>
  <cp:revision>209</cp:revision>
  <dcterms:created xsi:type="dcterms:W3CDTF">2007-02-05T12:13:00Z</dcterms:created>
  <dcterms:modified xsi:type="dcterms:W3CDTF">2026-04-08T13:10:37Z</dcterms:modified>
  <cp:version>1048576</cp:version>
</cp:coreProperties>
</file>