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7"/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Государственный контракт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 №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на оказание услуг по плановому техническому обслуживанию автомобил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ей 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 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pStyle w:val="893"/>
        <w:jc w:val="center"/>
        <w:spacing w:before="0" w:after="0" w:line="240" w:lineRule="auto"/>
        <w:rPr>
          <w:rFonts w:ascii="PT Astra Serif" w:hAnsi="PT Astra Serif" w:cs="PT Astra Serif"/>
          <w:b/>
          <w:bCs/>
          <w:i/>
          <w:iCs/>
          <w:sz w:val="24"/>
          <w:szCs w:val="24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bCs/>
          <w:i/>
          <w:iCs/>
          <w:sz w:val="24"/>
          <w:szCs w:val="24"/>
          <w:u w:val="none"/>
        </w:rPr>
        <w:t xml:space="preserve">ИКЗ: </w:t>
      </w:r>
      <w:r>
        <w:rPr>
          <w:rFonts w:ascii="PT Astra Serif" w:hAnsi="PT Astra Serif" w:cs="PT Astra Serif"/>
          <w:b/>
          <w:bCs/>
          <w:i/>
          <w:iCs/>
          <w:sz w:val="24"/>
          <w:szCs w:val="24"/>
          <w:highlight w:val="none"/>
          <w:u w:val="none"/>
        </w:rPr>
        <w:t xml:space="preserve">26 1 4401050246 440101001 0016 009 0000 244</w:t>
      </w:r>
      <w:r>
        <w:rPr>
          <w:rFonts w:ascii="PT Astra Serif" w:hAnsi="PT Astra Serif" w:cs="PT Astra Serif"/>
          <w:b/>
          <w:bCs/>
          <w:i/>
          <w:iCs/>
          <w:sz w:val="24"/>
          <w:szCs w:val="24"/>
          <w:highlight w:val="none"/>
          <w:u w:val="none"/>
        </w:rPr>
      </w:r>
      <w:r>
        <w:rPr>
          <w:rFonts w:ascii="PT Astra Serif" w:hAnsi="PT Astra Serif" w:cs="PT Astra Serif"/>
          <w:b/>
          <w:bCs/>
          <w:i/>
          <w:iCs/>
          <w:sz w:val="24"/>
          <w:szCs w:val="24"/>
          <w:highlight w:val="none"/>
          <w:u w:val="none"/>
        </w:rPr>
      </w:r>
    </w:p>
    <w:p>
      <w:pPr>
        <w:jc w:val="center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867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г.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Кострома </w:t>
        <w:tab/>
        <w:tab/>
        <w:tab/>
        <w:tab/>
        <w:tab/>
      </w:r>
      <w:r>
        <w:rPr>
          <w:rFonts w:ascii="PT Astra Serif" w:hAnsi="PT Astra Serif" w:eastAsia="PT Astra Serif" w:cs="PT Astra Serif"/>
          <w:sz w:val="24"/>
          <w:szCs w:val="24"/>
        </w:rPr>
        <w:tab/>
        <w:t xml:space="preserve">                      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«___» ____________ 202</w:t>
      </w:r>
      <w:r>
        <w:rPr>
          <w:rFonts w:ascii="PT Astra Serif" w:hAnsi="PT Astra Serif" w:cs="PT Astra Serif"/>
          <w:sz w:val="24"/>
          <w:szCs w:val="24"/>
        </w:rPr>
        <w:t xml:space="preserve">6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355"/>
        <w:jc w:val="center"/>
        <w:rPr>
          <w:u w:val="single"/>
        </w:rPr>
      </w:pPr>
      <w:r>
        <w:rPr>
          <w:u w:val="single"/>
        </w:rPr>
      </w:r>
      <w:r>
        <w:rPr>
          <w:u w:val="single"/>
        </w:rPr>
      </w:r>
      <w:r>
        <w:rPr>
          <w:u w:val="singl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Костромской области (Управление Росреестра по Костромской области)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именуемое в дальнейшем «Заказчик», в лице и.о. руководителя Управления </w:t>
      </w:r>
      <w:r>
        <w:rPr>
          <w:rFonts w:ascii="PT Astra Serif" w:hAnsi="PT Astra Serif" w:eastAsia="PT Astra Serif" w:cs="PT Astra Serif"/>
          <w:color w:val="ff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Добровольской Елены Сергеевны, действующего на основании Положения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об Управлении и приказа Управления от 26.02.2026 № 39-к/о, с одной стороны, и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именуем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ое в дальнейшем «Исполнитель», в лице _________________________, действующего на основании ______________, с другой стороны,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совместно именуемые «Стороны»,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алее - Закон №44-ФЗ)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заключили настоящий государственный контракт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(далее – Контракт) о нижеследующем:</w:t>
      </w:r>
      <w:r>
        <w:rPr>
          <w:rFonts w:ascii="PT Astra Serif" w:hAnsi="PT Astra Serif" w:cs="PT Astra Serif"/>
          <w:sz w:val="24"/>
        </w:rPr>
      </w:r>
      <w:r>
        <w:rPr>
          <w:rFonts w:ascii="PT Astra Serif" w:hAnsi="PT Astra Serif" w:cs="PT Astra Serif"/>
          <w:sz w:val="24"/>
        </w:rPr>
      </w:r>
    </w:p>
    <w:p>
      <w:pPr>
        <w:pStyle w:val="867"/>
        <w:ind w:firstLine="567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ar-SA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numPr>
          <w:ilvl w:val="0"/>
          <w:numId w:val="4"/>
        </w:numPr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Предмет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к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о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нт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р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ак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т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а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8"/>
        <w:jc w:val="both"/>
        <w:rPr>
          <w:rFonts w:ascii="PT Astra Serif" w:hAnsi="PT Astra Serif" w:cs="PT Astra Serif"/>
          <w:color w:val="auto"/>
          <w:sz w:val="24"/>
          <w:szCs w:val="24"/>
        </w:rPr>
      </w:pP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1.1.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По настоящему Контракту Исполнитель обязуется оказать услуги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по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плановому техническому обслуживанию автомобилей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(далее- Услуги)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в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соответствии с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Техническим заданием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(Приложение №1 к Контракту) и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Спецификацией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(Приложение №2 к Контракту)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которые являются неотъемлемой час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тью Контракта.</w:t>
      </w:r>
      <w:r>
        <w:rPr>
          <w:rFonts w:ascii="PT Astra Serif" w:hAnsi="PT Astra Serif" w:cs="PT Astra Serif"/>
          <w:color w:val="auto"/>
          <w:sz w:val="24"/>
          <w:szCs w:val="24"/>
        </w:rPr>
      </w:r>
      <w:r>
        <w:rPr>
          <w:rFonts w:ascii="PT Astra Serif" w:hAnsi="PT Astra Serif" w:cs="PT Astra Serif"/>
          <w:color w:val="auto"/>
          <w:sz w:val="24"/>
          <w:szCs w:val="24"/>
        </w:rPr>
      </w:r>
    </w:p>
    <w:p>
      <w:pPr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1.2.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Услуги оказываются Исполнителем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 со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ответствии с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1.3. Заказчик обязуется принять и оплатить услуги в порядке и на условиях, предусмотренных настоящим Контрактом.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 Обязательства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2.1. Исполнитель обязан: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2.1.1. Оказать Заказчику услуги в порядке, предусмотренном настоящим Контрактом.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color w:val="auto"/>
          <w:sz w:val="24"/>
          <w:szCs w:val="24"/>
        </w:rPr>
      </w:pP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2.1.2. Оказать услуги в полном объеме и надлежащего качества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 в соответствии с Приложени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ями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№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1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настоящего Контракта.</w:t>
      </w:r>
      <w:r>
        <w:rPr>
          <w:rFonts w:ascii="PT Astra Serif" w:hAnsi="PT Astra Serif" w:cs="PT Astra Serif"/>
          <w:color w:val="auto"/>
          <w:sz w:val="24"/>
          <w:szCs w:val="24"/>
        </w:rPr>
      </w:r>
      <w:r>
        <w:rPr>
          <w:rFonts w:ascii="PT Astra Serif" w:hAnsi="PT Astra Serif" w:cs="PT Astra Serif"/>
          <w:color w:val="auto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2.1.3. 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беспечить за свой счет устранение недостатков, выявленных при приемке Заказчиком оказанных услуг.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tabs>
          <w:tab w:val="left" w:pos="-184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2.1.4.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Обеспечить сохранн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ость транспортного средства Заказчика при оказании услуг.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tabs>
          <w:tab w:val="left" w:pos="-184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2.1.5.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Осуществлять все виды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услуг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по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плановому техническому обслуживанию автомобиля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 соблюдением правил техники безопасности и с использованием собственных производственных площадей, оборудования и расходных материалов.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tabs>
          <w:tab w:val="left" w:pos="-1843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2.2. Исполнитель вправе: 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9"/>
        <w:jc w:val="both"/>
        <w:widowControl w:val="off"/>
        <w:tabs>
          <w:tab w:val="left" w:pos="-184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val="en-US"/>
        </w:rPr>
        <w:t xml:space="preserve">2.2.1. Требовать своевременной оплаты на условиях, 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установленных</w:t>
      </w:r>
      <w:r>
        <w:rPr>
          <w:rFonts w:ascii="PT Astra Serif" w:hAnsi="PT Astra Serif" w:eastAsia="PT Astra Serif" w:cs="PT Astra Serif"/>
          <w:bCs/>
          <w:sz w:val="24"/>
          <w:szCs w:val="24"/>
          <w:lang w:val="en-US"/>
        </w:rPr>
        <w:t xml:space="preserve"> настоящим Контрактом, надлежащим образом 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оказанных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 и </w:t>
      </w:r>
      <w:r>
        <w:rPr>
          <w:rFonts w:ascii="PT Astra Serif" w:hAnsi="PT Astra Serif" w:eastAsia="PT Astra Serif" w:cs="PT Astra Serif"/>
          <w:bCs/>
          <w:sz w:val="24"/>
          <w:szCs w:val="24"/>
          <w:lang w:val="en-US"/>
        </w:rPr>
        <w:t xml:space="preserve">принятых Заказчиком 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услуг</w:t>
      </w:r>
      <w:r>
        <w:rPr>
          <w:rFonts w:ascii="PT Astra Serif" w:hAnsi="PT Astra Serif" w:eastAsia="PT Astra Serif" w:cs="PT Astra Serif"/>
          <w:bCs/>
          <w:sz w:val="24"/>
          <w:szCs w:val="24"/>
          <w:lang w:val="en-US"/>
        </w:rPr>
        <w:t xml:space="preserve">.</w:t>
      </w:r>
      <w:r>
        <w:rPr>
          <w:rFonts w:ascii="PT Astra Serif" w:hAnsi="PT Astra Serif" w:cs="PT Astra Serif"/>
          <w:bCs/>
          <w:sz w:val="24"/>
          <w:szCs w:val="24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867"/>
        <w:ind w:firstLine="709"/>
        <w:jc w:val="both"/>
        <w:widowControl w:val="off"/>
        <w:tabs>
          <w:tab w:val="left" w:pos="-184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  <w:lang w:val="en-US"/>
        </w:rPr>
        <w:t xml:space="preserve">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2.2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 Принять решение об одностороннем отказе от исполнения Контракта </w:t>
      </w:r>
      <w:r>
        <w:rPr>
          <w:rFonts w:ascii="PT Astra Serif" w:hAnsi="PT Astra Serif" w:cs="PT Astra Serif"/>
          <w:bCs/>
          <w:sz w:val="24"/>
          <w:szCs w:val="24"/>
        </w:rPr>
        <w:t xml:space="preserve">в соответствии с гражданским законодательством.</w:t>
      </w:r>
      <w:r>
        <w:rPr>
          <w:rFonts w:ascii="PT Astra Serif" w:hAnsi="PT Astra Serif" w:cs="PT Astra Serif"/>
          <w:bCs/>
          <w:sz w:val="24"/>
          <w:szCs w:val="24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867"/>
        <w:ind w:firstLine="709"/>
        <w:jc w:val="both"/>
        <w:widowControl w:val="off"/>
        <w:tabs>
          <w:tab w:val="left" w:pos="-1843" w:leader="none"/>
        </w:tabs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.2.3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. Осуществлять иные права, предусмотренные Контрактом и законодательством Российской Федерации.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2.3. Заказчик обязан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94"/>
        <w:ind w:firstLine="708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2.3.1.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Принять и оплатить оказанные услуги в соответствии с Контрактом.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4"/>
        <w:ind w:firstLine="708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2.3.2. Обеспечить контроль за исполнением Контракта.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67"/>
        <w:ind w:firstLine="70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2.3.3. Исполнять иные обязанности, предусмотренные Контрактом и законодательством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2.4. Заказчик вправе: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2.4.1. Требовать от Исполнителя надлежащего исполнения обязательств, установленных Контрактом.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2.4.2. Требовать от Исполнителя своевременного устранения недостатков, выявленных в ходе приемки.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2.4.3.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2.4.4.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Принять решение об одностороннем отказе от исполнения Контракта </w:t>
      </w:r>
      <w:r>
        <w:rPr>
          <w:rFonts w:ascii="PT Astra Serif" w:hAnsi="PT Astra Serif" w:cs="PT Astra Serif"/>
          <w:bCs/>
          <w:sz w:val="24"/>
          <w:szCs w:val="24"/>
        </w:rPr>
        <w:t xml:space="preserve">в соответствии с гражданским законодательством.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2.4.5.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2.4.6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 Осуществлять иные права, предусмотренные Контрактом и законодательством Российской Федерации.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  <w:t xml:space="preserve">3. Место и сроки оказания услуг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94"/>
        <w:ind w:firstLine="567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End w:id="0"/>
      <w:r>
        <w:rPr>
          <w:rFonts w:ascii="PT Astra Serif" w:hAnsi="PT Astra Serif" w:eastAsia="PT Astra Serif" w:cs="PT Astra Serif"/>
          <w:sz w:val="24"/>
          <w:szCs w:val="24"/>
        </w:rPr>
        <w:t xml:space="preserve">3.1. Услуги оказываются с момента заключения Контракта по 30 июня 2026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года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4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3.2. Услуги оказываются на основании заявки Заказчика.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Срок исполнения заявки Заказчика: 3 (три) рабочий дня, с момента её получения.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Д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ата и время прохождения ТО Исполнитель определяет по согласованию с Заказчиком.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4"/>
        <w:ind w:firstLine="567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3.3.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Место оказания Услуг: станция технического обслуживания по адресу: _____________________ (далее по тексту СТО).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center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4.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Порядок сдачи и приемки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оказанных услуг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line="240" w:lineRule="auto"/>
        <w:shd w:val="clear" w:color="auto" w:fill="ffffff"/>
        <w:tabs>
          <w:tab w:val="left" w:pos="0" w:leader="none"/>
        </w:tabs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4.1.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Исполнитель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в течении 3 (Трех) рабочих дней</w:t>
      </w:r>
      <w:r>
        <w:rPr>
          <w:rFonts w:ascii="PT Astra Serif" w:hAnsi="PT Astra Serif" w:eastAsia="PT Astra Serif" w:cs="PT Astra Serif"/>
          <w:color w:val="334059"/>
          <w:sz w:val="24"/>
          <w:szCs w:val="24"/>
          <w:highlight w:val="white"/>
        </w:rPr>
        <w:t xml:space="preserve"> 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после выполнения обязательств по Контракту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предоставляет Заказчику 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платежны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е документы об оказанных услугах: счет/счет-фактуру/УПД/акт 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pacing w:line="240" w:lineRule="auto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Style w:val="871"/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  <w:t xml:space="preserve">4.2.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Для проверки пр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аться эксперты, экспертные организации на основании контрактов, заключенных в соответствии с Федеральным законом от 5 апреля 2013 г.            № 44-ФЗ.</w:t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pStyle w:val="895"/>
        <w:ind w:firstLine="708"/>
        <w:jc w:val="both"/>
        <w:spacing w:line="240" w:lineRule="auto"/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4.3.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Срок осуществления Заказчиком приемки оказанных услуг составляет 5 (пять) рабочих дней с момента получения от Исполнителя платежных документов, указанных в      п. 4.1 Контракта.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r>
    </w:p>
    <w:p>
      <w:pPr>
        <w:pStyle w:val="895"/>
        <w:ind w:firstLine="708"/>
        <w:jc w:val="both"/>
        <w:spacing w:line="240" w:lineRule="auto"/>
        <w:rPr>
          <w:rFonts w:ascii="PT Astra Serif" w:hAnsi="PT Astra Serif" w:cs="PT Astra Serif"/>
          <w:color w:val="000000" w:themeColor="text1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По результатам приемки, Сторонами в рамках указанного срока подписывается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акт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оказанных услуг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либо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Исполнителю в те же сроки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Заказчиком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направляется в письменной форме мотивированный отказ от подписания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акта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 В случае мотивированного отказа Сторонами составляется двусторонний акт с указанием перечня необходимых доработок и сроков их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устранения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.</w:t>
      </w:r>
      <w:r>
        <w:rPr>
          <w:rFonts w:ascii="PT Astra Serif" w:hAnsi="PT Astra Serif" w:cs="PT Astra Serif"/>
          <w:color w:val="000000" w:themeColor="text1"/>
        </w:rPr>
      </w:r>
      <w:r>
        <w:rPr>
          <w:rFonts w:ascii="PT Astra Serif" w:hAnsi="PT Astra Serif" w:cs="PT Astra Serif"/>
          <w:color w:val="000000" w:themeColor="text1"/>
        </w:rPr>
      </w:r>
    </w:p>
    <w:p>
      <w:pPr>
        <w:ind w:firstLine="709"/>
        <w:jc w:val="both"/>
        <w:spacing w:line="240" w:lineRule="auto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4.4.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Оформление документа о приемке оказанных услуг осуществляется Заказчиком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в течение 1 (одного) рабочего дня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без участия Исполнителя на основании документов, указанных в пункте 4.1 Контракта, и подтверждается подписанным Актом приемки товара по форме 0510452, утвержденной приказом Минфина от 15.04.2021 № 61н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"Об утверждении унифицированных форм электронных документов бухгалтерского учета, применяе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мы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применению". Копия подписанного акта приемки по форме 0510452 направляется Исполнителю на адрес электронной почты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4.5. </w:t>
      </w:r>
      <w:r>
        <w:rPr>
          <w:rFonts w:ascii="PT Astra Serif" w:hAnsi="PT Astra Serif" w:eastAsia="PT Astra Serif" w:cs="PT Astra Serif"/>
          <w:color w:val="000000" w:themeColor="text1"/>
          <w:spacing w:val="2"/>
          <w:sz w:val="24"/>
          <w:szCs w:val="24"/>
          <w:shd w:val="clear" w:color="auto" w:fill="ffffff"/>
        </w:rPr>
        <w:t xml:space="preserve">Услуги считаются оказанными и принятыми после подписания сторонами Акта 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left="720" w:firstLine="0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5. Цена Контракта и порядок расчетов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 Цена настоящего Контракта составляет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 рубл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ей 00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копеек,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 том числе НДС ________%,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(или НДС не облагается).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5.2. 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5.3. Ц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ена Контракта является твердой и определяется на весь срок исполнения настоящего Контракта, за исключением случаев, установленных Законом № 44-ФЗ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708"/>
        <w:ind w:firstLine="709"/>
        <w:jc w:val="both"/>
        <w:tabs>
          <w:tab w:val="left" w:pos="567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5.4. Цена настоящего Контракта включает все расходы Исполнителя, необходимые для осуществления им своих обязательств по Контракту в полном объеме и надлежащего качества, в том числе налоги и другие обязательные платежи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подлежащие уплате в соответствии с законодательством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5.5.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Источник финансирования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Контракта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- Федеральный бюджет (по главе 321, разделу 04, подразделу 12, целевой статье расходов 5440190019, виду расходов 244).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5.6. Оплата производится в рублях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6"/>
        <w:ind w:firstLine="709"/>
        <w:jc w:val="both"/>
        <w:spacing w:before="0" w:beforeAutospacing="0" w:after="0" w:afterAutospacing="0"/>
        <w:shd w:val="clear" w:color="auto" w:fill="ffffff"/>
        <w:tabs>
          <w:tab w:val="left" w:pos="156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5.7. Расчеты между Заказчиком и Исполнителем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производятся по факту оказания услуг </w:t>
      </w:r>
      <w:r>
        <w:rPr>
          <w:rFonts w:ascii="PT Astra Serif" w:hAnsi="PT Astra Serif" w:eastAsia="PT Astra Serif" w:cs="PT Astra Serif" w:eastAsiaTheme="minorEastAsia"/>
          <w:sz w:val="24"/>
          <w:szCs w:val="24"/>
        </w:rPr>
        <w:t xml:space="preserve">в течение 7 (семи) рабочих дней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с даты подписания Сторонами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акта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сдачи-приемки оказанных услуг,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 основании счета (счета-фактуры).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6"/>
        <w:ind w:firstLine="709"/>
        <w:jc w:val="both"/>
        <w:spacing w:before="0" w:beforeAutospacing="0" w:after="0" w:afterAutospacing="0"/>
        <w:shd w:val="clear" w:color="auto" w:fill="ffffff"/>
        <w:tabs>
          <w:tab w:val="left" w:pos="156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5.8.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5.9. Датой надлежащего исполнения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Заказчиком своих обязательств по оплате оказанных услуг является дата списания денежных средств с лицевого счёта Заказчика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5.10. Стороны производят сверку расчетов, которой подтверждается объем услуг, </w:t>
      </w:r>
      <w:r>
        <w:rPr>
          <w:rFonts w:ascii="PT Astra Serif" w:hAnsi="PT Astra Serif" w:cs="PT Astra Serif"/>
          <w:sz w:val="24"/>
          <w:szCs w:val="24"/>
          <w:highlight w:val="none"/>
        </w:rPr>
        <w:t xml:space="preserve">оказанных исполнителем и принятых Заказчиком, а также размер суммы, перечисленной Заказчиком Исполнителю за оказанные услуги. Исполнитель обязан ежеквартально предоставлять Заказчику акты сверки расчетов (ф.0510477) по унифицированной форме, установленной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приказом Минфина от 15.04.2021 № 61н. Акт предоставляется не позднее     15 числа месяца, следующего за отчетным кварталом.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jc w:val="center"/>
        <w:widowControl w:val="off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6. Ответственность сторон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6.1. В случае не исполнения, либо ненадлежащего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исполнения обязанностей, предусмотренных настоящим Контрактом, стороны несут ответственность в соответствии с действующим законодательством Российской Федерации и определяется в порядке, предусмотренном Постановлением Правительства РФ от 30.08.2017 №1042.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6.2. В случае просрочки исполнени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 Исполнитель вправе потребовать уплаты неустоек (штрафов, пеней).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6.3. Пеня начисляется за каждый день просрочки исполнения обязательства, предусмотренного Контрактом, начиная со дня, следующего после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Правилами в размере </w:t>
      </w:r>
      <w:r>
        <w:rPr>
          <w:rFonts w:ascii="PT Astra Serif" w:hAnsi="PT Astra Serif" w:eastAsia="PT Astra Serif" w:cs="PT Astra Serif"/>
          <w:b/>
          <w:i/>
          <w:sz w:val="24"/>
          <w:szCs w:val="24"/>
        </w:rPr>
        <w:t xml:space="preserve">1 000,00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(Одна тысяча) рублей 00 копеек.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6.6. В случае просрочки исполнения Исполнителем обязательств (в том числе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6.7. Пеня начисляется за каждый день просрочки исполнения Исполнителем,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едусмотренных Контрактом (соответствующим отдельным этапом исполнения контракта) и фактически исполненных Исполнителем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6.8. Штрафы начисляются за каждый факт неисполнения или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Штраф устанавливается контрактом в размере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 рублей 00 копеек,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6.11. Применение нестойки (штрафа, пени) не освобождает Стороны от исполнения обязательств по настоящему Контракту.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6.12. Во всем остальном, Стороны руководствуются нормами действующего законод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ательства Российской Федерации.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center"/>
        <w:widowControl w:val="off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7. Срок действия Контракта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7.1. Настоящий Контракт вступает в силу с моме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нта подписания и действует до 31.07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.202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6 года, а в части расчетов – до полного исполнения обязательств Сторонами. 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center"/>
        <w:widowControl w:val="off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8. Форс-мажор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 Стороны освобождаются от ответственности за неисполнение или ненадлежащее исполнение обязательств по настоящему Контракту, если такое неисполнение явилось следствием обстоятельств непреодолимой силы, возникших после заключения Контракта в результате собы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тий чрезвычайного характера, не позволяющих Сторонам исполнить обязательства по настоящему Контракту, или других непредвиденных обстоятельств, не зависящих от воли Сторон, если эти обстоятельства непосредственно повлияли на исполнение настоящего Контракта.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widowControl w:val="off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8.2.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pStyle w:val="867"/>
        <w:contextualSpacing/>
        <w:ind w:firstLine="709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contextualSpacing/>
        <w:ind w:firstLine="709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9. Заключительные положения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9"/>
        <w:jc w:val="both"/>
        <w:shd w:val="clear" w:color="auto" w:fill="ffffff"/>
        <w:widowControl w:val="off"/>
        <w:tabs>
          <w:tab w:val="left" w:pos="567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9.1.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9.2. В случае изменения у какой-либо из Сторон юридического адреса, названия, банковских реквизитов и прочего она обязана в течение 3 (Трех) дней письменно известить об этом другую Сторону.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9.3. Расторжение контракта допуск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ается по соглашению Сторон, по решению суда или в связи с односторонним отказам Стороны от исполнения Контракта в соответствии с гражданским законодательством Российской Федерации а порядке, предусмотренном частями 9-23 статьи 95 Федерального закона 44-ФЗ.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tabs>
          <w:tab w:val="left" w:pos="567" w:leader="none"/>
          <w:tab w:val="left" w:pos="1418" w:leader="underscore"/>
        </w:tabs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9.4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 Настоящий Контракт составлен и подписан в двух экземплярах – по одному для каждой Стороны, каждый экземпляр идентичен и имеет одинаковую юридическую силу.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pStyle w:val="867"/>
        <w:ind w:firstLine="709"/>
        <w:jc w:val="both"/>
        <w:widowControl w:val="off"/>
        <w:tabs>
          <w:tab w:val="left" w:pos="567" w:leader="none"/>
          <w:tab w:val="left" w:pos="1418" w:leader="underscore"/>
        </w:tabs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9.5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 Во всем остальном, что не предусмотрено Контрактом, Стороны руководствуются законодательством Российской Федерации.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pStyle w:val="867"/>
        <w:ind w:firstLine="708"/>
        <w:jc w:val="both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9.6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 Все изменения и приложения к настоящему государственному контракту являются его неотъемлемой частью, в том числе: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67"/>
        <w:ind w:firstLine="720"/>
        <w:jc w:val="both"/>
        <w:rPr>
          <w:rFonts w:ascii="PT Astra Serif" w:hAnsi="PT Astra Serif" w:cs="PT Astra Serif"/>
          <w:color w:val="auto"/>
          <w:sz w:val="24"/>
          <w:szCs w:val="24"/>
          <w:highlight w:val="none"/>
        </w:rPr>
        <w:outlineLvl w:val="0"/>
      </w:pP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Приложение №1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cs="PT Astra Serif"/>
          <w:color w:val="auto"/>
          <w:sz w:val="24"/>
          <w:szCs w:val="24"/>
        </w:rPr>
        <w:t xml:space="preserve">Техническое задание;</w:t>
      </w:r>
      <w:r>
        <w:rPr>
          <w:rFonts w:ascii="PT Astra Serif" w:hAnsi="PT Astra Serif" w:cs="PT Astra Serif"/>
          <w:color w:val="auto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auto"/>
          <w:sz w:val="24"/>
          <w:szCs w:val="24"/>
          <w:highlight w:val="none"/>
        </w:rPr>
      </w:r>
    </w:p>
    <w:p>
      <w:pPr>
        <w:pStyle w:val="867"/>
        <w:ind w:firstLine="720"/>
        <w:jc w:val="both"/>
        <w:rPr>
          <w:rFonts w:ascii="PT Astra Serif" w:hAnsi="PT Astra Serif" w:cs="PT Astra Serif"/>
          <w:color w:val="auto"/>
          <w:sz w:val="24"/>
          <w:szCs w:val="24"/>
        </w:rPr>
        <w:outlineLvl w:val="0"/>
      </w:pP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Приложение №2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cs="PT Astra Serif"/>
          <w:color w:val="auto"/>
          <w:sz w:val="24"/>
          <w:szCs w:val="24"/>
        </w:rPr>
        <w:t xml:space="preserve">Спецификация.</w:t>
      </w:r>
      <w:r>
        <w:rPr>
          <w:rFonts w:ascii="PT Astra Serif" w:hAnsi="PT Astra Serif" w:cs="PT Astra Serif"/>
          <w:color w:val="auto"/>
          <w:sz w:val="24"/>
          <w:szCs w:val="24"/>
        </w:rPr>
      </w:r>
      <w:r>
        <w:rPr>
          <w:rFonts w:ascii="PT Astra Serif" w:hAnsi="PT Astra Serif" w:cs="PT Astra Serif"/>
          <w:color w:val="auto"/>
          <w:sz w:val="24"/>
          <w:szCs w:val="24"/>
        </w:rPr>
      </w:r>
    </w:p>
    <w:p>
      <w:pPr>
        <w:pStyle w:val="867"/>
        <w:ind w:firstLine="720"/>
        <w:jc w:val="both"/>
        <w:rPr>
          <w:rFonts w:ascii="PT Astra Serif" w:hAnsi="PT Astra Serif" w:cs="PT Astra Serif"/>
          <w:sz w:val="24"/>
          <w:szCs w:val="24"/>
        </w:rPr>
        <w:outlineLvl w:val="0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10. Реквизиты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0" w:type="auto"/>
        <w:tblInd w:w="1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8" w:type="dxa"/>
            <w:vAlign w:val="top"/>
            <w:textDirection w:val="lrTb"/>
            <w:noWrap w:val="false"/>
          </w:tcPr>
          <w:p>
            <w:pPr>
              <w:pStyle w:val="867"/>
              <w:jc w:val="both"/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по Костромской области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Место нахождения: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156013, г. Кострома, ул. Сенная, д.17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ОГРН 1044408640561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ИНН 4401050246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КПП 440101001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ОКПО 5012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ОКТМО 34701000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Банковские реквизиты: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л/с 03411А54810 в УФК по Нижегородской области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Казначейский счет: 03211643000000013202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Единый казначейский счет: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40102810745370000024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БИК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012202102 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Наименование банка: ОКЦ №1 ВОЛГО-ВЯТСКОГО ГУ БАНКА РОССИИ//УФК  по Нижегородской области г. Нижний Новгород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Тел./Факс: 8(4942) 64-56-33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Факс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 8(4942)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64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56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61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 44_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upr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@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rosreestr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Контактное лицо (Ф.И.О.):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  <w:t xml:space="preserve">Ершов Александр Сергеевич 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Внутренний телефон: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8(4942) 64-56-34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mto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rosreestr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@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6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pStyle w:val="86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Подписи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9826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820"/>
        <w:gridCol w:w="50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86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67"/>
              <w:ind w:firstLine="14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ind w:hanging="3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  <w:t xml:space="preserve">Е.С. Добровольская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pStyle w:val="867"/>
              <w:ind w:firstLine="137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6" w:type="dxa"/>
            <w:vAlign w:val="top"/>
            <w:textDirection w:val="lrTb"/>
            <w:noWrap w:val="false"/>
          </w:tcPr>
          <w:p>
            <w:pPr>
              <w:pStyle w:val="86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   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jc w:val="right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jc w:val="right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jc w:val="right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Приложение № 1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jc w:val="right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 государственному кон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тракту № __________________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Calibri"/>
          <w:b/>
          <w:bCs/>
          <w:sz w:val="24"/>
          <w:szCs w:val="24"/>
          <w:lang w:eastAsia="ar-SA"/>
        </w:rPr>
      </w:pPr>
      <w:r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Calibri" w:cs="Calibri"/>
          <w:b/>
          <w:bCs/>
          <w:sz w:val="24"/>
          <w:szCs w:val="24"/>
          <w:lang w:eastAsia="ar-SA"/>
        </w:rPr>
      </w:r>
      <w:r>
        <w:rPr>
          <w:rFonts w:ascii="Times New Roman" w:hAnsi="Times New Roman" w:eastAsia="Calibri" w:cs="Calibri"/>
          <w:b/>
          <w:bCs/>
          <w:sz w:val="24"/>
          <w:szCs w:val="24"/>
          <w:lang w:eastAsia="ar-SA"/>
        </w:rPr>
      </w:r>
    </w:p>
    <w:p>
      <w:pPr>
        <w:jc w:val="center"/>
        <w:spacing w:after="0" w:line="240" w:lineRule="auto"/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pPr>
      <w:r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lang w:eastAsia="ar-SA"/>
        </w:rPr>
        <w:t xml:space="preserve">Техническое задание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на оказание услуг по плановому техническому обслуживанию автомобиля 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pPr>
      <w:r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r>
    </w:p>
    <w:p>
      <w:pPr>
        <w:ind w:right="177" w:firstLine="461"/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ar-SA"/>
        </w:rPr>
      </w:r>
    </w:p>
    <w:p>
      <w:pPr>
        <w:ind w:firstLine="603"/>
        <w:jc w:val="both"/>
        <w:spacing w:after="0" w:line="240" w:lineRule="auto"/>
        <w:widowControl w:val="off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1.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Наименование объекта закупки: 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4"/>
          <w:szCs w:val="24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4"/>
          <w:szCs w:val="24"/>
          <w:highlight w:val="none"/>
        </w:rPr>
        <w:t xml:space="preserve">казание услуг по плановому техническому обслуживанию автомобилей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4"/>
          <w:szCs w:val="24"/>
        </w:rPr>
        <w:t xml:space="preserve"> (далее - ТО).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ind w:firstLine="603"/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603"/>
        <w:jc w:val="both"/>
        <w:spacing w:after="0" w:line="240" w:lineRule="auto"/>
        <w:widowControl w:val="off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 Автомобиль Заказчика, подлежащий ТО.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603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pPr w:horzAnchor="text" w:tblpXSpec="left" w:vertAnchor="text" w:tblpY="1" w:leftFromText="180" w:topFromText="0" w:rightFromText="180" w:bottomFromText="200"/>
        <w:tblW w:w="93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577"/>
        <w:gridCol w:w="2409"/>
        <w:gridCol w:w="3402"/>
        <w:gridCol w:w="2977"/>
      </w:tblGrid>
      <w:tr>
        <w:tblPrEx/>
        <w:trPr>
          <w:trHeight w:val="20"/>
        </w:trPr>
        <w:tc>
          <w:tcPr>
            <w:tcW w:w="5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560" w:leader="none"/>
                <w:tab w:val="left" w:pos="1701" w:leader="none"/>
                <w:tab w:val="left" w:pos="7740" w:leader="none"/>
              </w:tabs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lang w:eastAsia="en-US"/>
              </w:rPr>
              <w:t xml:space="preserve">№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1560" w:leader="none"/>
                <w:tab w:val="left" w:pos="1701" w:leader="none"/>
                <w:tab w:val="left" w:pos="7740" w:leader="none"/>
              </w:tabs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lang w:eastAsia="en-US"/>
              </w:rPr>
              <w:t xml:space="preserve">п/п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560" w:leader="none"/>
                <w:tab w:val="left" w:pos="1701" w:leader="none"/>
                <w:tab w:val="left" w:pos="7740" w:leader="none"/>
              </w:tabs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lang w:eastAsia="en-US"/>
              </w:rPr>
              <w:t xml:space="preserve">Марка и модель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560" w:leader="none"/>
                <w:tab w:val="left" w:pos="1701" w:leader="none"/>
                <w:tab w:val="left" w:pos="7740" w:leader="none"/>
              </w:tabs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lang w:val="en-US" w:eastAsia="en-US"/>
              </w:rPr>
              <w:t xml:space="preserve">VIN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Гос.номер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563"/>
        </w:trPr>
        <w:tc>
          <w:tcPr>
            <w:tcW w:w="57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tabs>
                <w:tab w:val="left" w:pos="7740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1.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740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LADA NIVA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ХТА212300S0947806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</w:tc>
        <w:tc>
          <w:tcPr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 594 ВУ 44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563"/>
        </w:trPr>
        <w:tc>
          <w:tcPr>
            <w:tcW w:w="57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tabs>
                <w:tab w:val="left" w:pos="7740" w:leader="none"/>
              </w:tabs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2.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</w:p>
        </w:tc>
        <w:tc>
          <w:tcPr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740" w:leader="none"/>
              </w:tabs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LADA 4x4 212140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r>
          </w:p>
        </w:tc>
        <w:tc>
          <w:tcP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ХТА212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  <w:t xml:space="preserve">140S2579541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r>
          </w:p>
        </w:tc>
        <w:tc>
          <w:tcPr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 375 ВУ 44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563"/>
        </w:trPr>
        <w:tc>
          <w:tcPr>
            <w:tcW w:w="57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tabs>
                <w:tab w:val="left" w:pos="7740" w:leader="none"/>
              </w:tabs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3.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</w:p>
        </w:tc>
        <w:tc>
          <w:tcPr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740" w:leader="none"/>
              </w:tabs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LADA VESTA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r>
          </w:p>
        </w:tc>
        <w:tc>
          <w:tcP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ХТАGFL350S0965889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r>
          </w:p>
        </w:tc>
        <w:tc>
          <w:tcPr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 475 ВУ 44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</w:tbl>
    <w:p>
      <w:pPr>
        <w:ind w:firstLine="603"/>
        <w:jc w:val="both"/>
        <w:spacing w:after="0" w:line="240" w:lineRule="auto"/>
        <w:widowControl w:val="off"/>
        <w:tabs>
          <w:tab w:val="left" w:pos="3544" w:leader="none"/>
        </w:tabs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  <w:lang w:eastAsia="en-US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  <w:t xml:space="preserve">3. Объем оказываемых услуг.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  <w:lang w:eastAsia="en-US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  <w:lang w:eastAsia="en-US"/>
        </w:rPr>
      </w:r>
    </w:p>
    <w:p>
      <w:pPr>
        <w:ind w:firstLine="603"/>
        <w:jc w:val="both"/>
        <w:spacing w:after="0" w:line="240" w:lineRule="auto"/>
        <w:widowControl w:val="off"/>
        <w:tabs>
          <w:tab w:val="left" w:pos="3544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tbl>
      <w:tblPr>
        <w:tblpPr w:horzAnchor="margin" w:tblpXSpec="left" w:vertAnchor="text" w:tblpY="86" w:leftFromText="180" w:topFromText="0" w:rightFromText="180" w:bottomFromText="200"/>
        <w:tblW w:w="9351" w:type="dxa"/>
        <w:tblLayout w:type="fixed"/>
        <w:tblLook w:val="00A0" w:firstRow="1" w:lastRow="0" w:firstColumn="1" w:lastColumn="0" w:noHBand="0" w:noVBand="0"/>
      </w:tblPr>
      <w:tblGrid>
        <w:gridCol w:w="562"/>
        <w:gridCol w:w="6109"/>
        <w:gridCol w:w="1559"/>
        <w:gridCol w:w="1121"/>
      </w:tblGrid>
      <w:tr>
        <w:tblPrEx/>
        <w:trPr>
          <w:trHeight w:val="6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en-US"/>
              </w:rPr>
              <w:t xml:space="preserve">№ п/п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en-US"/>
              </w:rPr>
              <w:t xml:space="preserve">Единица измерения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en-US"/>
              </w:rPr>
              <w:t xml:space="preserve">(по ОКЕИ)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en-US"/>
              </w:rPr>
              <w:t xml:space="preserve">Кол-во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</w:tr>
      <w:tr>
        <w:tblPrEx/>
        <w:trPr>
          <w:trHeight w:val="8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1.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9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LADA NIVA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 (пробег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9500-10500 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м)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либо не позднее одного месяца с окончания года эксплуатации (что наступит ранее).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Штука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8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2.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9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LADA 4x4 212140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 (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пробег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9500-10500 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)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либо не позднее одного месяца с окончания года эксплуатации (что наступит ранее).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Штука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8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3.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9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LADA VESTA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 (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пробег </w:t>
            </w:r>
            <w:r>
              <w:rPr>
                <w:rFonts w:ascii="PT Astra Serif" w:hAnsi="PT Astra Serif" w:eastAsia="PT Astra Serif" w:cs="PT Astra Serif"/>
                <w:bCs/>
                <w:color w:val="auto"/>
                <w:sz w:val="24"/>
                <w:szCs w:val="24"/>
                <w:lang w:eastAsia="en-US"/>
              </w:rPr>
              <w:t xml:space="preserve">15000</w:t>
            </w:r>
            <w:r>
              <w:rPr>
                <w:rFonts w:ascii="PT Astra Serif" w:hAnsi="PT Astra Serif" w:eastAsia="PT Astra Serif" w:cs="PT Astra Serif"/>
                <w:bCs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)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либо не позднее одного месяца с окончания года эксплуатации (что наступит ранее).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Штука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ind w:firstLine="567"/>
        <w:jc w:val="both"/>
        <w:spacing w:after="0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4. Характеристики.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Style w:val="901"/>
        <w:tblW w:w="9462" w:type="dxa"/>
        <w:tblLayout w:type="fixed"/>
        <w:tblLook w:val="04A0" w:firstRow="1" w:lastRow="0" w:firstColumn="1" w:lastColumn="0" w:noHBand="0" w:noVBand="1"/>
      </w:tblPr>
      <w:tblGrid>
        <w:gridCol w:w="680"/>
        <w:gridCol w:w="3255"/>
        <w:gridCol w:w="5528"/>
      </w:tblGrid>
      <w:tr>
        <w:tblPrEx/>
        <w:trPr/>
        <w:tc>
          <w:tcPr>
            <w:tcW w:w="6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0000" w:themeColor="text1"/>
                <w:sz w:val="24"/>
                <w:szCs w:val="24"/>
              </w:rPr>
              <w:t xml:space="preserve">№ п/п</w:t>
            </w:r>
            <w:r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325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4"/>
                <w:szCs w:val="24"/>
              </w:rPr>
              <w:t xml:space="preserve">Наименование услуги</w:t>
            </w:r>
            <w:r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55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4"/>
                <w:szCs w:val="24"/>
              </w:rPr>
              <w:t xml:space="preserve">Характеристики услуги</w:t>
            </w:r>
            <w:r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tcW w:w="68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1.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r>
          </w:p>
        </w:tc>
        <w:tc>
          <w:tcPr>
            <w:tcW w:w="325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LADA NIVA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 (пробег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9500-10500 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м)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либо не позднее одного месяца с окончания года эксплуатации (что наступит ранее)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</w:p>
          <w:p>
            <w:pPr>
              <w:jc w:val="both"/>
            </w:pPr>
            <w:r/>
            <w:r/>
          </w:p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 w:cs="PT Astra Serif"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PT Astra Serif" w:hAnsi="PT Astra Serif" w:cs="PT Astra Serif"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PT Astra Serif" w:hAnsi="PT Astra Serif" w:cs="PT Astra Serif"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5528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Виды диагностических работ: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состояния кузова, наличия трещин и коррозии кузова, отслоение мастики от днища и арок колес,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работы замков дверей и капота;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состояния рычагов и штанг подвесок и их резинометаллических шарниров; шаровых опор; шарниров рулевых тяг; защитных резиновых чехлов и колпачков, буферов отбоя; состояние резиновых втулок; амортизаторов;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суммарного люфта в рулевом управлении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герметичности систем охлаждения, питания и гидравлического привода тормозов, сцепления и гидроусилителя рулевого управления; состояние шлангов, трубок и соединений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герметичности уплотнений узлов и агрегатов;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уровня тормозной жидкости и работу сигнализатора уровня жидкости в бачке гидропривода тормозов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уровня охлаждающей жидкости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состояния и натяжения ремня привода генератора и ремня привода вспомогательных агрегатов;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состояния проводов, надежность соединений и крепящих хомутов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работы генератора, освещения, световой и звуковой сигнализации, электрооборудования и электронных систем по индикаторам комбинации приборов и других указателей на панели приборов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отсутствия нефункциональных шумов и стуков в двигателе, узлах и агрегатах трансмиссии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уровня жидкости в бачке гидроусилителя рулевого управления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tabs>
                <w:tab w:val="left" w:pos="283" w:leader="none"/>
              </w:tabs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работоспособности электронных систем автомобиля при помощи сигнализаторов панели приборов и отсутствие в памяти контроллера кодов неисправностей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работы системы вызова экстренных оперативных служб (при наличии).</w:t>
            </w:r>
            <w:r>
              <w:rPr>
                <w:rFonts w:ascii="PT Astra Serif" w:hAnsi="PT Astra Serif" w:cs="PT Astra Serif"/>
                <w:b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54"/>
        </w:trPr>
        <w:tc>
          <w:tcPr>
            <w:tcW w:w="68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tcW w:w="325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</w:r>
            <w:r>
              <w:rPr>
                <w:rFonts w:eastAsia="Times New Roman"/>
                <w:bCs/>
                <w:sz w:val="22"/>
                <w:szCs w:val="22"/>
              </w:rPr>
            </w:r>
            <w:r>
              <w:rPr>
                <w:rFonts w:eastAsia="Times New Roman"/>
                <w:bCs/>
                <w:sz w:val="22"/>
                <w:szCs w:val="22"/>
              </w:rPr>
            </w:r>
          </w:p>
        </w:tc>
        <w:tc>
          <w:tcPr>
            <w:tcW w:w="5528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Виды регламентных работ: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-заменить фильтрующий элемент системы вентиляции и отопления салона;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-заменить масляный фильтр и масло в картере двигателя;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-измерить осевые зазоры и при необходимости отрегулировать их в подшипниках ступиц передних колес;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-проверить состояние колодок передних тормозов;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-проверить состояние дисков и шин колес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-смазать: трущиеся участки ограничителя открывания дверей, шарнир и пружину крышки люка топливного бака, замочной скважины дверей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-прочистить дренажные отверстия дверей и порогов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54"/>
        </w:trPr>
        <w:tc>
          <w:tcPr>
            <w:tcW w:w="68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tcW w:w="325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tcW w:w="5528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При оказании услуг Исполнитель использует приобретенные за свой счет горюче-смазочные материалы и запасные части, необходимые для выполнения ТО,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рекомендованные к использованию заводом изготовителем.</w:t>
            </w:r>
            <w:r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54"/>
        </w:trPr>
        <w:tc>
          <w:tcP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25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LADA 4x4 212140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 (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пробег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9500-10500 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)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либо не позднее одного месяца с окончания года эксплуатации (что наступит ранее)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</w:p>
          <w:p>
            <w:pPr>
              <w:jc w:val="both"/>
            </w:pPr>
            <w:r/>
            <w:r/>
          </w:p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tcW w:w="552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Виды диагностических работ: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состояния кузова, наличия трещин и коррозии кузова, отслоение мастики от днища и арок колес,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работы замков дверей и капота;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состояния рычагов и штанг подвесок и их резинометаллических шарниров; шаровых опор; шарниров рулевых тяг; защитных резиновых чехлов и колпачков, буферов отбоя; состояние резиновых втулок; амортизаторов;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суммарного люфта в рулевом управлении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герметичности систем охлаждения, питания и гидравлического привода тормозов, сцепления и гидроусилителя рулевого управления; состояние шлангов, трубок и соединений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герметичности уплотнений узлов и агрегатов;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уровня тормозной жидкости и работу сигнализатора уровня жидкости в бачке гидропривода тормозов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уровня охлаждающей жидкости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состояния и натяжения ремня привода генератора и ремня привода вспомогательных агрегатов;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состояния проводов, надежность соединений и крепящих хомутов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работы генератора, освещения, световой и звуковой сигнализации, электрооборудования и электронных систем по индикаторам комбинации приборов и других указателей на панели приборов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отсутствия нефункциональных шумов и стуков в двигателе, узлах и агрегатах трансмиссии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уровня жидкости в бачке гидроусилителя рулевого управления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tabs>
                <w:tab w:val="left" w:pos="283" w:leader="none"/>
              </w:tabs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работоспособности электронных систем автомобиля при помощи сигнализаторов панели приборов и отсутствие в памяти контроллера кодов неисправностей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работы системы вызова экстренных оперативных служб (при наличии).</w:t>
            </w:r>
            <w:r>
              <w:rPr>
                <w:rFonts w:ascii="PT Astra Serif" w:hAnsi="PT Astra Serif" w:cs="PT Astra Serif"/>
                <w:b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54"/>
        </w:trPr>
        <w:tc>
          <w:tcPr>
            <w:tcW w:w="68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5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552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Виды регламентных работ: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-заменить фильтрующий элемент системы вентиляции и отопления салона;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-заменить масляный фильтр и масло в картере двигателя;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-измерить осевые зазоры и при необходимости отрегулировать их в подшипниках ступиц передних колес;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-проверить состояние колодок передних тормозов;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-проверить состояние дисков и шин колес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-смазать: трущиеся участки ограничителя открывания дверей, шарнир и пружину крышки люка топливного бака, замочной скважины дверей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-прочистить дренажные отверстия дверей и порогов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54"/>
        </w:trPr>
        <w:tc>
          <w:tcPr>
            <w:tcW w:w="68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5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552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При оказании услуг Исполнитель использует приобретенные за свой счет горюче-смазочные материалы и запасные части, необходимые для выполнения ТО,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рекомендованные к использованию заводом изготовителем.</w:t>
            </w:r>
            <w:r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64"/>
        </w:trPr>
        <w:tc>
          <w:tcP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W w:w="325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LADA VESTA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 (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пробег </w:t>
            </w:r>
            <w:r>
              <w:rPr>
                <w:rFonts w:ascii="PT Astra Serif" w:hAnsi="PT Astra Serif" w:eastAsia="PT Astra Serif" w:cs="PT Astra Serif"/>
                <w:bCs/>
                <w:color w:val="auto"/>
                <w:sz w:val="24"/>
                <w:szCs w:val="24"/>
                <w:lang w:eastAsia="en-US"/>
              </w:rPr>
              <w:t xml:space="preserve">15000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) либо не позднее одного месяца с окончания года эксплуатации (что наступит ранее)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</w:p>
          <w:p>
            <w:pPr>
              <w:jc w:val="both"/>
            </w:pPr>
            <w:r/>
            <w:r/>
          </w:p>
        </w:tc>
        <w:tc>
          <w:tcPr>
            <w:tcW w:w="552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Виды диагностических работ: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-состояние элементов передней и задней подвесок, их резиновых и резинометаллических шарниров, втулок и подушек; состояние шарниров рулевых тяг и их защитных колпачков; защитных чехлов рулевого механизма, приводов колес, шаровых пальцев, состояние наконе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чников тросов привода управления механизмом переключения передач и их защитных чехлов; состояние тросов ручного привода тормоза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-герметичность систем охлаждения, питания и гидравлического привода тормозов и с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цепления, состояние шлангов, трубок и соединений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-отсутствие нефункционального шума и вибрации в двигателе, узлах и агрегатах трансмиссии. Работу сцепления и привода переключения передач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состояние и натяжение ремня привода вспомогательных агрегатов (генератора)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-состояние аккумуляторн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ой батареи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-работоспособность генератора, освещения, световой и звуковой сигнализации, контрольных приборов и сигнализаторов состояния систем автомобиля, отопителя, стеклоочистителей, омывателей, обог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рева стекол, наружных зеркал и сидений, электропривода стеклоподъёмников и наружных зеркал, электрической блокировки замков дверей, корректора фар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-состояние шин 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дисков колес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-герметичность уплотнений узлов и агрегатов, герметичность системы выпуска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-суммарный люфт в рулевом управлении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-уровень охлаждающей жидкости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-уровень масла в коробке передач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-уровень тормозной жидкости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-работоспособность системы кондиционирования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-состояние электронных систем автомобиля (по сигнализаторам)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работоспособность усилителя рулевого управления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-работоспособность рабочей и стояночной тормозных систем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-коды неисправностей электронных систем автомобиля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-работу замков дверей, капота, кр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ышки багажника; люка топливного бака; механизмов сидений, ремней безопасности, устройства перемещения и фиксации рулевой колонки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-состояние колодок, дисков, защитных чехлов и смазку напра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вляющих пальцев передних тормозов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-направление световых пучков и силу света фар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54"/>
        </w:trPr>
        <w:tc>
          <w:tcPr>
            <w:tcW w:w="68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5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552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Виды регламентных работ: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-заменить масляный фильтр и масло в картере двигателя (с наклейкой в моторном отделении этикетки с информацией о залитом масле)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highlight w:val="none"/>
              </w:rPr>
              <w:t xml:space="preserve">-заменить фильтрующий элемент воздушного фильтра двигателя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highlight w:val="none"/>
              </w:rPr>
              <w:t xml:space="preserve">-заменить фильтрующий элемент системы вентиляции и отопления салона, прочистить дренажное отверстие в щитке передка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highlight w:val="none"/>
              </w:rPr>
              <w:t xml:space="preserve">-смазать петли дверей, трущиеся участки ограничителей открывания дверей, шарниров и пружины крышки люка топливного бака, замочные скважины дверей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highlight w:val="none"/>
              </w:rPr>
              <w:t xml:space="preserve">-прочистить дренажные отверстия порогов и дверей.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54"/>
        </w:trPr>
        <w:tc>
          <w:tcPr>
            <w:tcW w:w="68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5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552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При оказании услуг Исполнитель использует приобретенные за свой счет горюче-смазочные материалы и запасные части, необходимые для выполнения ТО,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рекомендованные к использованию заводом изготовителем.</w:t>
            </w:r>
            <w:r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r>
          </w:p>
        </w:tc>
      </w:tr>
    </w:tbl>
    <w:p>
      <w:pPr>
        <w:ind w:firstLine="603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  <w:t xml:space="preserve">5</w:t>
      </w: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  <w:t xml:space="preserve">. Общие требования к оказанию услуг. 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Оказание услуг по ТО производится согласно регламента завода-изготовителя, в соответствии с графиком планового технического обслуживания указанным в Руководстве по эксплуатации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LADA NIVA, LADA 4x4 212140 и LADA VESTA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. По окончании ТО указывается отметка о его выполнении в сервисной книжке. Произведенные Исполнителем ремонтные работы не должны быть причиной снятия автомобиля Заказчика с гарантии производителя.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Исполнитель обязан иметь копию действующего сертификата официального дилера завода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LADA NIVA,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LADA 4x4 212140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и LADA VESTA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(авторизованного сервисного центра), ли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бо копию действующего Договора с официальным дилером (авторизованным сервисным центром), либо иной документ, подтверждающий сохранение гарантии на автомобили при условии прохождения ТО и ремонта, для предъявления Заказчику по его требованию.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color w:val="auto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Объем и параметры технических жидкостей, </w:t>
      </w:r>
      <w:r>
        <w:rPr>
          <w:rFonts w:ascii="PT Astra Serif" w:hAnsi="PT Astra Serif" w:eastAsia="PT Astra Serif" w:cs="PT Astra Serif"/>
          <w:bCs/>
          <w:sz w:val="24"/>
          <w:szCs w:val="24"/>
          <w:lang w:eastAsia="en-US"/>
        </w:rPr>
        <w:t xml:space="preserve">горюче-смазочных материалов необходимых для выполнения ТО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определяется Руководством по эксплуатации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LADA NIVA,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LADA 4x4 212140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и LADA VESTA</w:t>
      </w:r>
      <w:r>
        <w:rPr>
          <w:rFonts w:ascii="PT Astra Serif" w:hAnsi="PT Astra Serif" w:eastAsia="PT Astra Serif" w:cs="PT Astra Serif"/>
          <w:color w:val="auto"/>
          <w:sz w:val="24"/>
          <w:szCs w:val="24"/>
          <w:lang w:eastAsia="en-US"/>
        </w:rPr>
        <w:t xml:space="preserve">.</w:t>
      </w:r>
      <w:r>
        <w:rPr>
          <w:rFonts w:ascii="PT Astra Serif" w:hAnsi="PT Astra Serif" w:cs="PT Astra Serif"/>
          <w:color w:val="auto"/>
          <w:sz w:val="24"/>
          <w:szCs w:val="24"/>
        </w:rPr>
      </w:r>
      <w:r>
        <w:rPr>
          <w:rFonts w:ascii="PT Astra Serif" w:hAnsi="PT Astra Serif" w:cs="PT Astra Serif"/>
          <w:color w:val="auto"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en-US"/>
        </w:rPr>
        <w:t xml:space="preserve">При оказании услуг Исполнитель использует приобретенные за свой счет горюче-смазочные материалы и запасные части (далее -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Расходные материалы)</w:t>
      </w:r>
      <w:r>
        <w:rPr>
          <w:rFonts w:ascii="PT Astra Serif" w:hAnsi="PT Astra Serif" w:eastAsia="PT Astra Serif" w:cs="PT Astra Serif"/>
          <w:bCs/>
          <w:sz w:val="24"/>
          <w:szCs w:val="24"/>
          <w:lang w:eastAsia="en-US"/>
        </w:rPr>
        <w:t xml:space="preserve">, необходимые для выполнения ТО.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en-US"/>
        </w:rPr>
        <w:t xml:space="preserve">Расходные материалы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должны иметь надлежащие сертификаты качества, в случае, если наличие данных документов предусмотрено законодательством Российской Федерации, а также быть рекомендованными для использования заводом-изготовителем.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Исполните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ль применяет при оказании услуг только новые оригинальные расходные материалы, не восстановленные, не бывшие в употреблении, имеющие соответствующие паспорта, сертификаты или ярлыки, выдаваемые заводом-изготовителем или сопроводительные документы, подтверж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дающие соответствие их качества требованиям стандартов, технических условий или другой нормативно-технической документации, утвержденной в установленном порядке, в случае, если наличие данных документов предусмотрено законодательством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Выполняемые работы производятся Исполнителем с использованием собственного оборудования. Стоимость Расходных материалов, а также все иные расходы, связанные исполнением Контракта, включены в цену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Услуги по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техническому обслуживанию автотранспорта проводятся с соблюдением «ГОСТ 33997-2016. Межгосударственный стандарт. Колесные транспортные средства. Требования к безопасности в эксплуатации и методы проверки», санитарных норм и правил эксплуатации автомобиля.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tabs>
          <w:tab w:val="left" w:pos="426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Подписи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9496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820"/>
        <w:gridCol w:w="467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86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67"/>
              <w:ind w:firstLine="14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ind w:hanging="3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  <w:t xml:space="preserve">Е.С. Добровольская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pStyle w:val="867"/>
              <w:ind w:firstLine="137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6" w:type="dxa"/>
            <w:vAlign w:val="top"/>
            <w:textDirection w:val="lrTb"/>
            <w:noWrap w:val="false"/>
          </w:tcPr>
          <w:p>
            <w:pPr>
              <w:pStyle w:val="86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   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tabs>
          <w:tab w:val="left" w:pos="426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tabs>
          <w:tab w:val="left" w:pos="426" w:leader="none"/>
        </w:tabs>
        <w:rPr>
          <w:rFonts w:ascii="PT Astra Serif" w:hAnsi="PT Astra Serif" w:cs="PT Astra Serif"/>
          <w:sz w:val="24"/>
          <w:szCs w:val="24"/>
        </w:rPr>
        <w:sectPr>
          <w:footnotePr/>
          <w:endnotePr/>
          <w:type w:val="nextPage"/>
          <w:pgSz w:w="11906" w:h="16838" w:orient="portrait"/>
          <w:pgMar w:top="1020" w:right="850" w:bottom="1020" w:left="1417" w:header="720" w:footer="720" w:gutter="0"/>
          <w:cols w:num="1" w:sep="0" w:space="720" w:equalWidth="1"/>
          <w:docGrid w:linePitch="360"/>
        </w:sect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Приложение № 2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 государственному кон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тракту № __________________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СПЕЦИФИКАЦИЯ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Style w:val="723"/>
        <w:tblW w:w="104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7"/>
        <w:gridCol w:w="3543"/>
        <w:gridCol w:w="1559"/>
        <w:gridCol w:w="1134"/>
        <w:gridCol w:w="1560"/>
        <w:gridCol w:w="1984"/>
      </w:tblGrid>
      <w:tr>
        <w:tblPrEx/>
        <w:trPr>
          <w:trHeight w:val="769"/>
        </w:trPr>
        <w:tc>
          <w:tcPr>
            <w:tcW w:w="6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/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Наименование услуг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Ед. 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</w:p>
          <w:p>
            <w:pP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измерения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Цена за единицу, руб.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Стоимость услуг, руб.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337"/>
        </w:trPr>
        <w:tc>
          <w:tcPr>
            <w:tcW w:w="6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35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LADA NIVA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 (пробег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9500-10500 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м)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либо не позднее одного месяца с окончания года эксплуатации (что наступит ранее)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Штука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1337"/>
        </w:trPr>
        <w:tc>
          <w:tcPr>
            <w:tcW w:w="6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2.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35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LADA 4x4 212140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пробег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9500-10500 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)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либо не позднее одного месяца с окончания года эксплуатации (что наступит ранее)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Штука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1337"/>
        </w:trPr>
        <w:tc>
          <w:tcPr>
            <w:tcW w:w="6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3.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35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LADA VESTA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 (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пробег </w:t>
            </w:r>
            <w:r>
              <w:rPr>
                <w:rFonts w:ascii="PT Astra Serif" w:hAnsi="PT Astra Serif" w:eastAsia="PT Astra Serif" w:cs="PT Astra Serif"/>
                <w:bCs/>
                <w:color w:val="auto"/>
                <w:sz w:val="24"/>
                <w:szCs w:val="24"/>
                <w:lang w:eastAsia="en-US"/>
              </w:rPr>
              <w:t xml:space="preserve">15000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)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либо не позднее одного месяца с окончания года эксплуатации (что наступит ранее)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Штука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506"/>
        </w:trPr>
        <w:tc>
          <w:tcPr>
            <w:gridSpan w:val="5"/>
            <w:tcW w:w="849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ИТОГО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506"/>
        </w:trPr>
        <w:tc>
          <w:tcPr>
            <w:gridSpan w:val="5"/>
            <w:tcW w:w="849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В том числе НДС ___% (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или НДС не облагается)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</w:tbl>
    <w:p>
      <w:pPr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6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Подписи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10335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374"/>
        <w:gridCol w:w="496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4" w:type="dxa"/>
            <w:vAlign w:val="top"/>
            <w:textDirection w:val="lrTb"/>
            <w:noWrap w:val="false"/>
          </w:tcPr>
          <w:p>
            <w:pPr>
              <w:pStyle w:val="86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67"/>
              <w:ind w:firstLine="14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ind w:hanging="3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  <w:t xml:space="preserve">Е.С. Добровольская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pStyle w:val="867"/>
              <w:ind w:firstLine="137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Align w:val="top"/>
            <w:textDirection w:val="lrTb"/>
            <w:noWrap w:val="false"/>
          </w:tcPr>
          <w:p>
            <w:pPr>
              <w:pStyle w:val="86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   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20"/>
        <w:jc w:val="both"/>
        <w:spacing w:line="240" w:lineRule="auto"/>
        <w:rPr>
          <w:rFonts w:ascii="Times New Roman" w:hAnsi="Times New Roman" w:eastAsia="Calibri" w:cs="Times New Roman"/>
          <w:b/>
          <w:bCs/>
        </w:rPr>
      </w:pPr>
      <w:r>
        <w:rPr>
          <w:rFonts w:ascii="Times New Roman" w:hAnsi="Times New Roman" w:eastAsia="Calibri" w:cs="Times New Roman"/>
          <w:b/>
          <w:bCs/>
        </w:rPr>
      </w:r>
      <w:r>
        <w:rPr>
          <w:rFonts w:ascii="Times New Roman" w:hAnsi="Times New Roman" w:eastAsia="Calibri" w:cs="Times New Roman"/>
          <w:b/>
          <w:bCs/>
        </w:rPr>
      </w:r>
      <w:r>
        <w:rPr>
          <w:rFonts w:ascii="Times New Roman" w:hAnsi="Times New Roman" w:eastAsia="Calibri" w:cs="Times New Roman"/>
          <w:b/>
          <w:bCs/>
        </w:rPr>
      </w:r>
    </w:p>
    <w:p>
      <w:pPr>
        <w:pStyle w:val="867"/>
        <w:ind w:left="720"/>
        <w:jc w:val="both"/>
        <w:spacing w:line="240" w:lineRule="auto"/>
        <w:rPr>
          <w:rFonts w:ascii="Times New Roman" w:hAnsi="Times New Roman" w:eastAsia="Calibri" w:cs="Times New Roman"/>
          <w:b/>
          <w:bCs/>
        </w:rPr>
      </w:pPr>
      <w:r>
        <w:rPr>
          <w:rFonts w:ascii="Times New Roman" w:hAnsi="Times New Roman" w:eastAsia="Calibri" w:cs="Times New Roman"/>
          <w:b/>
          <w:bCs/>
        </w:rPr>
      </w:r>
      <w:r>
        <w:rPr>
          <w:rFonts w:ascii="Times New Roman" w:hAnsi="Times New Roman" w:eastAsia="Calibri" w:cs="Times New Roman"/>
          <w:b/>
          <w:bCs/>
        </w:rPr>
      </w:r>
      <w:r>
        <w:rPr>
          <w:rFonts w:ascii="Times New Roman" w:hAnsi="Times New Roman" w:eastAsia="Calibri" w:cs="Times New Roman"/>
          <w:b/>
          <w:bCs/>
        </w:rPr>
      </w:r>
    </w:p>
    <w:sectPr>
      <w:footnotePr/>
      <w:endnotePr/>
      <w:type w:val="nextPage"/>
      <w:pgSz w:w="11906" w:h="16838" w:orient="portrait"/>
      <w:pgMar w:top="720" w:right="425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libri">
    <w:panose1 w:val="020F0502020204030204"/>
  </w:font>
  <w:font w:name="Times New Roman">
    <w:panose1 w:val="02020603050405020304"/>
  </w:font>
  <w:font w:name="SimSun">
    <w:panose1 w:val="02000506000000020000"/>
  </w:font>
  <w:font w:name="Segoe UI">
    <w:panose1 w:val="020B0502040504020204"/>
  </w:font>
  <w:font w:name="Lucida Sans Unicode">
    <w:panose1 w:val="020B0502040504020204"/>
  </w:font>
  <w:font w:name="Courier New">
    <w:panose1 w:val="02070409020205020404"/>
  </w:font>
  <w:font w:name="Mangal">
    <w:panose1 w:val="02040503050306020203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  <w:rPr>
        <w:rFonts w:ascii="Symbol" w:hAnsi="Symbol" w:cs="Symbol"/>
      </w:r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6.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3.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b/>
        <w:bCs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0">
    <w:name w:val="Heading 1"/>
    <w:basedOn w:val="867"/>
    <w:next w:val="867"/>
    <w:link w:val="6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1">
    <w:name w:val="Heading 1 Char"/>
    <w:link w:val="690"/>
    <w:uiPriority w:val="9"/>
    <w:rPr>
      <w:rFonts w:ascii="Arial" w:hAnsi="Arial" w:eastAsia="Arial" w:cs="Arial"/>
      <w:sz w:val="40"/>
      <w:szCs w:val="40"/>
    </w:rPr>
  </w:style>
  <w:style w:type="paragraph" w:styleId="692">
    <w:name w:val="Heading 2"/>
    <w:basedOn w:val="867"/>
    <w:next w:val="867"/>
    <w:link w:val="69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3">
    <w:name w:val="Heading 2 Char"/>
    <w:link w:val="692"/>
    <w:uiPriority w:val="9"/>
    <w:rPr>
      <w:rFonts w:ascii="Arial" w:hAnsi="Arial" w:eastAsia="Arial" w:cs="Arial"/>
      <w:sz w:val="34"/>
    </w:rPr>
  </w:style>
  <w:style w:type="paragraph" w:styleId="694">
    <w:name w:val="Heading 3"/>
    <w:basedOn w:val="867"/>
    <w:next w:val="867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5">
    <w:name w:val="Heading 3 Char"/>
    <w:link w:val="694"/>
    <w:uiPriority w:val="9"/>
    <w:rPr>
      <w:rFonts w:ascii="Arial" w:hAnsi="Arial" w:eastAsia="Arial" w:cs="Arial"/>
      <w:sz w:val="30"/>
      <w:szCs w:val="30"/>
    </w:rPr>
  </w:style>
  <w:style w:type="paragraph" w:styleId="696">
    <w:name w:val="Heading 4"/>
    <w:basedOn w:val="867"/>
    <w:next w:val="867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link w:val="696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67"/>
    <w:next w:val="867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link w:val="69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67"/>
    <w:next w:val="867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67"/>
    <w:next w:val="867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67"/>
    <w:next w:val="867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67"/>
    <w:next w:val="867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No Spacing"/>
    <w:uiPriority w:val="1"/>
    <w:qFormat/>
    <w:pPr>
      <w:spacing w:before="0" w:after="0" w:line="240" w:lineRule="auto"/>
    </w:pPr>
  </w:style>
  <w:style w:type="paragraph" w:styleId="709">
    <w:name w:val="Title"/>
    <w:basedOn w:val="867"/>
    <w:next w:val="867"/>
    <w:link w:val="7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0">
    <w:name w:val="Title Char"/>
    <w:link w:val="709"/>
    <w:uiPriority w:val="10"/>
    <w:rPr>
      <w:sz w:val="48"/>
      <w:szCs w:val="48"/>
    </w:rPr>
  </w:style>
  <w:style w:type="paragraph" w:styleId="711">
    <w:name w:val="Subtitle"/>
    <w:basedOn w:val="867"/>
    <w:next w:val="867"/>
    <w:link w:val="712"/>
    <w:uiPriority w:val="11"/>
    <w:qFormat/>
    <w:pPr>
      <w:spacing w:before="200" w:after="200"/>
    </w:pPr>
    <w:rPr>
      <w:sz w:val="24"/>
      <w:szCs w:val="24"/>
    </w:rPr>
  </w:style>
  <w:style w:type="character" w:styleId="712">
    <w:name w:val="Subtitle Char"/>
    <w:link w:val="711"/>
    <w:uiPriority w:val="11"/>
    <w:rPr>
      <w:sz w:val="24"/>
      <w:szCs w:val="24"/>
    </w:rPr>
  </w:style>
  <w:style w:type="paragraph" w:styleId="713">
    <w:name w:val="Quote"/>
    <w:basedOn w:val="867"/>
    <w:next w:val="867"/>
    <w:link w:val="714"/>
    <w:uiPriority w:val="29"/>
    <w:qFormat/>
    <w:pPr>
      <w:ind w:left="720" w:right="720"/>
    </w:pPr>
    <w:rPr>
      <w:i/>
    </w:rPr>
  </w:style>
  <w:style w:type="character" w:styleId="714">
    <w:name w:val="Quote Char"/>
    <w:link w:val="713"/>
    <w:uiPriority w:val="29"/>
    <w:rPr>
      <w:i/>
    </w:rPr>
  </w:style>
  <w:style w:type="paragraph" w:styleId="715">
    <w:name w:val="Intense Quote"/>
    <w:basedOn w:val="867"/>
    <w:next w:val="867"/>
    <w:link w:val="71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>
    <w:name w:val="Intense Quote Char"/>
    <w:link w:val="715"/>
    <w:uiPriority w:val="30"/>
    <w:rPr>
      <w:i/>
    </w:rPr>
  </w:style>
  <w:style w:type="paragraph" w:styleId="717">
    <w:name w:val="Header"/>
    <w:basedOn w:val="867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>
    <w:name w:val="Header Char"/>
    <w:link w:val="717"/>
    <w:uiPriority w:val="99"/>
  </w:style>
  <w:style w:type="paragraph" w:styleId="719">
    <w:name w:val="Footer"/>
    <w:basedOn w:val="867"/>
    <w:link w:val="72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0">
    <w:name w:val="Footer Char"/>
    <w:link w:val="719"/>
    <w:uiPriority w:val="99"/>
  </w:style>
  <w:style w:type="paragraph" w:styleId="721">
    <w:name w:val="Caption"/>
    <w:basedOn w:val="867"/>
    <w:next w:val="86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2">
    <w:name w:val="Caption Char"/>
    <w:basedOn w:val="721"/>
    <w:link w:val="719"/>
    <w:uiPriority w:val="99"/>
  </w:style>
  <w:style w:type="table" w:styleId="72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9">
    <w:name w:val="Hyperlink"/>
    <w:uiPriority w:val="99"/>
    <w:unhideWhenUsed/>
    <w:rPr>
      <w:color w:val="0000ff" w:themeColor="hyperlink"/>
      <w:u w:val="single"/>
    </w:rPr>
  </w:style>
  <w:style w:type="paragraph" w:styleId="850">
    <w:name w:val="footnote text"/>
    <w:basedOn w:val="867"/>
    <w:link w:val="851"/>
    <w:uiPriority w:val="99"/>
    <w:semiHidden/>
    <w:unhideWhenUsed/>
    <w:pPr>
      <w:spacing w:after="40" w:line="240" w:lineRule="auto"/>
    </w:pPr>
    <w:rPr>
      <w:sz w:val="18"/>
    </w:rPr>
  </w:style>
  <w:style w:type="character" w:styleId="851">
    <w:name w:val="Footnote Text Char"/>
    <w:link w:val="850"/>
    <w:uiPriority w:val="99"/>
    <w:rPr>
      <w:sz w:val="18"/>
    </w:rPr>
  </w:style>
  <w:style w:type="character" w:styleId="852">
    <w:name w:val="footnote reference"/>
    <w:uiPriority w:val="99"/>
    <w:unhideWhenUsed/>
    <w:rPr>
      <w:vertAlign w:val="superscript"/>
    </w:rPr>
  </w:style>
  <w:style w:type="paragraph" w:styleId="853">
    <w:name w:val="endnote text"/>
    <w:basedOn w:val="867"/>
    <w:link w:val="854"/>
    <w:uiPriority w:val="99"/>
    <w:semiHidden/>
    <w:unhideWhenUsed/>
    <w:pPr>
      <w:spacing w:after="0" w:line="240" w:lineRule="auto"/>
    </w:pPr>
    <w:rPr>
      <w:sz w:val="20"/>
    </w:rPr>
  </w:style>
  <w:style w:type="character" w:styleId="854">
    <w:name w:val="Endnote Text Char"/>
    <w:link w:val="853"/>
    <w:uiPriority w:val="99"/>
    <w:rPr>
      <w:sz w:val="20"/>
    </w:rPr>
  </w:style>
  <w:style w:type="character" w:styleId="855">
    <w:name w:val="endnote reference"/>
    <w:uiPriority w:val="99"/>
    <w:semiHidden/>
    <w:unhideWhenUsed/>
    <w:rPr>
      <w:vertAlign w:val="superscript"/>
    </w:rPr>
  </w:style>
  <w:style w:type="paragraph" w:styleId="856">
    <w:name w:val="toc 1"/>
    <w:basedOn w:val="867"/>
    <w:next w:val="867"/>
    <w:uiPriority w:val="39"/>
    <w:unhideWhenUsed/>
    <w:pPr>
      <w:ind w:left="0" w:right="0" w:firstLine="0"/>
      <w:spacing w:after="57"/>
    </w:pPr>
  </w:style>
  <w:style w:type="paragraph" w:styleId="857">
    <w:name w:val="toc 2"/>
    <w:basedOn w:val="867"/>
    <w:next w:val="867"/>
    <w:uiPriority w:val="39"/>
    <w:unhideWhenUsed/>
    <w:pPr>
      <w:ind w:left="283" w:right="0" w:firstLine="0"/>
      <w:spacing w:after="57"/>
    </w:pPr>
  </w:style>
  <w:style w:type="paragraph" w:styleId="858">
    <w:name w:val="toc 3"/>
    <w:basedOn w:val="867"/>
    <w:next w:val="867"/>
    <w:uiPriority w:val="39"/>
    <w:unhideWhenUsed/>
    <w:pPr>
      <w:ind w:left="567" w:right="0" w:firstLine="0"/>
      <w:spacing w:after="57"/>
    </w:pPr>
  </w:style>
  <w:style w:type="paragraph" w:styleId="859">
    <w:name w:val="toc 4"/>
    <w:basedOn w:val="867"/>
    <w:next w:val="867"/>
    <w:uiPriority w:val="39"/>
    <w:unhideWhenUsed/>
    <w:pPr>
      <w:ind w:left="850" w:right="0" w:firstLine="0"/>
      <w:spacing w:after="57"/>
    </w:pPr>
  </w:style>
  <w:style w:type="paragraph" w:styleId="860">
    <w:name w:val="toc 5"/>
    <w:basedOn w:val="867"/>
    <w:next w:val="867"/>
    <w:uiPriority w:val="39"/>
    <w:unhideWhenUsed/>
    <w:pPr>
      <w:ind w:left="1134" w:right="0" w:firstLine="0"/>
      <w:spacing w:after="57"/>
    </w:pPr>
  </w:style>
  <w:style w:type="paragraph" w:styleId="861">
    <w:name w:val="toc 6"/>
    <w:basedOn w:val="867"/>
    <w:next w:val="867"/>
    <w:uiPriority w:val="39"/>
    <w:unhideWhenUsed/>
    <w:pPr>
      <w:ind w:left="1417" w:right="0" w:firstLine="0"/>
      <w:spacing w:after="57"/>
    </w:pPr>
  </w:style>
  <w:style w:type="paragraph" w:styleId="862">
    <w:name w:val="toc 7"/>
    <w:basedOn w:val="867"/>
    <w:next w:val="867"/>
    <w:uiPriority w:val="39"/>
    <w:unhideWhenUsed/>
    <w:pPr>
      <w:ind w:left="1701" w:right="0" w:firstLine="0"/>
      <w:spacing w:after="57"/>
    </w:pPr>
  </w:style>
  <w:style w:type="paragraph" w:styleId="863">
    <w:name w:val="toc 8"/>
    <w:basedOn w:val="867"/>
    <w:next w:val="867"/>
    <w:uiPriority w:val="39"/>
    <w:unhideWhenUsed/>
    <w:pPr>
      <w:ind w:left="1984" w:right="0" w:firstLine="0"/>
      <w:spacing w:after="57"/>
    </w:pPr>
  </w:style>
  <w:style w:type="paragraph" w:styleId="864">
    <w:name w:val="toc 9"/>
    <w:basedOn w:val="867"/>
    <w:next w:val="867"/>
    <w:uiPriority w:val="39"/>
    <w:unhideWhenUsed/>
    <w:pPr>
      <w:ind w:left="2268" w:right="0" w:firstLine="0"/>
      <w:spacing w:after="57"/>
    </w:pPr>
  </w:style>
  <w:style w:type="paragraph" w:styleId="865">
    <w:name w:val="TOC Heading"/>
    <w:uiPriority w:val="39"/>
    <w:unhideWhenUsed/>
  </w:style>
  <w:style w:type="paragraph" w:styleId="866">
    <w:name w:val="table of figures"/>
    <w:basedOn w:val="867"/>
    <w:next w:val="867"/>
    <w:uiPriority w:val="99"/>
    <w:unhideWhenUsed/>
    <w:pPr>
      <w:spacing w:after="0" w:afterAutospacing="0"/>
    </w:pPr>
  </w:style>
  <w:style w:type="paragraph" w:styleId="867" w:default="1">
    <w:name w:val="Normal"/>
    <w:next w:val="867"/>
    <w:link w:val="867"/>
    <w:qFormat/>
    <w:rPr>
      <w:sz w:val="25"/>
      <w:szCs w:val="25"/>
      <w:lang w:val="ru-RU" w:eastAsia="ru-RU" w:bidi="ar-SA"/>
    </w:rPr>
  </w:style>
  <w:style w:type="character" w:styleId="868">
    <w:name w:val="Основной шрифт абзаца"/>
    <w:next w:val="868"/>
    <w:link w:val="867"/>
  </w:style>
  <w:style w:type="table" w:styleId="869">
    <w:name w:val="Обычная таблица"/>
    <w:next w:val="869"/>
    <w:link w:val="867"/>
    <w:uiPriority w:val="99"/>
    <w:semiHidden/>
    <w:unhideWhenUsed/>
    <w:tblPr/>
  </w:style>
  <w:style w:type="numbering" w:styleId="870">
    <w:name w:val="Нет списка"/>
    <w:next w:val="870"/>
    <w:link w:val="867"/>
    <w:uiPriority w:val="99"/>
    <w:semiHidden/>
    <w:unhideWhenUsed/>
  </w:style>
  <w:style w:type="character" w:styleId="871">
    <w:name w:val="Основной шрифт абзаца1"/>
    <w:next w:val="871"/>
    <w:link w:val="867"/>
  </w:style>
  <w:style w:type="paragraph" w:styleId="872">
    <w:name w:val="Заголовок"/>
    <w:basedOn w:val="867"/>
    <w:next w:val="873"/>
    <w:link w:val="867"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873">
    <w:name w:val="Основной текст"/>
    <w:basedOn w:val="867"/>
    <w:next w:val="873"/>
    <w:link w:val="867"/>
    <w:pPr>
      <w:spacing w:before="0" w:after="120"/>
    </w:pPr>
  </w:style>
  <w:style w:type="paragraph" w:styleId="874">
    <w:name w:val="Список"/>
    <w:basedOn w:val="873"/>
    <w:next w:val="874"/>
    <w:link w:val="867"/>
    <w:rPr>
      <w:rFonts w:ascii="Arial" w:hAnsi="Arial" w:cs="Mangal"/>
    </w:rPr>
  </w:style>
  <w:style w:type="paragraph" w:styleId="875">
    <w:name w:val="Название1"/>
    <w:basedOn w:val="867"/>
    <w:next w:val="875"/>
    <w:link w:val="867"/>
    <w:pPr>
      <w:spacing w:before="120" w:after="120"/>
      <w:suppressLineNumbers/>
    </w:pPr>
    <w:rPr>
      <w:rFonts w:ascii="Arial" w:hAnsi="Arial" w:cs="Mangal"/>
      <w:i/>
      <w:iCs/>
      <w:sz w:val="20"/>
      <w:szCs w:val="24"/>
    </w:rPr>
  </w:style>
  <w:style w:type="paragraph" w:styleId="876">
    <w:name w:val="Указатель1"/>
    <w:basedOn w:val="867"/>
    <w:next w:val="876"/>
    <w:link w:val="867"/>
    <w:pPr>
      <w:suppressLineNumbers/>
    </w:pPr>
    <w:rPr>
      <w:rFonts w:ascii="Arial" w:hAnsi="Arial" w:cs="Mangal"/>
    </w:rPr>
  </w:style>
  <w:style w:type="paragraph" w:styleId="877">
    <w:name w:val="Содержимое таблицы"/>
    <w:basedOn w:val="867"/>
    <w:next w:val="877"/>
    <w:link w:val="867"/>
    <w:pPr>
      <w:suppressLineNumbers/>
    </w:pPr>
  </w:style>
  <w:style w:type="paragraph" w:styleId="878">
    <w:name w:val="Заголовок таблицы"/>
    <w:basedOn w:val="877"/>
    <w:next w:val="878"/>
    <w:link w:val="867"/>
    <w:pPr>
      <w:jc w:val="center"/>
      <w:suppressLineNumbers/>
    </w:pPr>
    <w:rPr>
      <w:b/>
      <w:bCs/>
    </w:rPr>
  </w:style>
  <w:style w:type="character" w:styleId="879">
    <w:name w:val="ConsNormal Знак"/>
    <w:next w:val="879"/>
    <w:link w:val="880"/>
    <w:rPr>
      <w:rFonts w:ascii="Arial" w:hAnsi="Arial"/>
      <w:lang w:val="ru-RU" w:eastAsia="ru-RU" w:bidi="ar-SA"/>
    </w:rPr>
  </w:style>
  <w:style w:type="paragraph" w:styleId="880">
    <w:name w:val="ConsNormal"/>
    <w:next w:val="880"/>
    <w:link w:val="879"/>
    <w:pPr>
      <w:ind w:right="19772" w:firstLine="720"/>
      <w:widowControl w:val="off"/>
    </w:pPr>
    <w:rPr>
      <w:rFonts w:ascii="Arial" w:hAnsi="Arial"/>
      <w:sz w:val="25"/>
      <w:szCs w:val="25"/>
      <w:lang w:val="ru-RU" w:eastAsia="ru-RU" w:bidi="ar-SA"/>
    </w:rPr>
  </w:style>
  <w:style w:type="paragraph" w:styleId="881">
    <w:name w:val="Основной текст с отступом"/>
    <w:basedOn w:val="867"/>
    <w:next w:val="881"/>
    <w:link w:val="867"/>
    <w:pPr>
      <w:ind w:left="283"/>
      <w:spacing w:after="120"/>
    </w:pPr>
  </w:style>
  <w:style w:type="paragraph" w:styleId="882">
    <w:name w:val="List Paragraph"/>
    <w:basedOn w:val="867"/>
    <w:next w:val="882"/>
    <w:link w:val="867"/>
    <w:pPr>
      <w:ind w:left="720"/>
    </w:pPr>
    <w:rPr>
      <w:sz w:val="20"/>
      <w:szCs w:val="20"/>
      <w:lang w:eastAsia="ru-RU"/>
    </w:rPr>
  </w:style>
  <w:style w:type="table" w:styleId="883">
    <w:name w:val="Сетка таблицы"/>
    <w:basedOn w:val="869"/>
    <w:next w:val="883"/>
    <w:link w:val="867"/>
    <w:uiPriority w:val="59"/>
    <w:tblPr/>
  </w:style>
  <w:style w:type="paragraph" w:styleId="884">
    <w:name w:val="msonormal_mailru_css_attribute_postfix_mailru_css_attribute_postfix_mailru_css_attribute_postfix"/>
    <w:basedOn w:val="867"/>
    <w:next w:val="884"/>
    <w:link w:val="867"/>
    <w:pPr>
      <w:spacing w:before="100" w:beforeAutospacing="1" w:after="100" w:afterAutospacing="1"/>
    </w:pPr>
    <w:rPr>
      <w:lang w:eastAsia="ru-RU"/>
    </w:rPr>
  </w:style>
  <w:style w:type="character" w:styleId="885">
    <w:name w:val="apple-converted-space"/>
    <w:basedOn w:val="868"/>
    <w:next w:val="885"/>
    <w:link w:val="867"/>
  </w:style>
  <w:style w:type="paragraph" w:styleId="886">
    <w:name w:val="Текст выноски"/>
    <w:basedOn w:val="867"/>
    <w:next w:val="886"/>
    <w:link w:val="88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7">
    <w:name w:val="Текст выноски Знак"/>
    <w:next w:val="887"/>
    <w:link w:val="886"/>
    <w:uiPriority w:val="99"/>
    <w:semiHidden/>
    <w:rPr>
      <w:rFonts w:ascii="Segoe UI" w:hAnsi="Segoe UI" w:cs="Segoe UI"/>
      <w:sz w:val="18"/>
      <w:szCs w:val="18"/>
      <w:lang w:eastAsia="ar-SA"/>
    </w:rPr>
  </w:style>
  <w:style w:type="paragraph" w:styleId="888">
    <w:name w:val="Обычный (веб)"/>
    <w:basedOn w:val="867"/>
    <w:next w:val="888"/>
    <w:link w:val="867"/>
    <w:pPr>
      <w:spacing w:before="280" w:after="280"/>
      <w:widowControl w:val="off"/>
    </w:pPr>
    <w:rPr>
      <w:rFonts w:eastAsia="SimSun" w:cs="Mangal"/>
      <w:lang w:eastAsia="hi-IN" w:bidi="hi-IN"/>
    </w:rPr>
  </w:style>
  <w:style w:type="character" w:styleId="889">
    <w:name w:val="Гиперссылка"/>
    <w:next w:val="889"/>
    <w:link w:val="867"/>
    <w:uiPriority w:val="99"/>
    <w:unhideWhenUsed/>
    <w:rPr>
      <w:color w:val="0563c1"/>
      <w:u w:val="single"/>
    </w:rPr>
  </w:style>
  <w:style w:type="character" w:styleId="890" w:default="1">
    <w:name w:val="Default Paragraph Font"/>
    <w:uiPriority w:val="1"/>
    <w:semiHidden/>
    <w:unhideWhenUsed/>
  </w:style>
  <w:style w:type="numbering" w:styleId="891" w:default="1">
    <w:name w:val="No List"/>
    <w:uiPriority w:val="99"/>
    <w:semiHidden/>
    <w:unhideWhenUsed/>
  </w:style>
  <w:style w:type="table" w:styleId="892" w:default="1">
    <w:name w:val="Normal Table"/>
    <w:uiPriority w:val="99"/>
    <w:semiHidden/>
    <w:unhideWhenUsed/>
    <w:tblPr/>
  </w:style>
  <w:style w:type="paragraph" w:styleId="893" w:customStyle="1">
    <w:name w:val="Normal (Web)"/>
    <w:pPr>
      <w:contextualSpacing w:val="0"/>
      <w:ind w:left="0" w:right="0" w:firstLine="0"/>
      <w:jc w:val="left"/>
      <w:keepLines w:val="0"/>
      <w:keepNext w:val="0"/>
      <w:pageBreakBefore w:val="0"/>
      <w:spacing w:before="280" w:beforeAutospacing="0" w:after="28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4" w:customStyle="1">
    <w:name w:val="ConsPlusNormal"/>
    <w:next w:val="710"/>
    <w:pPr>
      <w:contextualSpacing w:val="0"/>
      <w:ind w:left="0" w:right="0" w:firstLine="72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895" w:customStyle="1">
    <w:name w:val="Без интервала1"/>
    <w:next w:val="787"/>
    <w:link w:val="788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6" w:customStyle="1">
    <w:name w:val="msonospacing_mailru_css_attribute_postfix"/>
    <w:basedOn w:val="838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7" w:customStyle="1">
    <w:name w:val="Текст сноски"/>
    <w:pPr>
      <w:contextualSpacing w:val="0"/>
      <w:ind w:left="340" w:right="0" w:hanging="340"/>
      <w:jc w:val="left"/>
      <w:keepLines w:val="0"/>
      <w:keepNext w:val="0"/>
      <w:pageBreakBefore w:val="0"/>
      <w:spacing w:before="0" w:beforeAutospacing="0" w:after="160" w:afterAutospacing="0" w:line="252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898" w:customStyle="1">
    <w:name w:val="Символ сноски"/>
  </w:style>
  <w:style w:type="character" w:styleId="899" w:customStyle="1">
    <w:name w:val="Знак сноски"/>
    <w:rPr>
      <w:vertAlign w:val="superscript"/>
    </w:rPr>
  </w:style>
  <w:style w:type="paragraph" w:styleId="900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de-DE" w:eastAsia="ja-JP" w:bidi="ar-SA"/>
      <w14:ligatures w14:val="none"/>
    </w:rPr>
  </w:style>
  <w:style w:type="table" w:styleId="901" w:customStyle="1">
    <w:name w:val="Сетка таблицы2"/>
    <w:basedOn w:val="694"/>
    <w:next w:val="714"/>
    <w:uiPriority w:val="5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902" w:customStyle="1">
    <w:name w:val="Plain Tex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Эля</dc:creator>
  <cp:revision>208</cp:revision>
  <dcterms:created xsi:type="dcterms:W3CDTF">2007-02-05T12:13:00Z</dcterms:created>
  <dcterms:modified xsi:type="dcterms:W3CDTF">2026-04-08T12:35:03Z</dcterms:modified>
  <cp:version>1048576</cp:version>
</cp:coreProperties>
</file>