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DE" w:rsidRPr="003542DE" w:rsidRDefault="003542DE" w:rsidP="003542D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Договор № </w:t>
      </w: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возмещения расходов по водоснабжению и водоотведению</w:t>
      </w:r>
    </w:p>
    <w:p w:rsidR="003542DE" w:rsidRPr="003542DE" w:rsidRDefault="003542DE" w:rsidP="003542DE">
      <w:pPr>
        <w:keepNext/>
        <w:overflowPunct w:val="0"/>
        <w:autoSpaceDE w:val="0"/>
        <w:autoSpaceDN w:val="0"/>
        <w:adjustRightInd w:val="0"/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Идентификационный код закупки – </w:t>
      </w: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261253601906025370100100070000000000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Владивосток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«</w:t>
      </w:r>
      <w:r w:rsidRPr="00354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354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3542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Государственной </w:t>
      </w:r>
      <w:r w:rsidRPr="003542D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фельдъегерской службы Российской Федерации в г. Владивостоке</w:t>
      </w:r>
      <w:r w:rsidRPr="003542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именуемый в дальнейшем </w:t>
      </w:r>
      <w:r w:rsidRPr="003542D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«Субабонент»</w:t>
      </w:r>
      <w:r w:rsidRPr="003542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 лице начальника отдела Карпенко Владимира Николаевича, действующего на основании Положения об отделе</w:t>
      </w:r>
      <w:r w:rsidRPr="003542D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</w:t>
      </w: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3542D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 </w:t>
      </w:r>
      <w:r w:rsidRPr="003542D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__________________</w:t>
      </w:r>
      <w:r w:rsidRPr="003542D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именуемый в дальнейшем </w:t>
      </w:r>
      <w:r w:rsidRPr="003542D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«Исполнитель»</w:t>
      </w:r>
      <w:r w:rsidRPr="003542D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Pr="003542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лице</w:t>
      </w:r>
      <w:r w:rsidRPr="003542D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_________________, действующего на основании ____________________</w:t>
      </w:r>
      <w:r w:rsidRPr="003542DE">
        <w:rPr>
          <w:rFonts w:ascii="Times New Roman" w:eastAsia="Times New Roman" w:hAnsi="Times New Roman" w:cs="Courier New"/>
          <w:sz w:val="28"/>
          <w:szCs w:val="28"/>
          <w:lang w:eastAsia="ru-RU"/>
        </w:rPr>
        <w:t>, с другой стороны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именуемые в дальнейшем «Стороны», </w:t>
      </w:r>
      <w:r w:rsidRPr="003542D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 основании пункта 4 части 1 статьи 93 Федерального закона «О контрактной системе</w:t>
      </w:r>
      <w:proofErr w:type="gramEnd"/>
      <w:r w:rsidRPr="003542D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нужд»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от 05.04.2013 № 44-ФЗ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05.04.2013 г. № 44-ФЗ)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(далее – Договор) о нижеследующем: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Договора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Договору Исполнитель обязуется подключить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своим водопроводным сетям и обеспечить за счет своих объемов выделенных </w:t>
      </w:r>
      <w:proofErr w:type="spellStart"/>
      <w:r w:rsidRPr="0035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водоснабжающей</w:t>
      </w:r>
      <w:proofErr w:type="spellEnd"/>
      <w:r w:rsidRPr="0035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водоснабжение (отпуск питьевой воды) и водоотведение Отделу ГФС России в г. Владивостоке </w:t>
      </w: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  <w:r w:rsidRPr="003542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 Владивосток, ул. Калинина, 275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(корпус 20) </w:t>
      </w:r>
      <w:r w:rsidRPr="0035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объемами согласно Приложения № 1 к Договору, а Субабонент - возместить стоимость объемов водоснабжения и водоотведения.</w:t>
      </w:r>
      <w:proofErr w:type="gramEnd"/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Границы балансовой принадлежности и эксплуатационной ответственности оборудования определены Приложением № 2 к Договору.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и Субабонент при выполнении условий настоящего договора, а также при взаимных расчетах, обязуются руководствоваться, нормами гражданского законодательства Российской Федерации, Федеральным законом от 07.12.2011г. № 416-ФЗ «О водоснабжении и водоотведении» и «Правилами </w:t>
      </w:r>
      <w:r w:rsidRPr="00354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холодного водоснабжения и водоотведения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утвержденными Постановлением Правительства Российской Федерации от 29.07.2013 года № 644 (с последующими изменениями и дополнениями), именуемыми в дальнейшем «Правилами»;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актами уполномоченных органов исполнительной власти в области водоснабжения и иными действующими нормативными актами.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 Договора, учет договорных объемов и порядок расчетов</w:t>
      </w:r>
    </w:p>
    <w:p w:rsidR="003542DE" w:rsidRPr="003542DE" w:rsidRDefault="003542DE" w:rsidP="00354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возмещения объемов водоснабжения и водоотведения, согласно Приложения № 1 к Договору составляет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 (_________) 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 ___ копеек (в том числе за счет ЛБО 2026 г. – ______ (_________) рубля ___ копеек, за счет ЛБО 2027 г. – ______ (_________) рубля ___ копеек).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НДС _____________. Расчёты произведены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тарифов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Постановлением Агентства по тарифам Приморского края № 70/10 от 19.12.2023г. (в ред. Постановления от 18.12.2025 г. № 64/4): водоснабжение – 46,87 руб./м</w:t>
      </w:r>
      <w:r w:rsidRPr="003542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водоотведение – 35,76 руб./м</w:t>
      </w:r>
      <w:r w:rsidRPr="003542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3.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(июль-сентябрь) и водоснабжение – 53,44 руб./м</w:t>
      </w:r>
      <w:r w:rsidRPr="003542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водоотведение – 41,68 руб./м</w:t>
      </w:r>
      <w:r w:rsidRPr="003542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3.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(октябрь-декабрь).</w:t>
      </w:r>
    </w:p>
    <w:p w:rsidR="003542DE" w:rsidRPr="003542DE" w:rsidRDefault="003542DE" w:rsidP="003542D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договора является твердой и определяется на весь срок его исполнения.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оказания услуг – с 01.07.2026 г. по 31.12.2026 г.</w:t>
      </w:r>
    </w:p>
    <w:p w:rsidR="003542DE" w:rsidRPr="003542DE" w:rsidRDefault="003542DE" w:rsidP="003542D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Субабонент обеспечивает учёт полученной воды. Фактически потреблённый объем питьевой воды определяется по показаниям средств измерений, внесённых в государственный реестр, приобретаемых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находящихся на его балансе и обслуживании (прибор учета расхода воды (Приложение № 3)).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2.3. В срок до 3-го числа последующего месяца за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отчетным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Субабонент передает Исполнителю показания счетчика (по тел. ____________________). 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2.4.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невыполн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ии условий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п.п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2.2., 2.3., 3.3.6., а также в случаях потребл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ия питьевой воды без средств измер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ий, с неисправными приборами или по истеч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ии их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межпроверочного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срока, с наруш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ием целостности пломб на устройствах, принадлежащих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Субабоненту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расчет получ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ной питьевой воды проводится по пропускной способности водопроводного ввода при скорости движ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ия воды 1,2 м/с полным сеч</w:t>
      </w:r>
      <w:smartTag w:uri="urn:schemas-microsoft-com:office:smarttags" w:element="PersonName">
        <w:r w:rsidRPr="003542D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ен</w:t>
        </w:r>
      </w:smartTag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ием круглосуточно. </w:t>
      </w:r>
      <w:proofErr w:type="gramEnd"/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2.5. Эксплуатация приборов учёта воды производится с требованиями нормативных документов.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Оплата стоимости возмещения за фактически отпущенную воду осуществляется путем перечисления на расчетный счет Исполнителя, согласно представленным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показаниям счётчика, проверенных представителем Исполнителя и на основании выставленных документов, подтверждающих выполнение работ (оказание услуг): УПД (акт, счет-фактура) и счет: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в течение 10 (десяти) рабочих дней с даты их подписания;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окончание выполнения работы (оказания услуги) согласно условиям договора приходится на дату с 1 по 20 декабря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рабочий день до окончания этого финансового года либо в очередном финансовом году в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соответствующий финансовый год;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выполнения работы (оказания услуги) согласно условиям договора приходится на дату с 21 по 31 декабря финансового года включительно, - в очередном финансовом году в пределах лимитов бюджетных обязательств на соответствующий финансовый год.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2.7. Расчеты за потребление холодного водоснабжения и водоотведение производятся по тарифам, установленным Постановлением Департамента по </w:t>
      </w: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тарифам Приморского края и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указанному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п. 2.1. настоящего договора, по показаниям приборов учета. 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2.8. Предоставление Исполнителем полного комплекта документов, перечисленных в п. 2.6. является условием оплаты. При этом не предоставление Исполнителем какого-либо из документов (одного или нескольких) или предоставление их с нарушением формы (не надлежаще оформленные, отсутствуют необходимые сведения, реквизиты), либо с неоговоренными исправлениями, является для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основанием для задержки оплаты до устранения Исполнителем указанных недостатков. В этом случае Субабонент не несёт ответственность за просрочку платежа и не возмещает убытки Исполнителя, возникшие в связи с данными обстоятельствами. 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2.9. Субабонент вправе производить авансовые платежи на основании счетов, выставленных Исполнителем. Сумма авансового платежа учитывается исполнителем при выставлении счета в соответствующем отчетном периоде.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2.10. Источник финансирования – федеральный бюджет.</w:t>
      </w:r>
    </w:p>
    <w:p w:rsidR="003542DE" w:rsidRPr="003542DE" w:rsidRDefault="003542DE" w:rsidP="003542D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Код бюджетной классификации - </w:t>
      </w:r>
      <w:r w:rsidRPr="003542D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08903149790090049244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 и обязанности Сторон</w:t>
      </w:r>
    </w:p>
    <w:p w:rsidR="003542DE" w:rsidRPr="003542DE" w:rsidRDefault="003542DE" w:rsidP="003542DE">
      <w:pPr>
        <w:spacing w:after="0" w:line="240" w:lineRule="auto"/>
        <w:ind w:left="57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 обязуется: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3.1.1. Подать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Субабоненту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воду по водопроводным сетям в помещение Отдела Государственной фельдъегерской службе Российской Федерации в                         г. Владивостоке по адресу: ул. Калинина, 275 (корпус 20) в количестве, не превышающем общего объема передачи питьевой воды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согласно Приложения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№ 1. Режим отпуска воды при пожаротушении регулируется «Правилами» и другими нормативными документами.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3.1.2. Обеспечивать эксплуатацию систем водоснабжения в соответствии с требованиями нормативно-технических документов, «Правилами» и условиями настоящего Договора, а также содержать в исправном состоянии системы и средства водоснабжения.</w:t>
      </w:r>
    </w:p>
    <w:p w:rsidR="003542DE" w:rsidRPr="003542DE" w:rsidRDefault="003542DE" w:rsidP="003542DE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Обеспечить неразглашение, полученной информации и данных в ходе исполнения договора и оказывать услуги с учётом административно-режимных условий Заказчика: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Обязательно соблюдение правил действующего внутреннего распорядка, контрольно-пропускного и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внутриобъектного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режима, внутренних положений и инструкцией действующих Заказчика и установленных для сотрудников сторонних организаций.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Оказание услуг должно осуществляться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 для въезда на территории и объекты, на которых размещаются органы государственной власти и иные органы и организации, осуществляющие работы, связанные с использованием сведений, составляющих государственную тайну, предусмотренное п. 1 ст. 11 Федерального закона от 25.07.2002 № 115-ФЗ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 правовом положении иностранных граждан в Российской Федерации» и Постановлением Правительства Российской Федерации от 11 октября 2002 г. </w:t>
      </w: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</w:p>
    <w:p w:rsidR="003542DE" w:rsidRPr="003542DE" w:rsidRDefault="003542DE" w:rsidP="003542DE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Выставлять УПД (акт, счет-фактура) и счет для оплаты не позднее 10-го числа месяца, следующего за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отчетным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</w:t>
      </w:r>
      <w:r w:rsidRPr="003542D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Исполнитель</w:t>
      </w:r>
      <w:r w:rsidRPr="003542D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имеет право:</w:t>
      </w:r>
    </w:p>
    <w:p w:rsidR="003542DE" w:rsidRPr="003542DE" w:rsidRDefault="003542DE" w:rsidP="003542DE">
      <w:pPr>
        <w:shd w:val="clear" w:color="auto" w:fill="FFFFFF"/>
        <w:tabs>
          <w:tab w:val="left" w:pos="14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Доступа к сетям, оборудованию и приборам учета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рабочим дням (с 08-00 до 17-00, с обязательным присутствием полномочного представителя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целью: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proofErr w:type="gram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контроля за</w:t>
      </w:r>
      <w:proofErr w:type="gram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работой приборов учета и снятия показаний счетчика воды (один раз в месяц - с 20-го по 25-е число отчетного месяца);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отбора проб с целью контроля качества воды и состава сточных вод.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3.2.2. Прекратить или ограничить отпуск воды, предварительно уведомив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следующих случаях: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получения предписания или решения местных служб Госсанэпиднадзора;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устранения последствий аварии на системах коммунального водоснабжения;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аварийного или неудовлетворительного состояния водопроводных сетей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3542DE" w:rsidRPr="003542DE" w:rsidRDefault="003542DE" w:rsidP="003542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проведения планово-предупредительного ремонта.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3.2.3. Отключать, без предварительного уведомления, самовольно возведенные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устройства и сооружения, присоединенные к системам водоснабжения Исполнителя.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3.2.4. Затраты, связанные с отключением и возможной ликвидацией этих устройств осуществляются за счет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оплачиваются им в соответствии с выставленным Исполнителем счетом на оплату.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3.2.5. Требовать возмещения ущерба, причиненного системам водоснабжения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3.2.6. Расторгнуть в одностороннем порядке договор с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 неоднократном нарушении сроков оплаты полученных им объемов воды.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</w:t>
      </w:r>
      <w:r w:rsidRPr="003542D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 Субабонент обязуется: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3.3.1. Обеспечивать эксплуатацию систем водоснабжения и водоотведения в соответствии с требованиями нормативно-технических документов, «Правилами» и условиями настоящего Договора, а также содержать в исправном состоянии системы и средства водоснабжения и водоотведения, используемые приборы учета, соблюдать лимиты и режим потребления питьевой воды.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3.3.2. Своевременно производить Исполнителю возмещение за фактические объемы полученной воды и приема сточных вод в установленный настоящим Договором срок.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3.3.3. Проводить ремонт и наладку оборудования, контрольно-измерительных приборов находящихся на балансе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не допускать утечки воды.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3.3.4. Обеспечивать учет получаемой питьевой воды, ежемесячно предоставлять данные Исполнителю, также обеспечивать беспрепятственный доступ представителя Исполнителя к узлу учета для осуществления контрольных функций, согласно п. 3.2.1.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3.3.5. Обеспечить сохранность и целостность водомерных узлов, приборов учета (находящихся на балансе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и пломб на них.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3.3.6. Незамедлительно, но не позднее суток с момента обнаружения, сообщить Исполнителю обо всех ухудшениях систем водоснабжения, а также о неисправностях в работе приборов учета.</w:t>
      </w:r>
    </w:p>
    <w:p w:rsidR="003542DE" w:rsidRPr="003542DE" w:rsidRDefault="003542DE" w:rsidP="003542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3.3.7.Обеспечивать за свой счет замену расчетных приборов учета, запорную арматуру и всю систему в пределах своих границ ответственности, находящуюся на балансе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повреждении. Границы балансовой принадлежности и эксплуатационной ответственности сторон определены в Приложении № 2 к настоящему Договору.</w:t>
      </w:r>
    </w:p>
    <w:p w:rsidR="003542DE" w:rsidRPr="003542DE" w:rsidRDefault="003542DE" w:rsidP="003542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 Производить ремонт и замену, а также поверку счетчика воды (Приложение № 3) в установленные сроки согласно паспорту завода-изготовителя.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3.3.9. Обеспечить обслуживание систем водоснабжения и водоотведения подготовленным персоналом требуемой квалификации. 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3.3.10. В</w:t>
      </w:r>
      <w:r w:rsidRPr="003542D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порядке, предусмотренном статьей 94 Федерального закона от  05.04.2013 г. № 44-ФЗ, для проверки качества оказанных Исполнителем услуг, в части их соответствия условиям контракта, Субабонент обязан провести экспертизу. Экспертиза результатов, предусмотренных Договором, может проводиться </w:t>
      </w:r>
      <w:proofErr w:type="spellStart"/>
      <w:r w:rsidRPr="003542D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г. № 44-ФЗ.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</w:t>
      </w:r>
      <w:r w:rsidRPr="003542D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Субабонент имеет право: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3.4.1. Заявлять Исполнителю об ошибках, обнаруженных в платежном документе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Подача заявления об ошибке в платежном документе не освобождает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обязанности произвести оплату в соответствии с условиями настоящего договора. Заявленная ошибка учитывается Исполнителем при перерасчете в следующем расчетном периоде.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3.4.2. Получать информацию о качественном составе отпускаемой воды, условиях отпуска воды и приема сточных вод.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сторон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542DE" w:rsidRPr="003542DE" w:rsidRDefault="003542DE" w:rsidP="003542DE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просрочки исполнения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оплате оказанных услуг Исполнителю, предусмотренных Договором, а также в иных случаях неисполнения или ненадлежащего исполнения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обязательств, предусмотренных Договором, Исполнитель вправе потребовать уплаты неустоек (штрафов, пеней).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Пеня начисляется за каждый день просрочки исполнения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Штрафы начисляются за ненадлежащее исполнение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обязательств, предусмотренных Договором, за исключением просрочки исполнения обязательств, предусмотренных Договором.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факт неисполнения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сумма  начисленных штрафов за ненадлежащее исполнение 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Субабонентом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обязательств,  предусмотренных Договором, не может превышать цену Договора.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Субабонент направляет Исполнителю требование об уплате неустоек (штрафов, пеней).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 ключевой ставки Центрального  банка Российской Федерации  от  цены  Договора, 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</w:t>
      </w:r>
      <w:r w:rsidRPr="0035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 (в том числе гарантийного обязательства), предусмотренных Договором.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процентов цены Договора и составляет ______ (_________) рубля ___ копеек (в соответствии с пунктом 3 Правил </w:t>
      </w: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(с изменениями и дополнениями)).</w:t>
      </w:r>
      <w:proofErr w:type="gramEnd"/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размере 1000 рублей.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обязательствам Исполнителя, которые не имеют стоимостного выражения, относятся: не предоставление Исполнителем акта оказанных услуг, счета (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счет-фактуры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иных документов, предусмотренных действующим законодательством.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сумма  начисленных штрафов за неисполнение или ненадлежащее исполнение Исполнителем обязательств, предусмотренных  Договором,  не  может превышать цену Договора.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 произошло вследствие непреодолимой силы (форс-мажор), то есть чрезвычайных и непредотвратимых при данных условиях обстоятельств или по вине другой Стороны.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Уплата неустойки (штрафа, пеней), убытков не освобождает Стороны от исполнения обязательств по настоящему Договору.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каких-либо претензий или иска, предъявленных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Субабоненту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третьими лицами, вызванных нарушением прав в связи с выполнением Исполнителем обязательств по настоящему Договору, Субабонент: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информирует об этом Исполнителя;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возможность Исполнителю провести любые мероприятия по урегулированию претензий, исков и  судебных расходов.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Все расходы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удовлетворением претензий третьих лиц, предъявленных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Субабоненту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некачественным или несвоевременным исполнением Исполнителем его обязательств, предусмотренных настоящим Договором, компенсируются Исполнителем.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 случае ненадлежащего исполнения, в том числе просрочки исполнения Исполнителем обязательств, предусмотренных Договором, Субабонент вправе произвести оплату по Договору за вычетом соответствующего размера неустойки (штрафа, пени).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В части, неурегулированной Договором, Стороны несут ответственность в соответствии с действующим законодательством Российской Федерации.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4"/>
        </w:num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разрешения споров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Все споры и разногласия, возникающие между Сторонами при заключении, исполнении и расторжении настоящего договора, разрешаются путем проведения переговоров между Сторонами с соблюдением претензионного порядка.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 передачи спора на разрешение суда Стороны предпринимают меры к его урегулированию в претензионном порядке.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Сторона, получившая претензию, обязана ее рассмотреть в течение 10 (десяти) рабочих дней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претензии и дать письменный ответ об удовлетворении претензии или об отказе в удовлетворении претензии.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3542D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случае если Стороны не придут к соглашению, споры подлежат рассмотрению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542D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Арбитражн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542D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суд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42D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Приморского края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4"/>
        </w:num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Прочие условия Договора</w:t>
      </w:r>
    </w:p>
    <w:p w:rsidR="003542DE" w:rsidRPr="003542DE" w:rsidRDefault="003542DE" w:rsidP="003542DE">
      <w:pPr>
        <w:tabs>
          <w:tab w:val="left" w:pos="999"/>
        </w:tabs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6.1. В случае изменения юридического адреса или реквизитов Стороны обязаны в 7-ми </w:t>
      </w:r>
      <w:proofErr w:type="spellStart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дневный</w:t>
      </w:r>
      <w:proofErr w:type="spellEnd"/>
      <w:r w:rsidRPr="003542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срок уведомить об этом друг друга.</w:t>
      </w:r>
    </w:p>
    <w:p w:rsidR="003542DE" w:rsidRPr="003542DE" w:rsidRDefault="003542DE" w:rsidP="003542DE">
      <w:pPr>
        <w:numPr>
          <w:ilvl w:val="1"/>
          <w:numId w:val="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тарифа в порядке государственного регулирования, и изменения стоимости Договора, настоящий договор подлежит расторжению.  Новые тарифы доводятся Исполнителем до сведения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DE" w:rsidRPr="003542DE" w:rsidRDefault="003542DE" w:rsidP="003542DE">
      <w:pPr>
        <w:numPr>
          <w:ilvl w:val="1"/>
          <w:numId w:val="6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внезапном прекращении подачи воды со стороны КГУП «Приморский водоканал» Исполнитель не несет ответственности за нанесенный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Субабоненту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материальный ущерб. </w:t>
      </w:r>
    </w:p>
    <w:p w:rsidR="003542DE" w:rsidRPr="003542DE" w:rsidRDefault="003542DE" w:rsidP="003542D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Для проведения ремонта водопроводных сетей возможны перерывы в водоснабжении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предстоящем перерыве Исполнитель обязан письменно предупредить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5 (пять) дней для согласования с ним точной даты (дня и часа) перерыва в водоснабжении. Если в течение 2 (двух) рабочих дней с момента получения предупреждения Субабонент не согласует точное время перерыва в водоснабжении, Исполнитель вправе самостоятельно установить время, письменно уведомив об этом </w:t>
      </w:r>
      <w:proofErr w:type="spell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Субабонента</w:t>
      </w:r>
      <w:proofErr w:type="spell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2DE" w:rsidRPr="003542DE" w:rsidRDefault="003542DE" w:rsidP="003542DE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вступает в законную силу с момента подписания его Сторонами, распространяет свое действие на правоотношения сторон, возникающие с             1 июля 2026 г. и действует по 29 января 2027 г. включительно, прекращение срока действия настоящего договора не является основанием для прекращения по нему денежных обязательств, которые действуют до момента их полного и надлежащего выполнения. </w:t>
      </w:r>
      <w:proofErr w:type="gramEnd"/>
    </w:p>
    <w:p w:rsidR="003542DE" w:rsidRPr="003542DE" w:rsidRDefault="003542DE" w:rsidP="003542DE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Расторжение Договора допускается  по соглашению Сторон или по решению суда в соответствии с действующим законодательством Российской Федерации.</w:t>
      </w:r>
    </w:p>
    <w:p w:rsidR="003542DE" w:rsidRPr="003542DE" w:rsidRDefault="003542DE" w:rsidP="0035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Любая из сторон вправе расторгнуть Договор в одностороннем порядке, письменно предупредив об этом другую сторону за 30 (Тридцать) календарных дней.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Любое уведомление, которое одна Сторона направляет другой Стороне в соответствии с Договором, направляется в письменной форме или любым видом связи с последующим представлением оригинала.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</w:t>
      </w:r>
      <w:proofErr w:type="gramStart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составлен в количестве 2 (Двух) экземпляров, имеющих одинаковую юридическую силу, по одному экземпляру для каждой из Сторон.</w:t>
      </w:r>
    </w:p>
    <w:p w:rsid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Следующие приложения к настоящему Договору являются его неотъемлемой частью:</w:t>
      </w:r>
    </w:p>
    <w:p w:rsidR="003542DE" w:rsidRP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Договорные </w:t>
      </w: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(ориентировочные) 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 объемов;</w:t>
      </w:r>
    </w:p>
    <w:p w:rsidR="003542DE" w:rsidRPr="003542DE" w:rsidRDefault="003542DE" w:rsidP="003542DE">
      <w:pPr>
        <w:tabs>
          <w:tab w:val="left" w:pos="1008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Акт разграничения балансовой принадлежности и эксплуатационной ответственности;</w:t>
      </w:r>
    </w:p>
    <w:p w:rsidR="003542DE" w:rsidRPr="003542DE" w:rsidRDefault="003542DE" w:rsidP="00354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 Счетчик учета холодной воды (данные прибора учета расхода воды).</w:t>
      </w:r>
    </w:p>
    <w:p w:rsidR="003542DE" w:rsidRPr="003542DE" w:rsidRDefault="003542DE" w:rsidP="00354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адреса и реквизиты Сторон</w:t>
      </w:r>
    </w:p>
    <w:p w:rsidR="003542DE" w:rsidRPr="003542DE" w:rsidRDefault="003542DE" w:rsidP="00354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7"/>
        <w:gridCol w:w="5148"/>
      </w:tblGrid>
      <w:tr w:rsidR="003542DE" w:rsidRPr="003542DE" w:rsidTr="00540E4C">
        <w:trPr>
          <w:trHeight w:val="6333"/>
        </w:trPr>
        <w:tc>
          <w:tcPr>
            <w:tcW w:w="5007" w:type="dxa"/>
          </w:tcPr>
          <w:p w:rsidR="003542DE" w:rsidRPr="003542DE" w:rsidRDefault="003542DE" w:rsidP="003542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Субабонент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Отдел Государственной  фельдъегерской службы Российской Федерации </w:t>
            </w:r>
            <w:proofErr w:type="gram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в</w:t>
            </w:r>
            <w:proofErr w:type="gram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 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г. </w:t>
            </w:r>
            <w:proofErr w:type="gram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Владивостоке</w:t>
            </w:r>
            <w:proofErr w:type="gramEnd"/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690021, г. Владивосток, ул. Калинина, 275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ИНН 2536019060      КПП 253701001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proofErr w:type="gram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л</w:t>
            </w:r>
            <w:proofErr w:type="gram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/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сч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 03201425670 Управление Федерального казначейства по Приморскому краю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номер казначейского счета (</w:t>
            </w:r>
            <w:proofErr w:type="gram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р</w:t>
            </w:r>
            <w:proofErr w:type="gram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/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сч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): 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03211643000000012000 ОКЦ № 1 ДГУ Банка России//УФК по Приморскому краю, г. Владивосток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номер банковского счета, входящего </w:t>
            </w:r>
            <w:proofErr w:type="gram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в</w:t>
            </w:r>
            <w:proofErr w:type="gram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 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состав ЕКС (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кор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/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сч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): 40102810545370000012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БИК 010507002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Тел. 228-69-50, 228-69-37, 228-69-13 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 xml:space="preserve">Электронная почта: 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ogfsvlad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@m</w:t>
            </w: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ail</w:t>
            </w: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.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ru</w:t>
            </w:r>
            <w:proofErr w:type="spellEnd"/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zh-CN"/>
              </w:rPr>
              <w:t>Н</w:t>
            </w:r>
            <w:r w:rsidRPr="003542D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  <w:t xml:space="preserve">ачальник отдела 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  <w:t>ГФС России в г. Владивостоке</w:t>
            </w: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</w:p>
          <w:p w:rsidR="003542DE" w:rsidRPr="003542DE" w:rsidRDefault="003542DE" w:rsidP="003542DE">
            <w:pPr>
              <w:shd w:val="clear" w:color="auto" w:fill="FFFFFF"/>
              <w:suppressAutoHyphens/>
              <w:spacing w:after="3" w:line="228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</w:pPr>
            <w:r w:rsidRPr="003542D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  <w:t xml:space="preserve"> _____________________/В.Н. Карпенко/</w:t>
            </w:r>
          </w:p>
          <w:p w:rsidR="003542DE" w:rsidRPr="003542DE" w:rsidRDefault="003542DE" w:rsidP="003542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5148" w:type="dxa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 /______________/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М.П.</w:t>
            </w: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к договору №___________ от «__» __________ 2026 г. 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Договорные (ориентировочные) величины о</w:t>
      </w:r>
      <w:r w:rsidRPr="00354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бъемов </w:t>
      </w:r>
    </w:p>
    <w:p w:rsidR="003542DE" w:rsidRPr="003542DE" w:rsidRDefault="003542DE" w:rsidP="00354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договорных объемов, м</w:t>
      </w:r>
      <w:r w:rsidRPr="003542D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1276"/>
        <w:gridCol w:w="1134"/>
        <w:gridCol w:w="1134"/>
        <w:gridCol w:w="1134"/>
        <w:gridCol w:w="851"/>
      </w:tblGrid>
      <w:tr w:rsidR="003542DE" w:rsidRPr="003542DE" w:rsidTr="00540E4C">
        <w:trPr>
          <w:trHeight w:val="1493"/>
        </w:trPr>
        <w:tc>
          <w:tcPr>
            <w:tcW w:w="2235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r w:rsidRPr="0035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(максимальные)</w:t>
            </w:r>
          </w:p>
        </w:tc>
        <w:tc>
          <w:tcPr>
            <w:tcW w:w="850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92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6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542DE" w:rsidRPr="003542DE" w:rsidTr="00540E4C">
        <w:tc>
          <w:tcPr>
            <w:tcW w:w="2235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850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3542DE" w:rsidRPr="003542DE" w:rsidTr="00540E4C">
        <w:trPr>
          <w:trHeight w:val="466"/>
        </w:trPr>
        <w:tc>
          <w:tcPr>
            <w:tcW w:w="2235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850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9010" w:type="dxa"/>
        <w:tblInd w:w="-34" w:type="dxa"/>
        <w:tblLook w:val="04A0" w:firstRow="1" w:lastRow="0" w:firstColumn="1" w:lastColumn="0" w:noHBand="0" w:noVBand="1"/>
      </w:tblPr>
      <w:tblGrid>
        <w:gridCol w:w="5671"/>
        <w:gridCol w:w="4110"/>
        <w:gridCol w:w="5118"/>
        <w:gridCol w:w="4111"/>
      </w:tblGrid>
      <w:tr w:rsidR="003542DE" w:rsidRPr="003542DE" w:rsidTr="00540E4C">
        <w:trPr>
          <w:trHeight w:val="1966"/>
        </w:trPr>
        <w:tc>
          <w:tcPr>
            <w:tcW w:w="5671" w:type="dxa"/>
          </w:tcPr>
          <w:p w:rsidR="003542DE" w:rsidRPr="003542DE" w:rsidRDefault="003542DE" w:rsidP="003542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</w:t>
            </w: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/В.Н. Карпенко/</w:t>
            </w:r>
          </w:p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4110" w:type="dxa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 /___________/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5118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tabs>
          <w:tab w:val="left" w:pos="1170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к договору №___________ от «__» __________ 2026 г. 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разграничения эксплуатационной ответственности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установлении границы эксплуатационной ответственности Стороны определили: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эксплуатационной ответственности устанавливаются: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водопроводу - от запорной арматуры, расположенной на границе занимаемой территории Отделом;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канализации – до подключения к общим для всего Здания стоякам.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9010" w:type="dxa"/>
        <w:tblInd w:w="-34" w:type="dxa"/>
        <w:tblLook w:val="04A0" w:firstRow="1" w:lastRow="0" w:firstColumn="1" w:lastColumn="0" w:noHBand="0" w:noVBand="1"/>
      </w:tblPr>
      <w:tblGrid>
        <w:gridCol w:w="5671"/>
        <w:gridCol w:w="4110"/>
        <w:gridCol w:w="5118"/>
        <w:gridCol w:w="4111"/>
      </w:tblGrid>
      <w:tr w:rsidR="003542DE" w:rsidRPr="003542DE" w:rsidTr="00540E4C">
        <w:trPr>
          <w:trHeight w:val="1966"/>
        </w:trPr>
        <w:tc>
          <w:tcPr>
            <w:tcW w:w="5671" w:type="dxa"/>
          </w:tcPr>
          <w:p w:rsidR="003542DE" w:rsidRPr="003542DE" w:rsidRDefault="003542DE" w:rsidP="003542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</w:t>
            </w: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/В.Н. Карпенко/</w:t>
            </w:r>
          </w:p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4110" w:type="dxa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 /___________/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5118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tabs>
          <w:tab w:val="left" w:pos="117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Приложение № 3 </w:t>
      </w: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2DE">
        <w:rPr>
          <w:rFonts w:ascii="Times New Roman" w:eastAsia="Times New Roman" w:hAnsi="Times New Roman" w:cs="Times New Roman"/>
          <w:sz w:val="20"/>
          <w:szCs w:val="20"/>
          <w:lang w:eastAsia="ru-RU"/>
        </w:rPr>
        <w:t>к  договору № ________ от «____» ___________ 2026 г.</w:t>
      </w:r>
    </w:p>
    <w:p w:rsidR="003542DE" w:rsidRPr="003542DE" w:rsidRDefault="003542DE" w:rsidP="003542DE">
      <w:pPr>
        <w:shd w:val="clear" w:color="auto" w:fill="FFFFFF"/>
        <w:tabs>
          <w:tab w:val="left" w:pos="117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Счетчик учета холодной воды</w:t>
      </w: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Субабонент: Отдел Государственной фельдъегерской службы </w:t>
      </w: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в г. Владивостоке</w:t>
      </w: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2DE" w:rsidRPr="003542DE" w:rsidRDefault="003542DE" w:rsidP="003542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2409"/>
        <w:gridCol w:w="1985"/>
      </w:tblGrid>
      <w:tr w:rsidR="003542DE" w:rsidRPr="003542DE" w:rsidTr="00540E4C">
        <w:trPr>
          <w:trHeight w:val="956"/>
        </w:trPr>
        <w:tc>
          <w:tcPr>
            <w:tcW w:w="2552" w:type="dxa"/>
          </w:tcPr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Местонахождение 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Субабонента</w:t>
            </w:r>
            <w:proofErr w:type="spellEnd"/>
          </w:p>
        </w:tc>
        <w:tc>
          <w:tcPr>
            <w:tcW w:w="2409" w:type="dxa"/>
          </w:tcPr>
          <w:p w:rsidR="003542DE" w:rsidRPr="003542DE" w:rsidRDefault="003542DE" w:rsidP="003542DE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№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542DE" w:rsidRPr="003542DE" w:rsidRDefault="003542DE" w:rsidP="003542DE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счетчика</w:t>
            </w:r>
          </w:p>
        </w:tc>
        <w:tc>
          <w:tcPr>
            <w:tcW w:w="2409" w:type="dxa"/>
          </w:tcPr>
          <w:p w:rsidR="003542DE" w:rsidRPr="003542DE" w:rsidRDefault="003542DE" w:rsidP="003542DE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Место установки счетчика</w:t>
            </w:r>
          </w:p>
        </w:tc>
        <w:tc>
          <w:tcPr>
            <w:tcW w:w="1985" w:type="dxa"/>
          </w:tcPr>
          <w:p w:rsidR="003542DE" w:rsidRPr="003542DE" w:rsidRDefault="003542DE" w:rsidP="003542DE">
            <w:pPr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Показание счетчика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3542DE" w:rsidRPr="003542DE" w:rsidRDefault="003542DE" w:rsidP="003542DE">
            <w:pPr>
              <w:tabs>
                <w:tab w:val="left" w:pos="170"/>
              </w:tabs>
              <w:spacing w:after="0" w:line="240" w:lineRule="auto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3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542DE" w:rsidRPr="003542DE" w:rsidTr="00540E4C">
        <w:trPr>
          <w:trHeight w:val="1265"/>
        </w:trPr>
        <w:tc>
          <w:tcPr>
            <w:tcW w:w="2552" w:type="dxa"/>
            <w:vAlign w:val="center"/>
          </w:tcPr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Владивосток,</w:t>
            </w:r>
          </w:p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ул. Калинина, 275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</w:t>
            </w:r>
            <w:proofErr w:type="spellStart"/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орпус</w:t>
            </w:r>
            <w:proofErr w:type="spellEnd"/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№ 20,</w:t>
            </w:r>
          </w:p>
        </w:tc>
        <w:tc>
          <w:tcPr>
            <w:tcW w:w="2409" w:type="dxa"/>
            <w:vAlign w:val="center"/>
          </w:tcPr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VALTEC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VLF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(3/4)-1.5-110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 210881284</w:t>
            </w:r>
          </w:p>
        </w:tc>
        <w:tc>
          <w:tcPr>
            <w:tcW w:w="2409" w:type="dxa"/>
            <w:vAlign w:val="center"/>
          </w:tcPr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Водомерный узел отдела</w:t>
            </w:r>
          </w:p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ГФС России</w:t>
            </w:r>
          </w:p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г. Владивостоке</w:t>
            </w:r>
          </w:p>
        </w:tc>
        <w:tc>
          <w:tcPr>
            <w:tcW w:w="1985" w:type="dxa"/>
            <w:vAlign w:val="center"/>
          </w:tcPr>
          <w:p w:rsidR="003542DE" w:rsidRPr="003542DE" w:rsidRDefault="003542DE" w:rsidP="003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9010" w:type="dxa"/>
        <w:tblInd w:w="-34" w:type="dxa"/>
        <w:tblLook w:val="04A0" w:firstRow="1" w:lastRow="0" w:firstColumn="1" w:lastColumn="0" w:noHBand="0" w:noVBand="1"/>
      </w:tblPr>
      <w:tblGrid>
        <w:gridCol w:w="5671"/>
        <w:gridCol w:w="4110"/>
        <w:gridCol w:w="5118"/>
        <w:gridCol w:w="4111"/>
      </w:tblGrid>
      <w:tr w:rsidR="003542DE" w:rsidRPr="003542DE" w:rsidTr="00540E4C">
        <w:trPr>
          <w:trHeight w:val="1966"/>
        </w:trPr>
        <w:tc>
          <w:tcPr>
            <w:tcW w:w="5671" w:type="dxa"/>
          </w:tcPr>
          <w:p w:rsidR="003542DE" w:rsidRPr="003542DE" w:rsidRDefault="003542DE" w:rsidP="003542D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</w:t>
            </w: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left" w:pos="8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/В.Н. Карпенко/</w:t>
            </w:r>
          </w:p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4110" w:type="dxa"/>
          </w:tcPr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3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 /____________/</w:t>
            </w:r>
          </w:p>
          <w:p w:rsidR="003542DE" w:rsidRPr="003542DE" w:rsidRDefault="003542DE" w:rsidP="003542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4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</w:tc>
        <w:tc>
          <w:tcPr>
            <w:tcW w:w="5118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42DE" w:rsidRPr="003542DE" w:rsidRDefault="003542DE" w:rsidP="00354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542DE" w:rsidRPr="003542DE" w:rsidRDefault="003542DE" w:rsidP="003542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275" w:rsidRPr="003542DE" w:rsidRDefault="007C7275" w:rsidP="003542DE"/>
    <w:sectPr w:rsidR="007C7275" w:rsidRPr="003542DE" w:rsidSect="003542D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D1E"/>
    <w:multiLevelType w:val="multilevel"/>
    <w:tmpl w:val="587883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">
    <w:nsid w:val="388A5233"/>
    <w:multiLevelType w:val="multilevel"/>
    <w:tmpl w:val="753AD7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A9B6D2C"/>
    <w:multiLevelType w:val="multilevel"/>
    <w:tmpl w:val="B2781B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52C6390C"/>
    <w:multiLevelType w:val="multilevel"/>
    <w:tmpl w:val="874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D119A"/>
    <w:multiLevelType w:val="multilevel"/>
    <w:tmpl w:val="FDE87A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6C3F72A4"/>
    <w:multiLevelType w:val="multilevel"/>
    <w:tmpl w:val="574E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5"/>
    <w:rsid w:val="003542DE"/>
    <w:rsid w:val="00426665"/>
    <w:rsid w:val="007C7275"/>
    <w:rsid w:val="00AF45EC"/>
    <w:rsid w:val="00E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2026-06-15T23:33:00Z</dcterms:created>
  <dcterms:modified xsi:type="dcterms:W3CDTF">2026-06-15T23:33:00Z</dcterms:modified>
</cp:coreProperties>
</file>