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pStyle w:val="878"/>
        <w:jc w:val="center"/>
        <w:rPr>
          <w:sz w:val="32"/>
          <w:szCs w:val="32"/>
          <w:lang w:val="en-US"/>
        </w:rPr>
      </w:pPr>
      <w:r>
        <w:rPr>
          <w:b/>
          <w:bCs/>
          <w:sz w:val="32"/>
          <w:szCs w:val="32"/>
        </w:rPr>
        <w:t xml:space="preserve">ДОГОВОР</w:t>
      </w:r>
      <w:r>
        <w:rPr>
          <w:b/>
          <w:bCs/>
          <w:sz w:val="32"/>
          <w:szCs w:val="32"/>
        </w:rPr>
        <w:t xml:space="preserve"> </w:t>
      </w:r>
      <w:r>
        <w:rPr>
          <w:b/>
          <w:bCs/>
          <w:sz w:val="32"/>
          <w:szCs w:val="32"/>
        </w:rPr>
        <w:t xml:space="preserve">№</w:t>
      </w:r>
      <w:r>
        <w:rPr>
          <w:b/>
          <w:bCs/>
          <w:sz w:val="32"/>
          <w:szCs w:val="32"/>
          <w:lang w:val="en-US"/>
        </w:rPr>
        <w:t xml:space="preserve"> ______</w:t>
      </w:r>
      <w:r>
        <w:rPr>
          <w:sz w:val="32"/>
          <w:szCs w:val="32"/>
          <w:lang w:val="en-US"/>
        </w:rPr>
      </w:r>
      <w:r>
        <w:rPr>
          <w:sz w:val="32"/>
          <w:szCs w:val="32"/>
          <w:lang w:val="en-US"/>
        </w:rPr>
      </w:r>
    </w:p>
    <w:p>
      <w:pPr>
        <w:pStyle w:val="878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на оказание специальных услуг</w:t>
      </w:r>
      <w:r>
        <w:rPr>
          <w:b/>
          <w:bCs/>
          <w:sz w:val="28"/>
          <w:szCs w:val="28"/>
        </w:rPr>
      </w:r>
      <w:r>
        <w:rPr>
          <w:b/>
          <w:bCs/>
          <w:sz w:val="28"/>
          <w:szCs w:val="28"/>
        </w:rPr>
      </w:r>
    </w:p>
    <w:p>
      <w:pPr>
        <w:pStyle w:val="878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</w:r>
      <w:r>
        <w:rPr>
          <w:b/>
          <w:bCs/>
          <w:sz w:val="28"/>
          <w:szCs w:val="28"/>
        </w:rPr>
      </w:r>
      <w:r>
        <w:rPr>
          <w:b/>
          <w:bCs/>
          <w:sz w:val="28"/>
          <w:szCs w:val="28"/>
        </w:rPr>
      </w:r>
    </w:p>
    <w:p>
      <w:pPr>
        <w:pStyle w:val="878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</w:r>
      <w:r>
        <w:rPr>
          <w:b/>
          <w:bCs/>
          <w:sz w:val="28"/>
          <w:szCs w:val="28"/>
        </w:rPr>
      </w:r>
      <w:r>
        <w:rPr>
          <w:b/>
          <w:bCs/>
          <w:sz w:val="28"/>
          <w:szCs w:val="28"/>
        </w:rPr>
      </w:r>
    </w:p>
    <w:tbl>
      <w:tblPr>
        <w:tblW w:w="5001" w:type="pct"/>
        <w:tblInd w:w="0" w:type="dxa"/>
        <w:tblLayout w:type="autofit"/>
        <w:tblCellMar>
          <w:left w:w="107" w:type="dxa"/>
          <w:top w:w="0" w:type="dxa"/>
          <w:right w:w="107" w:type="dxa"/>
          <w:bottom w:w="0" w:type="dxa"/>
        </w:tblCellMar>
        <w:tblLook w:val="04A0" w:firstRow="1" w:lastRow="0" w:firstColumn="1" w:lastColumn="0" w:noHBand="0" w:noVBand="1"/>
      </w:tblPr>
      <w:tblGrid>
        <w:gridCol w:w="3040"/>
        <w:gridCol w:w="3406"/>
        <w:gridCol w:w="3408"/>
      </w:tblGrid>
      <w:tr>
        <w:tblPrEx/>
        <w:trPr>
          <w:trHeight w:val="148"/>
        </w:trPr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543" w:type="pct"/>
            <w:vAlign w:val="top"/>
            <w:textDirection w:val="lrTb"/>
            <w:noWrap w:val="false"/>
          </w:tcPr>
          <w:p>
            <w:pPr>
              <w:pStyle w:val="87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г. Екатеринбург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728" w:type="pct"/>
            <w:vAlign w:val="top"/>
            <w:textDirection w:val="lrTb"/>
            <w:noWrap w:val="false"/>
          </w:tcPr>
          <w:p>
            <w:pPr>
              <w:pStyle w:val="87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729" w:type="pct"/>
            <w:vAlign w:val="top"/>
            <w:textDirection w:val="lrTb"/>
            <w:noWrap w:val="false"/>
          </w:tcPr>
          <w:p>
            <w:pPr>
              <w:pStyle w:val="878"/>
              <w:ind w:right="-107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«  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   </w:t>
            </w:r>
            <w:r>
              <w:rPr>
                <w:sz w:val="24"/>
                <w:szCs w:val="24"/>
              </w:rPr>
              <w:t xml:space="preserve">  »   </w:t>
            </w:r>
            <w:r>
              <w:rPr>
                <w:sz w:val="24"/>
                <w:szCs w:val="24"/>
              </w:rPr>
              <w:t xml:space="preserve">____________</w:t>
            </w:r>
            <w:r>
              <w:rPr>
                <w:sz w:val="24"/>
                <w:szCs w:val="24"/>
              </w:rPr>
              <w:t xml:space="preserve">   20</w:t>
            </w:r>
            <w:r>
              <w:rPr>
                <w:sz w:val="24"/>
                <w:szCs w:val="24"/>
              </w:rPr>
              <w:t xml:space="preserve">26</w:t>
            </w:r>
            <w:r>
              <w:rPr>
                <w:sz w:val="24"/>
                <w:szCs w:val="24"/>
              </w:rPr>
              <w:t xml:space="preserve"> г.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</w:tbl>
    <w:p>
      <w:pPr>
        <w:pStyle w:val="884"/>
        <w:ind w:firstLine="567"/>
        <w:rPr>
          <w:b/>
        </w:rPr>
      </w:pPr>
      <w:r>
        <w:rPr>
          <w:b/>
        </w:rPr>
      </w:r>
      <w:r>
        <w:rPr>
          <w:b/>
        </w:rPr>
      </w:r>
      <w:r>
        <w:rPr>
          <w:b/>
        </w:rPr>
      </w:r>
    </w:p>
    <w:p>
      <w:pPr>
        <w:pStyle w:val="884"/>
        <w:ind w:firstLine="567"/>
        <w:rPr>
          <w:sz w:val="25"/>
          <w:szCs w:val="25"/>
        </w:rPr>
      </w:pPr>
      <w:r>
        <w:rPr>
          <w:b/>
          <w:sz w:val="25"/>
          <w:szCs w:val="25"/>
        </w:rPr>
        <w:t xml:space="preserve">Департамент по недропользованию по Уральскому федеральному округу,</w:t>
      </w:r>
      <w:r>
        <w:rPr>
          <w:sz w:val="25"/>
          <w:szCs w:val="25"/>
        </w:rPr>
        <w:t xml:space="preserve"> именуемый в дальнейшем «Заказчик», в лице </w:t>
      </w:r>
      <w:r>
        <w:rPr>
          <w:sz w:val="25"/>
          <w:szCs w:val="25"/>
        </w:rPr>
        <w:t xml:space="preserve">заместителя начальника Департамента</w:t>
      </w:r>
      <w:r>
        <w:rPr>
          <w:sz w:val="25"/>
          <w:szCs w:val="25"/>
        </w:rPr>
        <w:t xml:space="preserve"> </w:t>
      </w:r>
      <w:r>
        <w:rPr>
          <w:sz w:val="25"/>
          <w:szCs w:val="25"/>
        </w:rPr>
        <w:t xml:space="preserve">–</w:t>
      </w:r>
      <w:r>
        <w:rPr>
          <w:sz w:val="25"/>
          <w:szCs w:val="25"/>
        </w:rPr>
        <w:t xml:space="preserve"> начальника </w:t>
      </w:r>
      <w:r>
        <w:rPr>
          <w:sz w:val="25"/>
          <w:szCs w:val="25"/>
        </w:rPr>
        <w:t xml:space="preserve">отдела </w:t>
      </w:r>
      <w:r>
        <w:rPr>
          <w:sz w:val="25"/>
          <w:szCs w:val="25"/>
        </w:rPr>
        <w:t xml:space="preserve">эконом</w:t>
      </w:r>
      <w:r>
        <w:rPr>
          <w:sz w:val="25"/>
          <w:szCs w:val="25"/>
        </w:rPr>
        <w:t xml:space="preserve">ики, адми</w:t>
      </w:r>
      <w:r>
        <w:rPr>
          <w:sz w:val="25"/>
          <w:szCs w:val="25"/>
        </w:rPr>
        <w:t xml:space="preserve">нистрирования доходо</w:t>
      </w:r>
      <w:r>
        <w:rPr>
          <w:sz w:val="25"/>
          <w:szCs w:val="25"/>
        </w:rPr>
        <w:t xml:space="preserve">в, бюджетно</w:t>
      </w:r>
      <w:r>
        <w:rPr>
          <w:sz w:val="25"/>
          <w:szCs w:val="25"/>
        </w:rPr>
        <w:t xml:space="preserve">й отчетности и закупок Мартюшевой Ксении Николаевны</w:t>
      </w:r>
      <w:r>
        <w:rPr>
          <w:sz w:val="25"/>
          <w:szCs w:val="25"/>
        </w:rPr>
        <w:t xml:space="preserve">, действующ</w:t>
      </w:r>
      <w:r>
        <w:rPr>
          <w:sz w:val="25"/>
          <w:szCs w:val="25"/>
        </w:rPr>
        <w:t xml:space="preserve">его</w:t>
      </w:r>
      <w:r>
        <w:rPr>
          <w:sz w:val="25"/>
          <w:szCs w:val="25"/>
        </w:rPr>
        <w:t xml:space="preserve"> на основании </w:t>
      </w:r>
      <w:r>
        <w:rPr>
          <w:sz w:val="25"/>
          <w:szCs w:val="25"/>
        </w:rPr>
        <w:t xml:space="preserve">Доверенности № </w:t>
      </w:r>
      <w:r>
        <w:rPr>
          <w:sz w:val="25"/>
          <w:szCs w:val="25"/>
        </w:rPr>
        <w:t xml:space="preserve">б/н от 14.01.2026</w:t>
      </w:r>
      <w:r>
        <w:rPr>
          <w:sz w:val="25"/>
          <w:szCs w:val="25"/>
        </w:rPr>
        <w:t xml:space="preserve"> г.</w:t>
      </w:r>
      <w:r>
        <w:rPr>
          <w:sz w:val="25"/>
          <w:szCs w:val="25"/>
        </w:rPr>
        <w:t xml:space="preserve">,</w:t>
      </w:r>
      <w:r>
        <w:rPr>
          <w:sz w:val="25"/>
          <w:szCs w:val="25"/>
        </w:rPr>
        <w:t xml:space="preserve"> </w:t>
      </w:r>
      <w:r>
        <w:rPr>
          <w:sz w:val="25"/>
          <w:szCs w:val="25"/>
        </w:rPr>
        <w:t xml:space="preserve">с одной стороны,</w:t>
      </w:r>
      <w:r>
        <w:rPr>
          <w:sz w:val="25"/>
          <w:szCs w:val="25"/>
        </w:rPr>
        <w:t xml:space="preserve"> и</w:t>
      </w:r>
      <w:r>
        <w:rPr>
          <w:sz w:val="25"/>
          <w:szCs w:val="25"/>
        </w:rPr>
      </w:r>
      <w:r>
        <w:rPr>
          <w:sz w:val="25"/>
          <w:szCs w:val="25"/>
        </w:rPr>
      </w:r>
    </w:p>
    <w:p>
      <w:pPr>
        <w:pStyle w:val="884"/>
        <w:ind w:firstLine="567"/>
        <w:rPr>
          <w:color w:val="000000"/>
          <w:sz w:val="25"/>
          <w:szCs w:val="25"/>
        </w:rPr>
      </w:pPr>
      <w:r>
        <w:rPr>
          <w:sz w:val="25"/>
          <w:szCs w:val="25"/>
        </w:rPr>
        <w:t xml:space="preserve">_____________________________________________________</w:t>
      </w:r>
      <w:r>
        <w:rPr>
          <w:sz w:val="25"/>
          <w:szCs w:val="25"/>
        </w:rPr>
        <w:t xml:space="preserve">)</w:t>
      </w:r>
      <w:r>
        <w:rPr>
          <w:sz w:val="25"/>
          <w:szCs w:val="25"/>
        </w:rPr>
        <w:t xml:space="preserve">, им</w:t>
      </w:r>
      <w:r>
        <w:rPr>
          <w:sz w:val="25"/>
          <w:szCs w:val="25"/>
        </w:rPr>
        <w:t xml:space="preserve">е</w:t>
      </w:r>
      <w:r>
        <w:rPr>
          <w:sz w:val="25"/>
          <w:szCs w:val="25"/>
        </w:rPr>
        <w:t xml:space="preserve">нуемое в дальнейшем «</w:t>
      </w:r>
      <w:r>
        <w:rPr>
          <w:sz w:val="25"/>
          <w:szCs w:val="25"/>
        </w:rPr>
        <w:t xml:space="preserve">ИСПОЛНИТЕЛЬ</w:t>
      </w:r>
      <w:r>
        <w:rPr>
          <w:sz w:val="25"/>
          <w:szCs w:val="25"/>
        </w:rPr>
        <w:t xml:space="preserve">»</w:t>
      </w:r>
      <w:r>
        <w:rPr>
          <w:sz w:val="25"/>
          <w:szCs w:val="25"/>
        </w:rPr>
        <w:t xml:space="preserve">, в лице </w:t>
      </w:r>
      <w:r>
        <w:rPr>
          <w:sz w:val="25"/>
          <w:szCs w:val="25"/>
        </w:rPr>
        <w:t xml:space="preserve">_________________________________</w:t>
      </w:r>
      <w:r>
        <w:rPr>
          <w:sz w:val="25"/>
          <w:szCs w:val="25"/>
        </w:rPr>
        <w:t xml:space="preserve">, действующего на </w:t>
      </w:r>
      <w:r>
        <w:rPr>
          <w:sz w:val="25"/>
          <w:szCs w:val="25"/>
        </w:rPr>
        <w:t xml:space="preserve">__________</w:t>
      </w:r>
      <w:r>
        <w:rPr>
          <w:sz w:val="25"/>
          <w:szCs w:val="25"/>
        </w:rPr>
        <w:t xml:space="preserve">,</w:t>
      </w:r>
      <w:r>
        <w:rPr>
          <w:color w:val="000000"/>
          <w:sz w:val="25"/>
          <w:szCs w:val="25"/>
        </w:rPr>
        <w:t xml:space="preserve"> с другой стороны,</w:t>
      </w:r>
      <w:r>
        <w:rPr>
          <w:color w:val="000000"/>
          <w:sz w:val="25"/>
          <w:szCs w:val="25"/>
        </w:rPr>
        <w:t xml:space="preserve"> </w:t>
      </w:r>
      <w:r>
        <w:rPr>
          <w:color w:val="000000"/>
          <w:sz w:val="25"/>
          <w:szCs w:val="25"/>
        </w:rPr>
        <w:t xml:space="preserve">именуемые в дальнейшем «С</w:t>
      </w:r>
      <w:r>
        <w:rPr>
          <w:color w:val="000000"/>
          <w:sz w:val="25"/>
          <w:szCs w:val="25"/>
        </w:rPr>
        <w:t xml:space="preserve">тороны»</w:t>
      </w:r>
      <w:r>
        <w:rPr>
          <w:color w:val="000000"/>
          <w:sz w:val="25"/>
          <w:szCs w:val="25"/>
        </w:rPr>
        <w:t xml:space="preserve">, </w:t>
      </w:r>
      <w:r>
        <w:rPr>
          <w:color w:val="000000"/>
          <w:sz w:val="25"/>
          <w:szCs w:val="25"/>
        </w:rPr>
        <w:t xml:space="preserve">на  основании </w:t>
      </w:r>
      <w:r>
        <w:rPr>
          <w:color w:val="000000"/>
          <w:sz w:val="25"/>
          <w:szCs w:val="25"/>
        </w:rPr>
        <w:t xml:space="preserve">п. 4 ч.1 ст.93 Федерального закона от 5 апреля 2013 г. № 44-ФЗ "О контрактной системе в сфере закупок товаров, работ, Услуг для обеспечения государственных и муниципальных нужд", заключили настоящий Договор о  нижеследующем:</w:t>
      </w:r>
      <w:r>
        <w:rPr>
          <w:color w:val="000000"/>
          <w:sz w:val="25"/>
          <w:szCs w:val="25"/>
        </w:rPr>
      </w:r>
      <w:r>
        <w:rPr>
          <w:color w:val="000000"/>
          <w:sz w:val="25"/>
          <w:szCs w:val="25"/>
        </w:rPr>
      </w:r>
    </w:p>
    <w:p>
      <w:pPr>
        <w:pStyle w:val="878"/>
        <w:numPr>
          <w:ilvl w:val="0"/>
          <w:numId w:val="1"/>
        </w:numPr>
        <w:ind w:left="357" w:hanging="357"/>
        <w:jc w:val="center"/>
        <w:keepNext/>
        <w:spacing w:before="240" w:after="24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ПРЕДМЕТ ДОГОВОРА</w:t>
      </w:r>
      <w:r>
        <w:rPr>
          <w:b/>
          <w:bCs/>
          <w:sz w:val="24"/>
          <w:szCs w:val="24"/>
        </w:rPr>
      </w:r>
      <w:r>
        <w:rPr>
          <w:b/>
          <w:bCs/>
          <w:sz w:val="24"/>
          <w:szCs w:val="24"/>
        </w:rPr>
      </w:r>
    </w:p>
    <w:p>
      <w:pPr>
        <w:pStyle w:val="878"/>
        <w:numPr>
          <w:ilvl w:val="1"/>
          <w:numId w:val="1"/>
        </w:numPr>
        <w:ind w:left="0" w:firstLine="0"/>
        <w:jc w:val="both"/>
        <w:tabs>
          <w:tab w:val="clear" w:pos="480" w:leader="none"/>
        </w:tabs>
        <w:rPr>
          <w:sz w:val="25"/>
          <w:szCs w:val="25"/>
        </w:rPr>
      </w:pPr>
      <w:r>
        <w:rPr>
          <w:sz w:val="25"/>
          <w:szCs w:val="25"/>
        </w:rPr>
        <w:t xml:space="preserve">ИСПОЛНИТЕЛЬ принимает на себя обязательства на оказание </w:t>
      </w:r>
      <w:r>
        <w:rPr>
          <w:sz w:val="25"/>
          <w:szCs w:val="25"/>
        </w:rPr>
        <w:t xml:space="preserve">услуг</w:t>
      </w:r>
      <w:r>
        <w:rPr>
          <w:sz w:val="25"/>
          <w:szCs w:val="25"/>
        </w:rPr>
        <w:t xml:space="preserve"> по разработке </w:t>
      </w:r>
      <w:r>
        <w:rPr>
          <w:sz w:val="25"/>
          <w:szCs w:val="25"/>
          <w:lang w:bidi="ru-RU"/>
        </w:rPr>
        <w:t xml:space="preserve">«</w:t>
      </w:r>
      <w:r>
        <w:rPr>
          <w:color w:val="000000"/>
          <w:sz w:val="25"/>
          <w:szCs w:val="25"/>
          <w:lang w:bidi="ru-RU"/>
        </w:rPr>
        <w:t xml:space="preserve">Руководств</w:t>
      </w:r>
      <w:r>
        <w:rPr>
          <w:color w:val="000000"/>
          <w:sz w:val="25"/>
          <w:szCs w:val="25"/>
          <w:lang w:bidi="ru-RU"/>
        </w:rPr>
        <w:t xml:space="preserve">а</w:t>
      </w:r>
      <w:r>
        <w:rPr>
          <w:color w:val="000000"/>
          <w:sz w:val="25"/>
          <w:szCs w:val="25"/>
          <w:lang w:bidi="ru-RU"/>
        </w:rPr>
        <w:t xml:space="preserve"> по </w:t>
      </w:r>
      <w:r>
        <w:rPr>
          <w:color w:val="000000"/>
          <w:sz w:val="25"/>
          <w:szCs w:val="25"/>
          <w:lang w:bidi="ru-RU"/>
        </w:rPr>
        <w:t xml:space="preserve">технической </w:t>
      </w:r>
      <w:r>
        <w:rPr>
          <w:color w:val="000000"/>
          <w:sz w:val="25"/>
          <w:szCs w:val="25"/>
          <w:lang w:bidi="ru-RU"/>
        </w:rPr>
        <w:t xml:space="preserve">защите информации» (п.</w:t>
      </w:r>
      <w:r>
        <w:rPr>
          <w:color w:val="000000"/>
          <w:sz w:val="25"/>
          <w:szCs w:val="25"/>
          <w:lang w:bidi="ru-RU"/>
        </w:rPr>
        <w:t xml:space="preserve"> </w:t>
      </w:r>
      <w:r>
        <w:rPr>
          <w:color w:val="000000"/>
          <w:sz w:val="25"/>
          <w:szCs w:val="25"/>
          <w:lang w:bidi="ru-RU"/>
        </w:rPr>
        <w:t xml:space="preserve">2.8 </w:t>
      </w:r>
      <w:r>
        <w:rPr>
          <w:rFonts w:ascii="Liberation Serif" w:hAnsi="Liberation Serif"/>
          <w:sz w:val="25"/>
          <w:szCs w:val="25"/>
        </w:rPr>
        <w:t xml:space="preserve">«Требований</w:t>
      </w:r>
      <w:r>
        <w:rPr>
          <w:rFonts w:ascii="Liberation Serif" w:hAnsi="Liberation Serif"/>
          <w:sz w:val="25"/>
          <w:szCs w:val="25"/>
        </w:rPr>
        <w:t xml:space="preserve"> по технической защите информации, содержащей сведения, составляющие государственную тайну», утвержденны</w:t>
      </w:r>
      <w:r>
        <w:rPr>
          <w:rFonts w:ascii="Liberation Serif" w:hAnsi="Liberation Serif"/>
          <w:sz w:val="25"/>
          <w:szCs w:val="25"/>
        </w:rPr>
        <w:t xml:space="preserve">х</w:t>
      </w:r>
      <w:r>
        <w:rPr>
          <w:rFonts w:ascii="Liberation Serif" w:hAnsi="Liberation Serif"/>
          <w:sz w:val="25"/>
          <w:szCs w:val="25"/>
        </w:rPr>
        <w:t xml:space="preserve"> приказом ФСТЭК России от 20.10.2016 г. № 025</w:t>
      </w:r>
      <w:r>
        <w:rPr>
          <w:color w:val="000000"/>
          <w:sz w:val="25"/>
          <w:szCs w:val="25"/>
          <w:lang w:bidi="ru-RU"/>
        </w:rPr>
        <w:t xml:space="preserve">)</w:t>
      </w:r>
      <w:r>
        <w:rPr>
          <w:color w:val="000000"/>
          <w:sz w:val="25"/>
          <w:szCs w:val="25"/>
          <w:lang w:bidi="ru-RU"/>
        </w:rPr>
        <w:t xml:space="preserve"> </w:t>
      </w:r>
      <w:r>
        <w:rPr>
          <w:sz w:val="25"/>
          <w:szCs w:val="25"/>
        </w:rPr>
        <w:t xml:space="preserve">ЗАКАЗЧИКА, </w:t>
      </w:r>
      <w:r>
        <w:rPr>
          <w:sz w:val="25"/>
          <w:szCs w:val="25"/>
        </w:rPr>
        <w:t xml:space="preserve">в объеме согласно спецификации услуг по защите информации (Приложение № 1 к настоящему договору)</w:t>
      </w:r>
      <w:r>
        <w:rPr>
          <w:sz w:val="25"/>
          <w:szCs w:val="25"/>
        </w:rPr>
        <w:t xml:space="preserve"> </w:t>
      </w:r>
      <w:r>
        <w:rPr>
          <w:sz w:val="25"/>
          <w:szCs w:val="25"/>
        </w:rPr>
        <w:t xml:space="preserve">(далее – Услуги), а ЗАКАЗЧИК </w:t>
      </w:r>
      <w:r>
        <w:rPr>
          <w:sz w:val="25"/>
          <w:szCs w:val="25"/>
        </w:rPr>
        <w:t xml:space="preserve">- </w:t>
      </w:r>
      <w:r>
        <w:rPr>
          <w:sz w:val="25"/>
          <w:szCs w:val="25"/>
        </w:rPr>
        <w:t xml:space="preserve">принять и оплатить услуги</w:t>
      </w:r>
      <w:r>
        <w:rPr>
          <w:sz w:val="25"/>
          <w:szCs w:val="25"/>
        </w:rPr>
        <w:t xml:space="preserve">.</w:t>
      </w:r>
      <w:r>
        <w:rPr>
          <w:sz w:val="25"/>
          <w:szCs w:val="25"/>
        </w:rPr>
      </w:r>
      <w:r>
        <w:rPr>
          <w:sz w:val="25"/>
          <w:szCs w:val="25"/>
        </w:rPr>
      </w:r>
    </w:p>
    <w:p>
      <w:pPr>
        <w:pStyle w:val="878"/>
        <w:numPr>
          <w:ilvl w:val="0"/>
          <w:numId w:val="1"/>
        </w:numPr>
        <w:ind w:left="357" w:hanging="357"/>
        <w:jc w:val="center"/>
        <w:keepNext/>
        <w:spacing w:before="240" w:after="24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СТОИМОСТЬ УСЛУГ И ПОРЯДОК РАСЧЕТОВ</w:t>
      </w:r>
      <w:r>
        <w:rPr>
          <w:b/>
          <w:bCs/>
          <w:sz w:val="24"/>
          <w:szCs w:val="24"/>
        </w:rPr>
      </w:r>
      <w:r>
        <w:rPr>
          <w:b/>
          <w:bCs/>
          <w:sz w:val="24"/>
          <w:szCs w:val="24"/>
        </w:rPr>
      </w:r>
    </w:p>
    <w:p>
      <w:pPr>
        <w:pStyle w:val="869"/>
        <w:numPr>
          <w:ilvl w:val="1"/>
          <w:numId w:val="1"/>
        </w:numPr>
        <w:ind w:left="0" w:firstLine="0"/>
        <w:jc w:val="both"/>
        <w:tabs>
          <w:tab w:val="clear" w:pos="480" w:leader="none"/>
        </w:tabs>
        <w:rPr>
          <w:sz w:val="25"/>
          <w:szCs w:val="25"/>
        </w:rPr>
      </w:pPr>
      <w:r>
        <w:rPr>
          <w:sz w:val="25"/>
          <w:szCs w:val="25"/>
        </w:rPr>
      </w:r>
      <w:r>
        <w:rPr>
          <w:sz w:val="25"/>
          <w:szCs w:val="25"/>
        </w:rPr>
        <w:t xml:space="preserve">Стоимость услуг определяется в соответствии со спецификацией (</w:t>
      </w:r>
      <w:r>
        <w:rPr>
          <w:sz w:val="25"/>
          <w:szCs w:val="25"/>
        </w:rPr>
        <w:t xml:space="preserve">Приложен</w:t>
      </w:r>
      <w:r>
        <w:rPr>
          <w:sz w:val="25"/>
          <w:szCs w:val="25"/>
        </w:rPr>
        <w:t xml:space="preserve">ие №1</w:t>
      </w:r>
      <w:r>
        <w:rPr>
          <w:sz w:val="25"/>
          <w:szCs w:val="25"/>
        </w:rPr>
        <w:t xml:space="preserve"> к настоящему договору</w:t>
      </w:r>
      <w:r>
        <w:rPr>
          <w:sz w:val="25"/>
          <w:szCs w:val="25"/>
        </w:rPr>
        <w:t xml:space="preserve">), являющейся неотъемлемой частью настоящего договора.</w:t>
      </w:r>
      <w:r>
        <w:rPr>
          <w:sz w:val="25"/>
          <w:szCs w:val="25"/>
        </w:rPr>
        <w:t xml:space="preserve">Цена настоящего договора составляет: </w:t>
      </w:r>
      <w:r>
        <w:rPr>
          <w:sz w:val="25"/>
          <w:szCs w:val="25"/>
        </w:rPr>
        <w:t xml:space="preserve">______________________</w:t>
      </w:r>
      <w:r>
        <w:rPr>
          <w:b/>
          <w:sz w:val="25"/>
          <w:szCs w:val="25"/>
        </w:rPr>
        <w:t xml:space="preserve">.</w:t>
      </w:r>
      <w:r>
        <w:rPr>
          <w:sz w:val="25"/>
          <w:szCs w:val="25"/>
        </w:rPr>
        <w:t xml:space="preserve">, в том числе НДС _____%.</w:t>
      </w:r>
      <w:r>
        <w:rPr>
          <w:sz w:val="25"/>
          <w:szCs w:val="25"/>
        </w:rPr>
        <w:t xml:space="preserve"> </w:t>
      </w:r>
      <w:r>
        <w:rPr>
          <w:sz w:val="25"/>
          <w:szCs w:val="25"/>
        </w:rPr>
      </w:r>
      <w:r>
        <w:rPr>
          <w:sz w:val="25"/>
          <w:szCs w:val="25"/>
        </w:rPr>
      </w:r>
    </w:p>
    <w:p>
      <w:pPr>
        <w:pStyle w:val="878"/>
        <w:jc w:val="both"/>
        <w:rPr>
          <w:sz w:val="25"/>
          <w:szCs w:val="25"/>
        </w:rPr>
      </w:pPr>
      <w:r>
        <w:rPr>
          <w:sz w:val="25"/>
          <w:szCs w:val="25"/>
        </w:rPr>
        <w:t xml:space="preserve">2.2. Оплата услуг производится З</w:t>
      </w:r>
      <w:r>
        <w:rPr>
          <w:sz w:val="25"/>
          <w:szCs w:val="25"/>
        </w:rPr>
        <w:t xml:space="preserve">аказчиком в следующем порядке: </w:t>
      </w:r>
      <w:r>
        <w:rPr>
          <w:sz w:val="25"/>
          <w:szCs w:val="25"/>
        </w:rPr>
      </w:r>
      <w:r>
        <w:rPr>
          <w:sz w:val="25"/>
          <w:szCs w:val="25"/>
        </w:rPr>
      </w:r>
    </w:p>
    <w:p>
      <w:pPr>
        <w:pStyle w:val="878"/>
        <w:numPr>
          <w:ilvl w:val="0"/>
          <w:numId w:val="11"/>
        </w:numPr>
        <w:jc w:val="both"/>
        <w:rPr>
          <w:sz w:val="25"/>
          <w:szCs w:val="25"/>
        </w:rPr>
      </w:pPr>
      <w:r>
        <w:rPr>
          <w:sz w:val="25"/>
          <w:szCs w:val="25"/>
        </w:rPr>
        <w:t xml:space="preserve">Заказчик производит предоплату в разм</w:t>
      </w:r>
      <w:r>
        <w:rPr>
          <w:sz w:val="25"/>
          <w:szCs w:val="25"/>
        </w:rPr>
        <w:t xml:space="preserve">ере 30 % от стоимости услуг по Д</w:t>
      </w:r>
      <w:r>
        <w:rPr>
          <w:sz w:val="25"/>
          <w:szCs w:val="25"/>
        </w:rPr>
        <w:t xml:space="preserve">оговору в течение трех </w:t>
      </w:r>
      <w:r>
        <w:rPr>
          <w:sz w:val="25"/>
          <w:szCs w:val="25"/>
        </w:rPr>
        <w:t xml:space="preserve">рабочих дней с даты заключения Д</w:t>
      </w:r>
      <w:r>
        <w:rPr>
          <w:sz w:val="25"/>
          <w:szCs w:val="25"/>
        </w:rPr>
        <w:t xml:space="preserve">оговора;</w:t>
      </w:r>
      <w:r>
        <w:rPr>
          <w:sz w:val="25"/>
          <w:szCs w:val="25"/>
        </w:rPr>
      </w:r>
      <w:r>
        <w:rPr>
          <w:sz w:val="25"/>
          <w:szCs w:val="25"/>
        </w:rPr>
      </w:r>
    </w:p>
    <w:p>
      <w:pPr>
        <w:pStyle w:val="878"/>
        <w:numPr>
          <w:ilvl w:val="0"/>
          <w:numId w:val="11"/>
        </w:numPr>
        <w:jc w:val="both"/>
        <w:rPr>
          <w:sz w:val="25"/>
          <w:szCs w:val="25"/>
        </w:rPr>
      </w:pPr>
      <w:r>
        <w:rPr>
          <w:sz w:val="25"/>
          <w:szCs w:val="25"/>
        </w:rPr>
        <w:t xml:space="preserve">Оплату 70 % </w:t>
      </w:r>
      <w:r>
        <w:rPr>
          <w:sz w:val="25"/>
          <w:szCs w:val="25"/>
        </w:rPr>
        <w:t xml:space="preserve">от стоимости услуг по Договору З</w:t>
      </w:r>
      <w:r>
        <w:rPr>
          <w:sz w:val="25"/>
          <w:szCs w:val="25"/>
        </w:rPr>
        <w:t xml:space="preserve">аказчик производит в течение 7 (семи) рабочих дней с даты подписания </w:t>
      </w:r>
      <w:r>
        <w:rPr>
          <w:sz w:val="25"/>
          <w:szCs w:val="25"/>
        </w:rPr>
        <w:t xml:space="preserve">З</w:t>
      </w:r>
      <w:r>
        <w:rPr>
          <w:sz w:val="25"/>
          <w:szCs w:val="25"/>
        </w:rPr>
        <w:t xml:space="preserve">аказчиком акта оказанных услуг.</w:t>
      </w:r>
      <w:r>
        <w:rPr>
          <w:sz w:val="25"/>
          <w:szCs w:val="25"/>
        </w:rPr>
      </w:r>
      <w:r>
        <w:rPr>
          <w:sz w:val="25"/>
          <w:szCs w:val="25"/>
        </w:rPr>
      </w:r>
    </w:p>
    <w:p>
      <w:pPr>
        <w:pStyle w:val="878"/>
        <w:jc w:val="both"/>
        <w:rPr>
          <w:sz w:val="25"/>
          <w:szCs w:val="25"/>
        </w:rPr>
      </w:pPr>
      <w:r>
        <w:rPr>
          <w:sz w:val="25"/>
          <w:szCs w:val="25"/>
        </w:rPr>
        <w:t xml:space="preserve">2.3. По факту выполненных услуг </w:t>
      </w:r>
      <w:r>
        <w:rPr>
          <w:sz w:val="25"/>
          <w:szCs w:val="25"/>
        </w:rPr>
        <w:t xml:space="preserve">Исполнитель предоставляет Заказчику акт оказанных услуг в двух экземплярах с приложением счет-фактуры, а Заказчик подписывает Акт и передает один экземпляр Исполнителю. </w:t>
      </w:r>
      <w:r>
        <w:rPr>
          <w:sz w:val="25"/>
          <w:szCs w:val="25"/>
        </w:rPr>
      </w:r>
      <w:r>
        <w:rPr>
          <w:sz w:val="25"/>
          <w:szCs w:val="25"/>
        </w:rPr>
      </w:r>
    </w:p>
    <w:p>
      <w:pPr>
        <w:pStyle w:val="878"/>
        <w:jc w:val="both"/>
        <w:rPr>
          <w:color w:val="000000"/>
          <w:sz w:val="25"/>
          <w:szCs w:val="25"/>
        </w:rPr>
      </w:pPr>
      <w:r>
        <w:rPr>
          <w:sz w:val="25"/>
          <w:szCs w:val="25"/>
        </w:rPr>
        <w:t xml:space="preserve">2.4. </w:t>
      </w:r>
      <w:r>
        <w:rPr>
          <w:sz w:val="25"/>
          <w:szCs w:val="25"/>
        </w:rPr>
        <w:t xml:space="preserve">Подписываемые Сторонами Акты оказанных услуг являются подтверждением оказания услуг Исполнителем Заказчику.</w:t>
      </w:r>
      <w:r>
        <w:rPr>
          <w:color w:val="000000"/>
          <w:sz w:val="25"/>
          <w:szCs w:val="25"/>
        </w:rPr>
        <w:t xml:space="preserve"> </w:t>
      </w:r>
      <w:r>
        <w:rPr>
          <w:color w:val="000000"/>
          <w:sz w:val="25"/>
          <w:szCs w:val="25"/>
        </w:rPr>
      </w:r>
      <w:r>
        <w:rPr>
          <w:color w:val="000000"/>
          <w:sz w:val="25"/>
          <w:szCs w:val="25"/>
        </w:rPr>
      </w:r>
    </w:p>
    <w:p>
      <w:pPr>
        <w:pStyle w:val="878"/>
        <w:numPr>
          <w:ilvl w:val="0"/>
          <w:numId w:val="1"/>
        </w:numPr>
        <w:ind w:left="357" w:hanging="357"/>
        <w:jc w:val="center"/>
        <w:keepNext/>
        <w:spacing w:before="200" w:after="20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СРОКИ ОКАЗАНИЯ УСЛУГ</w:t>
      </w:r>
      <w:r>
        <w:rPr>
          <w:b/>
          <w:bCs/>
          <w:sz w:val="24"/>
          <w:szCs w:val="24"/>
        </w:rPr>
      </w:r>
      <w:r>
        <w:rPr>
          <w:b/>
          <w:bCs/>
          <w:sz w:val="24"/>
          <w:szCs w:val="24"/>
        </w:rPr>
      </w:r>
    </w:p>
    <w:p>
      <w:pPr>
        <w:pStyle w:val="878"/>
        <w:numPr>
          <w:ilvl w:val="1"/>
          <w:numId w:val="1"/>
        </w:numPr>
        <w:ind w:left="0" w:firstLine="0"/>
        <w:jc w:val="both"/>
        <w:tabs>
          <w:tab w:val="clear" w:pos="480" w:leader="none"/>
        </w:tabs>
        <w:rPr>
          <w:sz w:val="25"/>
          <w:szCs w:val="25"/>
        </w:rPr>
      </w:pPr>
      <w:r>
        <w:rPr>
          <w:sz w:val="25"/>
          <w:szCs w:val="25"/>
        </w:rPr>
        <w:t xml:space="preserve">ИСПОЛНИТЕЛЬ обязуется оказать услуги по настоящему договору с даты подписания настоящего договора Сторонами по</w:t>
      </w:r>
      <w:r>
        <w:rPr>
          <w:color w:val="ff0000"/>
          <w:sz w:val="25"/>
          <w:szCs w:val="25"/>
        </w:rPr>
        <w:t xml:space="preserve"> </w:t>
      </w:r>
      <w:r>
        <w:rPr>
          <w:sz w:val="25"/>
          <w:szCs w:val="25"/>
        </w:rPr>
        <w:t xml:space="preserve">31.10</w:t>
      </w:r>
      <w:r>
        <w:rPr>
          <w:sz w:val="25"/>
          <w:szCs w:val="25"/>
        </w:rPr>
        <w:t xml:space="preserve">.20</w:t>
      </w:r>
      <w:r>
        <w:rPr>
          <w:sz w:val="25"/>
          <w:szCs w:val="25"/>
        </w:rPr>
        <w:t xml:space="preserve">2</w:t>
      </w:r>
      <w:r>
        <w:rPr>
          <w:sz w:val="25"/>
          <w:szCs w:val="25"/>
        </w:rPr>
        <w:t xml:space="preserve">6</w:t>
      </w:r>
      <w:r>
        <w:rPr>
          <w:sz w:val="25"/>
          <w:szCs w:val="25"/>
        </w:rPr>
        <w:t xml:space="preserve"> года.</w:t>
      </w:r>
      <w:r>
        <w:rPr>
          <w:sz w:val="25"/>
          <w:szCs w:val="25"/>
        </w:rPr>
      </w:r>
      <w:r>
        <w:rPr>
          <w:sz w:val="25"/>
          <w:szCs w:val="25"/>
        </w:rPr>
      </w:r>
    </w:p>
    <w:p>
      <w:pPr>
        <w:pStyle w:val="878"/>
        <w:numPr>
          <w:ilvl w:val="0"/>
          <w:numId w:val="1"/>
        </w:numPr>
        <w:ind w:left="357" w:hanging="357"/>
        <w:jc w:val="center"/>
        <w:keepNext/>
        <w:spacing w:before="200" w:after="20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ОБЯЗАННОСТИ СТОРОН</w:t>
      </w:r>
      <w:r>
        <w:rPr>
          <w:b/>
          <w:bCs/>
          <w:sz w:val="24"/>
          <w:szCs w:val="24"/>
        </w:rPr>
      </w:r>
      <w:r>
        <w:rPr>
          <w:b/>
          <w:bCs/>
          <w:sz w:val="24"/>
          <w:szCs w:val="24"/>
        </w:rPr>
      </w:r>
    </w:p>
    <w:p>
      <w:pPr>
        <w:pStyle w:val="878"/>
        <w:numPr>
          <w:ilvl w:val="1"/>
          <w:numId w:val="1"/>
        </w:numPr>
        <w:ind w:left="567" w:hanging="567"/>
        <w:jc w:val="both"/>
        <w:tabs>
          <w:tab w:val="clear" w:pos="480" w:leader="none"/>
        </w:tabs>
        <w:rPr>
          <w:sz w:val="25"/>
          <w:szCs w:val="25"/>
        </w:rPr>
      </w:pPr>
      <w:r>
        <w:rPr>
          <w:sz w:val="25"/>
          <w:szCs w:val="25"/>
        </w:rPr>
        <w:t xml:space="preserve">ИСПОЛНИТЕЛЬ обязуется оказать услуги по:</w:t>
      </w:r>
      <w:r>
        <w:rPr>
          <w:sz w:val="25"/>
          <w:szCs w:val="25"/>
        </w:rPr>
      </w:r>
      <w:r>
        <w:rPr>
          <w:sz w:val="25"/>
          <w:szCs w:val="25"/>
        </w:rPr>
      </w:r>
    </w:p>
    <w:p>
      <w:pPr>
        <w:pStyle w:val="878"/>
        <w:numPr>
          <w:ilvl w:val="2"/>
          <w:numId w:val="1"/>
        </w:numPr>
        <w:ind w:left="0" w:firstLine="0"/>
        <w:jc w:val="both"/>
        <w:tabs>
          <w:tab w:val="clear" w:pos="720" w:leader="none"/>
        </w:tabs>
        <w:rPr>
          <w:sz w:val="25"/>
          <w:szCs w:val="25"/>
        </w:rPr>
      </w:pPr>
      <w:r>
        <w:rPr>
          <w:sz w:val="25"/>
          <w:szCs w:val="25"/>
        </w:rPr>
        <w:t xml:space="preserve">Разработке проекта «Руководств</w:t>
      </w:r>
      <w:r>
        <w:rPr>
          <w:sz w:val="25"/>
          <w:szCs w:val="25"/>
        </w:rPr>
        <w:t xml:space="preserve">о</w:t>
      </w:r>
      <w:r>
        <w:rPr>
          <w:sz w:val="25"/>
          <w:szCs w:val="25"/>
        </w:rPr>
        <w:t xml:space="preserve"> по </w:t>
      </w:r>
      <w:r>
        <w:rPr>
          <w:sz w:val="25"/>
          <w:szCs w:val="25"/>
        </w:rPr>
        <w:t xml:space="preserve">технической</w:t>
      </w:r>
      <w:r>
        <w:rPr>
          <w:sz w:val="25"/>
          <w:szCs w:val="25"/>
        </w:rPr>
        <w:t xml:space="preserve"> </w:t>
      </w:r>
      <w:r>
        <w:rPr>
          <w:sz w:val="25"/>
          <w:szCs w:val="25"/>
        </w:rPr>
        <w:t xml:space="preserve">защите информации» (далее – Руководство) (Приложение № 1 к Договору), являющейся неотъемлемой частью Договора.</w:t>
      </w:r>
      <w:r>
        <w:rPr>
          <w:sz w:val="25"/>
          <w:szCs w:val="25"/>
        </w:rPr>
      </w:r>
      <w:r>
        <w:rPr>
          <w:sz w:val="25"/>
          <w:szCs w:val="25"/>
        </w:rPr>
      </w:r>
    </w:p>
    <w:p>
      <w:pPr>
        <w:pStyle w:val="869"/>
        <w:numPr>
          <w:ilvl w:val="1"/>
          <w:numId w:val="1"/>
        </w:numPr>
        <w:ind w:left="0" w:firstLine="0"/>
        <w:jc w:val="both"/>
        <w:tabs>
          <w:tab w:val="num" w:pos="0" w:leader="none"/>
          <w:tab w:val="clear" w:pos="480" w:leader="none"/>
        </w:tabs>
        <w:rPr>
          <w:sz w:val="25"/>
          <w:szCs w:val="25"/>
        </w:rPr>
      </w:pPr>
      <w:r>
        <w:rPr>
          <w:sz w:val="25"/>
          <w:szCs w:val="25"/>
        </w:rPr>
        <w:t xml:space="preserve">Услуги по настоящему договору выполняются ИСПОЛНИТЕЛЕМ на основании Лицензии на осуществ</w:t>
      </w:r>
      <w:r>
        <w:rPr>
          <w:sz w:val="25"/>
          <w:szCs w:val="25"/>
        </w:rPr>
        <w:t xml:space="preserve">ление мероприятий и (или) оказание услуг в области защиты государственной тайны (в части технической защиты информации) от 26.01.2022 № 1085 в соответствии с требованиями законодательных актов, нормативно-методических и руководящих документов ФСТЭК России.</w:t>
      </w:r>
      <w:r>
        <w:rPr>
          <w:sz w:val="25"/>
          <w:szCs w:val="25"/>
        </w:rPr>
      </w:r>
      <w:r>
        <w:rPr>
          <w:sz w:val="25"/>
          <w:szCs w:val="25"/>
        </w:rPr>
      </w:r>
    </w:p>
    <w:p>
      <w:pPr>
        <w:pStyle w:val="878"/>
        <w:numPr>
          <w:ilvl w:val="1"/>
          <w:numId w:val="1"/>
        </w:numPr>
        <w:ind w:left="0" w:firstLine="0"/>
        <w:jc w:val="both"/>
        <w:tabs>
          <w:tab w:val="clear" w:pos="480" w:leader="none"/>
        </w:tabs>
        <w:rPr>
          <w:sz w:val="25"/>
          <w:szCs w:val="25"/>
        </w:rPr>
      </w:pPr>
      <w:r>
        <w:rPr>
          <w:spacing w:val="-6"/>
          <w:sz w:val="25"/>
          <w:szCs w:val="25"/>
        </w:rPr>
        <w:t xml:space="preserve">ИСПОЛНИТЕЛЬ обязуется обеспечить сохранность сведений, составляющих государс</w:t>
      </w:r>
      <w:r>
        <w:rPr>
          <w:spacing w:val="-6"/>
          <w:sz w:val="25"/>
          <w:szCs w:val="25"/>
        </w:rPr>
        <w:t xml:space="preserve">т</w:t>
      </w:r>
      <w:r>
        <w:rPr>
          <w:spacing w:val="-6"/>
          <w:sz w:val="25"/>
          <w:szCs w:val="25"/>
        </w:rPr>
        <w:t xml:space="preserve">венную тайну, как в процессе оказания услуг, так и по их завершении в соответствии с Закон</w:t>
      </w:r>
      <w:r>
        <w:rPr>
          <w:spacing w:val="-6"/>
          <w:sz w:val="25"/>
          <w:szCs w:val="25"/>
        </w:rPr>
        <w:t xml:space="preserve">ом РФ от 21.07.1993   № 5485-1 «</w:t>
      </w:r>
      <w:r>
        <w:rPr>
          <w:spacing w:val="-6"/>
          <w:sz w:val="25"/>
          <w:szCs w:val="25"/>
        </w:rPr>
        <w:t xml:space="preserve">О государс</w:t>
      </w:r>
      <w:r>
        <w:rPr>
          <w:spacing w:val="-6"/>
          <w:sz w:val="25"/>
          <w:szCs w:val="25"/>
        </w:rPr>
        <w:t xml:space="preserve">т</w:t>
      </w:r>
      <w:r>
        <w:rPr>
          <w:spacing w:val="-6"/>
          <w:sz w:val="25"/>
          <w:szCs w:val="25"/>
        </w:rPr>
        <w:t xml:space="preserve">венной тайне»</w:t>
      </w:r>
      <w:r>
        <w:rPr>
          <w:spacing w:val="-6"/>
          <w:sz w:val="25"/>
          <w:szCs w:val="25"/>
        </w:rPr>
        <w:t xml:space="preserve"> (статьи: 17, 26)</w:t>
      </w:r>
      <w:r>
        <w:rPr>
          <w:spacing w:val="-6"/>
          <w:sz w:val="25"/>
          <w:szCs w:val="25"/>
        </w:rPr>
        <w:t xml:space="preserve"> </w:t>
      </w:r>
      <w:r>
        <w:rPr>
          <w:rStyle w:val="895"/>
          <w:rFonts w:eastAsia="Calibri"/>
          <w:sz w:val="25"/>
          <w:szCs w:val="25"/>
        </w:rPr>
        <w:t xml:space="preserve">в редакции с изменениями и дополнениями, действующими на момент заключения договора</w:t>
      </w:r>
      <w:r>
        <w:rPr>
          <w:sz w:val="25"/>
          <w:szCs w:val="25"/>
        </w:rPr>
        <w:t xml:space="preserve">.</w:t>
      </w:r>
      <w:r>
        <w:rPr>
          <w:sz w:val="25"/>
          <w:szCs w:val="25"/>
        </w:rPr>
      </w:r>
      <w:r>
        <w:rPr>
          <w:sz w:val="25"/>
          <w:szCs w:val="25"/>
        </w:rPr>
      </w:r>
    </w:p>
    <w:p>
      <w:pPr>
        <w:pStyle w:val="878"/>
        <w:numPr>
          <w:ilvl w:val="1"/>
          <w:numId w:val="1"/>
        </w:numPr>
        <w:ind w:left="0" w:firstLine="0"/>
        <w:jc w:val="both"/>
        <w:tabs>
          <w:tab w:val="clear" w:pos="480" w:leader="none"/>
        </w:tabs>
        <w:rPr>
          <w:sz w:val="25"/>
          <w:szCs w:val="25"/>
        </w:rPr>
      </w:pPr>
      <w:r>
        <w:rPr>
          <w:sz w:val="25"/>
          <w:szCs w:val="25"/>
        </w:rPr>
        <w:t xml:space="preserve">ИСПО</w:t>
      </w:r>
      <w:r>
        <w:rPr>
          <w:sz w:val="25"/>
          <w:szCs w:val="25"/>
        </w:rPr>
        <w:t xml:space="preserve">ЛНИТЕЛЬ вправе </w:t>
      </w:r>
      <w:r>
        <w:rPr>
          <w:sz w:val="25"/>
          <w:szCs w:val="25"/>
        </w:rPr>
        <w:t xml:space="preserve">привлекать соисполнителей, имеющи</w:t>
      </w:r>
      <w:r>
        <w:rPr>
          <w:sz w:val="25"/>
          <w:szCs w:val="25"/>
        </w:rPr>
        <w:t xml:space="preserve">х соответствующие лицензии, для</w:t>
      </w:r>
      <w:r>
        <w:rPr>
          <w:sz w:val="25"/>
          <w:szCs w:val="25"/>
        </w:rPr>
        <w:t xml:space="preserve"> оказания отдельных услуг без изменения ц</w:t>
      </w:r>
      <w:r>
        <w:rPr>
          <w:sz w:val="25"/>
          <w:szCs w:val="25"/>
        </w:rPr>
        <w:t xml:space="preserve">ены</w:t>
      </w:r>
      <w:r>
        <w:rPr>
          <w:sz w:val="25"/>
          <w:szCs w:val="25"/>
        </w:rPr>
        <w:t xml:space="preserve"> Догов</w:t>
      </w:r>
      <w:r>
        <w:rPr>
          <w:sz w:val="25"/>
          <w:szCs w:val="25"/>
        </w:rPr>
        <w:t xml:space="preserve">о</w:t>
      </w:r>
      <w:r>
        <w:rPr>
          <w:sz w:val="25"/>
          <w:szCs w:val="25"/>
        </w:rPr>
        <w:t xml:space="preserve">ра и сроков оказания услуг. Ответственность за действия третьих лиц (соисполнителей) перед ЗА</w:t>
      </w:r>
      <w:r>
        <w:rPr>
          <w:sz w:val="25"/>
          <w:szCs w:val="25"/>
        </w:rPr>
        <w:t xml:space="preserve">КАЗЧИКОМ по настоящему Договору</w:t>
      </w:r>
      <w:r>
        <w:rPr>
          <w:sz w:val="25"/>
          <w:szCs w:val="25"/>
        </w:rPr>
        <w:t xml:space="preserve"> несет ИСПОЛНИТЕЛЬ.</w:t>
      </w:r>
      <w:r>
        <w:rPr>
          <w:sz w:val="25"/>
          <w:szCs w:val="25"/>
        </w:rPr>
      </w:r>
      <w:r>
        <w:rPr>
          <w:sz w:val="25"/>
          <w:szCs w:val="25"/>
        </w:rPr>
      </w:r>
    </w:p>
    <w:p>
      <w:pPr>
        <w:pStyle w:val="878"/>
        <w:numPr>
          <w:ilvl w:val="1"/>
          <w:numId w:val="1"/>
        </w:numPr>
        <w:ind w:left="0" w:firstLine="0"/>
        <w:jc w:val="both"/>
        <w:keepNext/>
        <w:tabs>
          <w:tab w:val="clear" w:pos="480" w:leader="none"/>
        </w:tabs>
        <w:rPr>
          <w:sz w:val="25"/>
          <w:szCs w:val="25"/>
        </w:rPr>
      </w:pPr>
      <w:r>
        <w:rPr>
          <w:sz w:val="25"/>
          <w:szCs w:val="25"/>
        </w:rPr>
        <w:t xml:space="preserve">ЗАКАЗЧИК обязуется:</w:t>
      </w:r>
      <w:r>
        <w:rPr>
          <w:sz w:val="25"/>
          <w:szCs w:val="25"/>
        </w:rPr>
      </w:r>
      <w:r>
        <w:rPr>
          <w:sz w:val="25"/>
          <w:szCs w:val="25"/>
        </w:rPr>
      </w:r>
    </w:p>
    <w:p>
      <w:pPr>
        <w:pStyle w:val="878"/>
        <w:numPr>
          <w:ilvl w:val="2"/>
          <w:numId w:val="1"/>
        </w:numPr>
        <w:ind w:left="0" w:firstLine="0"/>
        <w:jc w:val="both"/>
        <w:rPr>
          <w:sz w:val="25"/>
          <w:szCs w:val="25"/>
        </w:rPr>
      </w:pPr>
      <w:r>
        <w:rPr>
          <w:sz w:val="25"/>
          <w:szCs w:val="25"/>
        </w:rPr>
        <w:t xml:space="preserve">Оплатить ИСПОЛНИТЕЛЮ стоимость услуг на условиях и в порядке, пред</w:t>
      </w:r>
      <w:r>
        <w:rPr>
          <w:sz w:val="25"/>
          <w:szCs w:val="25"/>
        </w:rPr>
        <w:t xml:space="preserve">у</w:t>
      </w:r>
      <w:r>
        <w:rPr>
          <w:sz w:val="25"/>
          <w:szCs w:val="25"/>
        </w:rPr>
        <w:t xml:space="preserve">смотренном настоящим Договором.</w:t>
      </w:r>
      <w:r>
        <w:rPr>
          <w:sz w:val="25"/>
          <w:szCs w:val="25"/>
        </w:rPr>
      </w:r>
      <w:r>
        <w:rPr>
          <w:sz w:val="25"/>
          <w:szCs w:val="25"/>
        </w:rPr>
      </w:r>
    </w:p>
    <w:p>
      <w:pPr>
        <w:pStyle w:val="878"/>
        <w:numPr>
          <w:ilvl w:val="2"/>
          <w:numId w:val="1"/>
        </w:numPr>
        <w:ind w:left="0" w:firstLine="0"/>
        <w:jc w:val="both"/>
        <w:rPr>
          <w:sz w:val="25"/>
          <w:szCs w:val="25"/>
        </w:rPr>
      </w:pPr>
      <w:r>
        <w:rPr>
          <w:sz w:val="25"/>
          <w:szCs w:val="25"/>
        </w:rPr>
        <w:t xml:space="preserve">Предоставить ИСПОЛНИТЕЛЮ, в соответствии с Предписанием на оказания услуг  (</w:t>
      </w:r>
      <w:r>
        <w:rPr>
          <w:rFonts w:eastAsia="Calibri"/>
          <w:color w:val="000000"/>
          <w:sz w:val="25"/>
          <w:szCs w:val="25"/>
          <w:lang w:bidi="ru-RU"/>
        </w:rPr>
        <w:t xml:space="preserve">«Правила допуска должностных лиц и граждан Российской Федерации к государственной тайне», утвержденные Постановлением Правительства Российской Федерации от 07.02.2024 № 132</w:t>
      </w:r>
      <w:r>
        <w:rPr>
          <w:rFonts w:eastAsia="Calibri"/>
          <w:color w:val="000000"/>
          <w:sz w:val="25"/>
          <w:szCs w:val="25"/>
          <w:lang w:bidi="ru-RU"/>
        </w:rPr>
        <w:t xml:space="preserve">, форма 5</w:t>
      </w:r>
      <w:r>
        <w:rPr>
          <w:sz w:val="25"/>
          <w:szCs w:val="25"/>
        </w:rPr>
        <w:t xml:space="preserve">), всю необходимую техническую и эксплуатационную документацию, доступ к проверяемым объектам, вр</w:t>
      </w:r>
      <w:r>
        <w:rPr>
          <w:sz w:val="25"/>
          <w:szCs w:val="25"/>
        </w:rPr>
        <w:t xml:space="preserve">е</w:t>
      </w:r>
      <w:r>
        <w:rPr>
          <w:sz w:val="25"/>
          <w:szCs w:val="25"/>
        </w:rPr>
        <w:t xml:space="preserve">мя для оказания услуг, необходимые полномочия по дос</w:t>
      </w:r>
      <w:r>
        <w:rPr>
          <w:sz w:val="25"/>
          <w:szCs w:val="25"/>
        </w:rPr>
        <w:t xml:space="preserve">тупу в помещения  ЗАКАЗЧИКА </w:t>
      </w:r>
      <w:r>
        <w:rPr>
          <w:sz w:val="25"/>
          <w:szCs w:val="25"/>
        </w:rPr>
        <w:t xml:space="preserve">с понедельника по пятницу с 09:00 до 13:00 или с 14:00 до 16:00</w:t>
      </w:r>
      <w:r>
        <w:rPr>
          <w:sz w:val="25"/>
          <w:szCs w:val="25"/>
        </w:rPr>
        <w:t xml:space="preserve">, а также помощь специалистов ЗАКАЗЧИКА в получении и уточнении исходных данных.</w:t>
      </w:r>
      <w:r>
        <w:rPr>
          <w:sz w:val="25"/>
          <w:szCs w:val="25"/>
        </w:rPr>
      </w:r>
      <w:r>
        <w:rPr>
          <w:sz w:val="25"/>
          <w:szCs w:val="25"/>
        </w:rPr>
      </w:r>
    </w:p>
    <w:p>
      <w:pPr>
        <w:pStyle w:val="878"/>
        <w:numPr>
          <w:ilvl w:val="2"/>
          <w:numId w:val="1"/>
        </w:numPr>
        <w:ind w:left="0" w:firstLine="0"/>
        <w:jc w:val="both"/>
        <w:rPr>
          <w:sz w:val="25"/>
          <w:szCs w:val="25"/>
        </w:rPr>
      </w:pPr>
      <w:r>
        <w:rPr>
          <w:sz w:val="25"/>
          <w:szCs w:val="25"/>
        </w:rPr>
        <w:t xml:space="preserve">Принять выполненные ИСПОЛНИТЕЛЕМ услуги в соответствии с настоящим Догов</w:t>
      </w:r>
      <w:r>
        <w:rPr>
          <w:sz w:val="25"/>
          <w:szCs w:val="25"/>
        </w:rPr>
        <w:t xml:space="preserve">о</w:t>
      </w:r>
      <w:r>
        <w:rPr>
          <w:sz w:val="25"/>
          <w:szCs w:val="25"/>
        </w:rPr>
        <w:t xml:space="preserve">ром.</w:t>
      </w:r>
      <w:r>
        <w:rPr>
          <w:sz w:val="25"/>
          <w:szCs w:val="25"/>
        </w:rPr>
      </w:r>
      <w:r>
        <w:rPr>
          <w:sz w:val="25"/>
          <w:szCs w:val="25"/>
        </w:rPr>
      </w:r>
    </w:p>
    <w:p>
      <w:pPr>
        <w:pStyle w:val="878"/>
        <w:numPr>
          <w:ilvl w:val="2"/>
          <w:numId w:val="1"/>
        </w:numPr>
        <w:ind w:left="0" w:firstLine="0"/>
        <w:jc w:val="both"/>
        <w:rPr>
          <w:sz w:val="25"/>
          <w:szCs w:val="25"/>
        </w:rPr>
      </w:pPr>
      <w:r>
        <w:rPr>
          <w:sz w:val="25"/>
          <w:szCs w:val="25"/>
        </w:rPr>
        <w:t xml:space="preserve">Назначить ответственное лицо от ЗАКАЗЧИКА, выполняющего функцию надзора и контроля над действиями ИСПОЛНИТЕЛЯ.</w:t>
      </w:r>
      <w:r>
        <w:rPr>
          <w:sz w:val="25"/>
          <w:szCs w:val="25"/>
        </w:rPr>
      </w:r>
      <w:r>
        <w:rPr>
          <w:sz w:val="25"/>
          <w:szCs w:val="25"/>
        </w:rPr>
      </w:r>
    </w:p>
    <w:p>
      <w:pPr>
        <w:pStyle w:val="878"/>
        <w:numPr>
          <w:ilvl w:val="0"/>
          <w:numId w:val="1"/>
        </w:numPr>
        <w:ind w:left="357" w:hanging="357"/>
        <w:jc w:val="center"/>
        <w:keepNext/>
        <w:spacing w:before="240" w:after="24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ПОРЯДОК СДАЧИ И ПРИЕМКИ УСЛУГ</w:t>
      </w:r>
      <w:r>
        <w:rPr>
          <w:b/>
          <w:bCs/>
          <w:sz w:val="24"/>
          <w:szCs w:val="24"/>
        </w:rPr>
      </w:r>
      <w:r>
        <w:rPr>
          <w:b/>
          <w:bCs/>
          <w:sz w:val="24"/>
          <w:szCs w:val="24"/>
        </w:rPr>
      </w:r>
    </w:p>
    <w:p>
      <w:pPr>
        <w:pStyle w:val="878"/>
        <w:numPr>
          <w:ilvl w:val="1"/>
          <w:numId w:val="1"/>
        </w:numPr>
        <w:ind w:left="0" w:firstLine="0"/>
        <w:jc w:val="both"/>
        <w:tabs>
          <w:tab w:val="clear" w:pos="480" w:leader="none"/>
        </w:tabs>
        <w:rPr>
          <w:sz w:val="25"/>
          <w:szCs w:val="25"/>
        </w:rPr>
      </w:pPr>
      <w:r>
        <w:rPr>
          <w:sz w:val="25"/>
          <w:szCs w:val="25"/>
        </w:rPr>
        <w:t xml:space="preserve">При завершении оказания услуг, ИСПОЛНИТЕЛЬ уведомляет ЗАКАЗЧИКА об их завершении путем предоставления проекта Руководства в электронном </w:t>
      </w:r>
      <w:r>
        <w:rPr>
          <w:sz w:val="25"/>
          <w:szCs w:val="25"/>
        </w:rPr>
        <w:t xml:space="preserve">виде</w:t>
      </w:r>
      <w:r>
        <w:rPr>
          <w:sz w:val="25"/>
          <w:szCs w:val="25"/>
        </w:rPr>
        <w:t xml:space="preserve"> </w:t>
      </w:r>
      <w:r>
        <w:rPr>
          <w:sz w:val="25"/>
          <w:szCs w:val="25"/>
        </w:rPr>
        <w:t xml:space="preserve">на оптическом диске</w:t>
      </w:r>
      <w:r>
        <w:rPr>
          <w:sz w:val="25"/>
          <w:szCs w:val="25"/>
        </w:rPr>
        <w:t xml:space="preserve"> </w:t>
      </w:r>
      <w:r>
        <w:rPr>
          <w:sz w:val="25"/>
          <w:szCs w:val="25"/>
        </w:rPr>
        <w:t xml:space="preserve">и акта оказанных услуг</w:t>
      </w:r>
      <w:r>
        <w:rPr>
          <w:sz w:val="25"/>
          <w:szCs w:val="25"/>
        </w:rPr>
        <w:t xml:space="preserve">.</w:t>
      </w:r>
      <w:r>
        <w:rPr>
          <w:sz w:val="25"/>
          <w:szCs w:val="25"/>
        </w:rPr>
      </w:r>
      <w:r>
        <w:rPr>
          <w:sz w:val="25"/>
          <w:szCs w:val="25"/>
        </w:rPr>
      </w:r>
    </w:p>
    <w:p>
      <w:pPr>
        <w:pStyle w:val="878"/>
        <w:numPr>
          <w:ilvl w:val="1"/>
          <w:numId w:val="1"/>
        </w:numPr>
        <w:ind w:left="0" w:firstLine="0"/>
        <w:jc w:val="both"/>
        <w:tabs>
          <w:tab w:val="clear" w:pos="480" w:leader="none"/>
        </w:tabs>
        <w:rPr>
          <w:sz w:val="25"/>
          <w:szCs w:val="25"/>
        </w:rPr>
      </w:pPr>
      <w:r>
        <w:rPr>
          <w:sz w:val="25"/>
          <w:szCs w:val="25"/>
        </w:rPr>
        <w:t xml:space="preserve">ЗАКАЗЧИК, в течение 3 (Трех) дней, с момента увед</w:t>
      </w:r>
      <w:r>
        <w:rPr>
          <w:sz w:val="25"/>
          <w:szCs w:val="25"/>
        </w:rPr>
        <w:t xml:space="preserve">омления, с участием представителя ИСПОЛНИТЕЛЯ, обязан осмотреть и принять оказанные услуги, а при обнаружении отступлений от договора, ухудшающий результат работы, или иных недостатков, немедленно заявить об этом ИСПОЛНИТЕЛЮ с оформлением акта выявленных н</w:t>
      </w:r>
      <w:r>
        <w:rPr>
          <w:sz w:val="25"/>
          <w:szCs w:val="25"/>
        </w:rPr>
        <w:t xml:space="preserve">е</w:t>
      </w:r>
      <w:r>
        <w:rPr>
          <w:sz w:val="25"/>
          <w:szCs w:val="25"/>
        </w:rPr>
        <w:t xml:space="preserve">достатков.</w:t>
      </w:r>
      <w:r>
        <w:rPr>
          <w:sz w:val="25"/>
          <w:szCs w:val="25"/>
        </w:rPr>
      </w:r>
      <w:r>
        <w:rPr>
          <w:sz w:val="25"/>
          <w:szCs w:val="25"/>
        </w:rPr>
      </w:r>
    </w:p>
    <w:p>
      <w:pPr>
        <w:pStyle w:val="878"/>
        <w:numPr>
          <w:ilvl w:val="1"/>
          <w:numId w:val="1"/>
        </w:numPr>
        <w:ind w:left="0" w:firstLine="0"/>
        <w:jc w:val="both"/>
        <w:tabs>
          <w:tab w:val="clear" w:pos="480" w:leader="none"/>
          <w:tab w:val="num" w:pos="567" w:leader="none"/>
        </w:tabs>
        <w:rPr>
          <w:sz w:val="25"/>
          <w:szCs w:val="25"/>
        </w:rPr>
      </w:pPr>
      <w:r>
        <w:rPr>
          <w:sz w:val="25"/>
          <w:szCs w:val="25"/>
        </w:rPr>
        <w:t xml:space="preserve">Оказание услуг считается осуществленным после подписания акта оказанных услуг обеими сторонами</w:t>
      </w:r>
      <w:r>
        <w:rPr>
          <w:sz w:val="25"/>
          <w:szCs w:val="25"/>
        </w:rPr>
        <w:t xml:space="preserve">.</w:t>
      </w:r>
      <w:r>
        <w:rPr>
          <w:sz w:val="25"/>
          <w:szCs w:val="25"/>
        </w:rPr>
      </w:r>
      <w:r>
        <w:rPr>
          <w:sz w:val="25"/>
          <w:szCs w:val="25"/>
        </w:rPr>
      </w:r>
    </w:p>
    <w:p>
      <w:pPr>
        <w:pStyle w:val="878"/>
        <w:numPr>
          <w:ilvl w:val="1"/>
          <w:numId w:val="1"/>
        </w:numPr>
        <w:ind w:left="0" w:firstLine="0"/>
        <w:jc w:val="both"/>
        <w:tabs>
          <w:tab w:val="clear" w:pos="480" w:leader="none"/>
          <w:tab w:val="num" w:pos="567" w:leader="none"/>
        </w:tabs>
        <w:rPr>
          <w:sz w:val="25"/>
          <w:szCs w:val="25"/>
        </w:rPr>
      </w:pPr>
      <w:r>
        <w:rPr>
          <w:sz w:val="25"/>
          <w:szCs w:val="25"/>
        </w:rPr>
        <w:t xml:space="preserve">Если Заказчик в установленные договором сроки не подписывает акт оказанных услуг и не представляет замечаний к качеству услуг, то услуги считаются оказанными надлежащим образом и подлежат оплате.</w:t>
      </w:r>
      <w:r>
        <w:rPr>
          <w:sz w:val="25"/>
          <w:szCs w:val="25"/>
        </w:rPr>
      </w:r>
      <w:r>
        <w:rPr>
          <w:sz w:val="25"/>
          <w:szCs w:val="25"/>
        </w:rPr>
      </w:r>
    </w:p>
    <w:p>
      <w:pPr>
        <w:pStyle w:val="878"/>
        <w:numPr>
          <w:ilvl w:val="0"/>
          <w:numId w:val="1"/>
        </w:numPr>
        <w:ind w:left="357" w:hanging="357"/>
        <w:jc w:val="center"/>
        <w:keepNext/>
        <w:spacing w:before="240" w:after="24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ПОРЯДОК </w:t>
      </w:r>
      <w:r>
        <w:rPr>
          <w:b/>
          <w:bCs/>
          <w:sz w:val="24"/>
          <w:szCs w:val="24"/>
        </w:rPr>
        <w:t xml:space="preserve">РАССМОТРЕНИЯ </w:t>
      </w:r>
      <w:r>
        <w:rPr>
          <w:b/>
          <w:bCs/>
          <w:sz w:val="24"/>
          <w:szCs w:val="24"/>
        </w:rPr>
        <w:t xml:space="preserve">СПОРОВ</w:t>
      </w:r>
      <w:r>
        <w:rPr>
          <w:b/>
          <w:bCs/>
          <w:sz w:val="24"/>
          <w:szCs w:val="24"/>
        </w:rPr>
      </w:r>
      <w:r>
        <w:rPr>
          <w:b/>
          <w:bCs/>
          <w:sz w:val="24"/>
          <w:szCs w:val="24"/>
        </w:rPr>
      </w:r>
    </w:p>
    <w:p>
      <w:pPr>
        <w:pStyle w:val="878"/>
        <w:numPr>
          <w:ilvl w:val="1"/>
          <w:numId w:val="1"/>
        </w:numPr>
        <w:ind w:left="0" w:firstLine="0"/>
        <w:jc w:val="both"/>
        <w:tabs>
          <w:tab w:val="clear" w:pos="480" w:leader="none"/>
        </w:tabs>
        <w:rPr>
          <w:sz w:val="25"/>
          <w:szCs w:val="25"/>
        </w:rPr>
      </w:pPr>
      <w:r>
        <w:rPr>
          <w:sz w:val="25"/>
          <w:szCs w:val="25"/>
        </w:rPr>
        <w:t xml:space="preserve">Споры и разногласия, которые </w:t>
      </w:r>
      <w:r>
        <w:rPr>
          <w:sz w:val="25"/>
          <w:szCs w:val="25"/>
        </w:rPr>
        <w:t xml:space="preserve">могут </w:t>
      </w:r>
      <w:r>
        <w:rPr>
          <w:sz w:val="25"/>
          <w:szCs w:val="25"/>
        </w:rPr>
        <w:t xml:space="preserve">возникнуть при исполнении настоящего Договора, будут по во</w:t>
      </w:r>
      <w:r>
        <w:rPr>
          <w:sz w:val="25"/>
          <w:szCs w:val="25"/>
        </w:rPr>
        <w:t xml:space="preserve">з</w:t>
      </w:r>
      <w:r>
        <w:rPr>
          <w:sz w:val="25"/>
          <w:szCs w:val="25"/>
        </w:rPr>
        <w:t xml:space="preserve">можности решаться путем переговоров между Сторонами.</w:t>
      </w:r>
      <w:r>
        <w:rPr>
          <w:sz w:val="25"/>
          <w:szCs w:val="25"/>
        </w:rPr>
      </w:r>
      <w:r>
        <w:rPr>
          <w:sz w:val="25"/>
          <w:szCs w:val="25"/>
        </w:rPr>
      </w:r>
    </w:p>
    <w:p>
      <w:pPr>
        <w:pStyle w:val="878"/>
        <w:numPr>
          <w:ilvl w:val="1"/>
          <w:numId w:val="1"/>
        </w:numPr>
        <w:ind w:left="0" w:firstLine="0"/>
        <w:jc w:val="both"/>
        <w:tabs>
          <w:tab w:val="clear" w:pos="480" w:leader="none"/>
        </w:tabs>
        <w:rPr>
          <w:sz w:val="25"/>
          <w:szCs w:val="25"/>
        </w:rPr>
      </w:pPr>
      <w:r>
        <w:rPr>
          <w:sz w:val="25"/>
          <w:szCs w:val="25"/>
        </w:rPr>
        <w:t xml:space="preserve">В случае невозможности разрешения споров путем переговоров Стороны после реализации пред</w:t>
      </w:r>
      <w:r>
        <w:rPr>
          <w:sz w:val="25"/>
          <w:szCs w:val="25"/>
        </w:rPr>
        <w:t xml:space="preserve">у</w:t>
      </w:r>
      <w:r>
        <w:rPr>
          <w:sz w:val="25"/>
          <w:szCs w:val="25"/>
        </w:rPr>
        <w:t xml:space="preserve">смотренной законодательством процедуры </w:t>
      </w:r>
      <w:r>
        <w:rPr>
          <w:sz w:val="25"/>
          <w:szCs w:val="25"/>
        </w:rPr>
        <w:t xml:space="preserve">досудебного</w:t>
      </w:r>
      <w:r>
        <w:rPr>
          <w:sz w:val="25"/>
          <w:szCs w:val="25"/>
        </w:rPr>
        <w:t xml:space="preserve"> урегулирования разногласий перед</w:t>
      </w:r>
      <w:r>
        <w:rPr>
          <w:sz w:val="25"/>
          <w:szCs w:val="25"/>
        </w:rPr>
        <w:t xml:space="preserve">а</w:t>
      </w:r>
      <w:r>
        <w:rPr>
          <w:sz w:val="25"/>
          <w:szCs w:val="25"/>
        </w:rPr>
        <w:t xml:space="preserve">ют их на рассмотрение в Арбитражный суд</w:t>
      </w:r>
      <w:r>
        <w:rPr>
          <w:sz w:val="25"/>
          <w:szCs w:val="25"/>
        </w:rPr>
        <w:t xml:space="preserve"> Свердловской области</w:t>
      </w:r>
      <w:r>
        <w:rPr>
          <w:sz w:val="25"/>
          <w:szCs w:val="25"/>
        </w:rPr>
        <w:t xml:space="preserve">.</w:t>
      </w:r>
      <w:r>
        <w:rPr>
          <w:sz w:val="25"/>
          <w:szCs w:val="25"/>
        </w:rPr>
      </w:r>
      <w:r>
        <w:rPr>
          <w:sz w:val="25"/>
          <w:szCs w:val="25"/>
        </w:rPr>
      </w:r>
    </w:p>
    <w:p>
      <w:pPr>
        <w:pStyle w:val="878"/>
        <w:numPr>
          <w:ilvl w:val="0"/>
          <w:numId w:val="1"/>
        </w:numPr>
        <w:ind w:left="357" w:hanging="357"/>
        <w:jc w:val="center"/>
        <w:keepNext/>
        <w:spacing w:before="240" w:after="24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ПОРЯДОК ВНЕСЕНИЯ ИЗМЕНЕНИЙ, ДОПОЛНЕНИЙ В ДОГОВОР И ЕГО РАСТОРЖЕНИЕ</w:t>
      </w:r>
      <w:r>
        <w:rPr>
          <w:b/>
          <w:bCs/>
          <w:sz w:val="24"/>
          <w:szCs w:val="24"/>
        </w:rPr>
      </w:r>
      <w:r>
        <w:rPr>
          <w:b/>
          <w:bCs/>
          <w:sz w:val="24"/>
          <w:szCs w:val="24"/>
        </w:rPr>
      </w:r>
    </w:p>
    <w:p>
      <w:pPr>
        <w:pStyle w:val="878"/>
        <w:numPr>
          <w:ilvl w:val="1"/>
          <w:numId w:val="1"/>
        </w:numPr>
        <w:ind w:left="0" w:firstLine="0"/>
        <w:jc w:val="both"/>
        <w:tabs>
          <w:tab w:val="clear" w:pos="480" w:leader="none"/>
        </w:tabs>
        <w:rPr>
          <w:sz w:val="25"/>
          <w:szCs w:val="25"/>
        </w:rPr>
      </w:pPr>
      <w:r>
        <w:rPr>
          <w:sz w:val="25"/>
          <w:szCs w:val="25"/>
        </w:rPr>
        <w:t xml:space="preserve">В настоящий Договор могут быть внесены изменения и дополнения, которые оформляются допо</w:t>
      </w:r>
      <w:r>
        <w:rPr>
          <w:sz w:val="25"/>
          <w:szCs w:val="25"/>
        </w:rPr>
        <w:t xml:space="preserve">л</w:t>
      </w:r>
      <w:r>
        <w:rPr>
          <w:sz w:val="25"/>
          <w:szCs w:val="25"/>
        </w:rPr>
        <w:t xml:space="preserve">нительными соглашениями к настоящему Договору.</w:t>
      </w:r>
      <w:r>
        <w:rPr>
          <w:sz w:val="25"/>
          <w:szCs w:val="25"/>
        </w:rPr>
      </w:r>
      <w:r>
        <w:rPr>
          <w:sz w:val="25"/>
          <w:szCs w:val="25"/>
        </w:rPr>
      </w:r>
    </w:p>
    <w:p>
      <w:pPr>
        <w:pStyle w:val="878"/>
        <w:numPr>
          <w:ilvl w:val="1"/>
          <w:numId w:val="1"/>
        </w:numPr>
        <w:ind w:left="0" w:firstLine="0"/>
        <w:jc w:val="both"/>
        <w:tabs>
          <w:tab w:val="clear" w:pos="480" w:leader="none"/>
        </w:tabs>
        <w:rPr>
          <w:sz w:val="25"/>
          <w:szCs w:val="25"/>
        </w:rPr>
      </w:pPr>
      <w:r>
        <w:rPr>
          <w:sz w:val="25"/>
          <w:szCs w:val="25"/>
        </w:rPr>
        <w:t xml:space="preserve">Настоящий Договор может быть, досрочно расторгнут по основаниям, предусмотренным законод</w:t>
      </w:r>
      <w:r>
        <w:rPr>
          <w:sz w:val="25"/>
          <w:szCs w:val="25"/>
        </w:rPr>
        <w:t xml:space="preserve">а</w:t>
      </w:r>
      <w:r>
        <w:rPr>
          <w:sz w:val="25"/>
          <w:szCs w:val="25"/>
        </w:rPr>
        <w:t xml:space="preserve">тельством Российской Федерации и настоящим Договором.</w:t>
      </w:r>
      <w:r>
        <w:rPr>
          <w:sz w:val="25"/>
          <w:szCs w:val="25"/>
        </w:rPr>
      </w:r>
      <w:r>
        <w:rPr>
          <w:sz w:val="25"/>
          <w:szCs w:val="25"/>
        </w:rPr>
      </w:r>
    </w:p>
    <w:p>
      <w:pPr>
        <w:pStyle w:val="878"/>
        <w:numPr>
          <w:ilvl w:val="1"/>
          <w:numId w:val="1"/>
        </w:numPr>
        <w:ind w:left="0" w:firstLine="0"/>
        <w:jc w:val="both"/>
        <w:tabs>
          <w:tab w:val="clear" w:pos="480" w:leader="none"/>
        </w:tabs>
        <w:rPr>
          <w:sz w:val="25"/>
          <w:szCs w:val="25"/>
        </w:rPr>
      </w:pPr>
      <w:r>
        <w:rPr>
          <w:sz w:val="25"/>
          <w:szCs w:val="25"/>
        </w:rPr>
        <w:t xml:space="preserve">ЗАКАЗЧИК, решивший расторгнуть настоящий Договор, должен направить письменное уведомл</w:t>
      </w:r>
      <w:r>
        <w:rPr>
          <w:sz w:val="25"/>
          <w:szCs w:val="25"/>
        </w:rPr>
        <w:t xml:space="preserve">е</w:t>
      </w:r>
      <w:r>
        <w:rPr>
          <w:sz w:val="25"/>
          <w:szCs w:val="25"/>
        </w:rPr>
        <w:t xml:space="preserve">ние о намерении расторгнуть настоящий Договор ИСПОЛНИТЕЛЮ не позднее 30 (Тридцати) к</w:t>
      </w:r>
      <w:r>
        <w:rPr>
          <w:sz w:val="25"/>
          <w:szCs w:val="25"/>
        </w:rPr>
        <w:t xml:space="preserve">а</w:t>
      </w:r>
      <w:r>
        <w:rPr>
          <w:sz w:val="25"/>
          <w:szCs w:val="25"/>
        </w:rPr>
        <w:t xml:space="preserve">лендарных дней до предполагаемой даты расторжения Договора. </w:t>
      </w:r>
      <w:r>
        <w:rPr>
          <w:sz w:val="25"/>
          <w:szCs w:val="25"/>
        </w:rPr>
        <w:t xml:space="preserve">Настоящий Договор считается расторгнутым с даты, указанной в уведомлении о расторжении. При этом ЗАКАЗЧИК обязан оплатить фактические затрата ИСПОЛНИТЕЛЯ по настоящему Договору, произведенные до даты получения ИСПОЛНИТЕЛЕМ уведомления о расторжении настоящ</w:t>
      </w:r>
      <w:r>
        <w:rPr>
          <w:sz w:val="25"/>
          <w:szCs w:val="25"/>
        </w:rPr>
        <w:t xml:space="preserve">е</w:t>
      </w:r>
      <w:r>
        <w:rPr>
          <w:sz w:val="25"/>
          <w:szCs w:val="25"/>
        </w:rPr>
        <w:t xml:space="preserve">го Договора.</w:t>
      </w:r>
      <w:r>
        <w:rPr>
          <w:sz w:val="25"/>
          <w:szCs w:val="25"/>
        </w:rPr>
      </w:r>
      <w:r>
        <w:rPr>
          <w:sz w:val="25"/>
          <w:szCs w:val="25"/>
        </w:rPr>
      </w:r>
    </w:p>
    <w:p>
      <w:pPr>
        <w:pStyle w:val="878"/>
        <w:numPr>
          <w:ilvl w:val="0"/>
          <w:numId w:val="1"/>
        </w:numPr>
        <w:ind w:left="357" w:hanging="357"/>
        <w:jc w:val="center"/>
        <w:spacing w:before="240" w:after="24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КОНФИДЕНЦИАЛЬНОСТЬ</w:t>
      </w:r>
      <w:r>
        <w:rPr>
          <w:b/>
          <w:bCs/>
          <w:sz w:val="24"/>
          <w:szCs w:val="24"/>
        </w:rPr>
      </w:r>
      <w:r>
        <w:rPr>
          <w:b/>
          <w:bCs/>
          <w:sz w:val="24"/>
          <w:szCs w:val="24"/>
        </w:rPr>
      </w:r>
    </w:p>
    <w:p>
      <w:pPr>
        <w:pStyle w:val="878"/>
        <w:numPr>
          <w:ilvl w:val="1"/>
          <w:numId w:val="1"/>
        </w:numPr>
        <w:ind w:left="0" w:firstLine="0"/>
        <w:jc w:val="both"/>
        <w:tabs>
          <w:tab w:val="clear" w:pos="480" w:leader="none"/>
        </w:tabs>
        <w:rPr>
          <w:sz w:val="25"/>
          <w:szCs w:val="25"/>
        </w:rPr>
      </w:pPr>
      <w:r>
        <w:rPr>
          <w:sz w:val="25"/>
          <w:szCs w:val="25"/>
        </w:rPr>
        <w:t xml:space="preserve">Стороны обязаны сохранять конфиденциальность информации полученной в ходе исполнения н</w:t>
      </w:r>
      <w:r>
        <w:rPr>
          <w:sz w:val="25"/>
          <w:szCs w:val="25"/>
        </w:rPr>
        <w:t xml:space="preserve">а</w:t>
      </w:r>
      <w:r>
        <w:rPr>
          <w:sz w:val="25"/>
          <w:szCs w:val="25"/>
        </w:rPr>
        <w:t xml:space="preserve">стоящего Договора.</w:t>
      </w:r>
      <w:r>
        <w:rPr>
          <w:sz w:val="25"/>
          <w:szCs w:val="25"/>
        </w:rPr>
      </w:r>
      <w:r>
        <w:rPr>
          <w:sz w:val="25"/>
          <w:szCs w:val="25"/>
        </w:rPr>
      </w:r>
    </w:p>
    <w:p>
      <w:pPr>
        <w:pStyle w:val="878"/>
        <w:numPr>
          <w:ilvl w:val="1"/>
          <w:numId w:val="1"/>
        </w:numPr>
        <w:ind w:left="0" w:firstLine="0"/>
        <w:jc w:val="both"/>
        <w:tabs>
          <w:tab w:val="clear" w:pos="480" w:leader="none"/>
        </w:tabs>
        <w:rPr>
          <w:sz w:val="25"/>
          <w:szCs w:val="25"/>
        </w:rPr>
      </w:pPr>
      <w:r>
        <w:rPr>
          <w:sz w:val="25"/>
          <w:szCs w:val="25"/>
        </w:rPr>
        <w:t xml:space="preserve">Передача конфиденциальной информации третьим лицам, опубликование или иное ра</w:t>
      </w:r>
      <w:r>
        <w:rPr>
          <w:sz w:val="25"/>
          <w:szCs w:val="25"/>
        </w:rPr>
        <w:t xml:space="preserve">з</w:t>
      </w:r>
      <w:r>
        <w:rPr>
          <w:sz w:val="25"/>
          <w:szCs w:val="25"/>
        </w:rPr>
        <w:t xml:space="preserve">глашение такой информации может осуществляться только с письменного согласия ЗАКАЗЧИКА, независимо от причины прекращения действия настоящего Дог</w:t>
      </w:r>
      <w:r>
        <w:rPr>
          <w:sz w:val="25"/>
          <w:szCs w:val="25"/>
        </w:rPr>
        <w:t xml:space="preserve">о</w:t>
      </w:r>
      <w:r>
        <w:rPr>
          <w:sz w:val="25"/>
          <w:szCs w:val="25"/>
        </w:rPr>
        <w:t xml:space="preserve">вора.</w:t>
      </w:r>
      <w:r>
        <w:rPr>
          <w:sz w:val="25"/>
          <w:szCs w:val="25"/>
        </w:rPr>
      </w:r>
      <w:r>
        <w:rPr>
          <w:sz w:val="25"/>
          <w:szCs w:val="25"/>
        </w:rPr>
      </w:r>
    </w:p>
    <w:p>
      <w:pPr>
        <w:pStyle w:val="878"/>
        <w:numPr>
          <w:ilvl w:val="1"/>
          <w:numId w:val="1"/>
        </w:numPr>
        <w:ind w:left="0" w:firstLine="0"/>
        <w:jc w:val="both"/>
        <w:tabs>
          <w:tab w:val="clear" w:pos="480" w:leader="none"/>
        </w:tabs>
        <w:rPr>
          <w:sz w:val="25"/>
          <w:szCs w:val="25"/>
        </w:rPr>
      </w:pPr>
      <w:r>
        <w:rPr>
          <w:sz w:val="25"/>
          <w:szCs w:val="25"/>
        </w:rPr>
        <w:t xml:space="preserve">ИСПОЛНИТЕЛЬ не несет ответственности в случае передачи им информации государс</w:t>
      </w:r>
      <w:r>
        <w:rPr>
          <w:sz w:val="25"/>
          <w:szCs w:val="25"/>
        </w:rPr>
        <w:t xml:space="preserve">т</w:t>
      </w:r>
      <w:r>
        <w:rPr>
          <w:sz w:val="25"/>
          <w:szCs w:val="25"/>
        </w:rPr>
        <w:t xml:space="preserve">венным органам, имеющим право ее затребовать в соответствии с законодательством Ро</w:t>
      </w:r>
      <w:r>
        <w:rPr>
          <w:sz w:val="25"/>
          <w:szCs w:val="25"/>
        </w:rPr>
        <w:t xml:space="preserve">с</w:t>
      </w:r>
      <w:r>
        <w:rPr>
          <w:sz w:val="25"/>
          <w:szCs w:val="25"/>
        </w:rPr>
        <w:t xml:space="preserve">сийской Федерации, если он предварительно уведомит ЗАКАЗЧИКА об обращении за информацией соответс</w:t>
      </w:r>
      <w:r>
        <w:rPr>
          <w:sz w:val="25"/>
          <w:szCs w:val="25"/>
        </w:rPr>
        <w:t xml:space="preserve">т</w:t>
      </w:r>
      <w:r>
        <w:rPr>
          <w:sz w:val="25"/>
          <w:szCs w:val="25"/>
        </w:rPr>
        <w:t xml:space="preserve">вующих государственных органов.</w:t>
      </w:r>
      <w:r>
        <w:rPr>
          <w:sz w:val="25"/>
          <w:szCs w:val="25"/>
        </w:rPr>
      </w:r>
      <w:r>
        <w:rPr>
          <w:sz w:val="25"/>
          <w:szCs w:val="25"/>
        </w:rPr>
      </w:r>
    </w:p>
    <w:p>
      <w:pPr>
        <w:pStyle w:val="878"/>
        <w:numPr>
          <w:ilvl w:val="0"/>
          <w:numId w:val="1"/>
        </w:numPr>
        <w:ind w:left="357" w:hanging="357"/>
        <w:jc w:val="center"/>
        <w:spacing w:before="240" w:after="24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ОБСТОЯТЕЛЬСТВА НЕПРЕОДОЛИМОЙ СИЛЫ</w:t>
      </w:r>
      <w:r>
        <w:rPr>
          <w:b/>
          <w:bCs/>
          <w:sz w:val="24"/>
          <w:szCs w:val="24"/>
        </w:rPr>
      </w:r>
      <w:r>
        <w:rPr>
          <w:b/>
          <w:bCs/>
          <w:sz w:val="24"/>
          <w:szCs w:val="24"/>
        </w:rPr>
      </w:r>
    </w:p>
    <w:p>
      <w:pPr>
        <w:pStyle w:val="878"/>
        <w:numPr>
          <w:ilvl w:val="1"/>
          <w:numId w:val="1"/>
        </w:numPr>
        <w:ind w:left="0" w:firstLine="0"/>
        <w:jc w:val="both"/>
        <w:tabs>
          <w:tab w:val="clear" w:pos="480" w:leader="none"/>
        </w:tabs>
        <w:rPr>
          <w:sz w:val="25"/>
          <w:szCs w:val="25"/>
        </w:rPr>
      </w:pPr>
      <w:r>
        <w:rPr>
          <w:sz w:val="25"/>
          <w:szCs w:val="25"/>
        </w:rPr>
        <w:t xml:space="preserve">Стороны освобождаются от ответственности за час</w:t>
      </w:r>
      <w:r>
        <w:rPr>
          <w:sz w:val="25"/>
          <w:szCs w:val="25"/>
        </w:rPr>
        <w:t xml:space="preserve">тичное или полное неисполнение </w:t>
      </w:r>
      <w:r>
        <w:rPr>
          <w:sz w:val="25"/>
          <w:szCs w:val="25"/>
        </w:rPr>
        <w:t xml:space="preserve">обяз</w:t>
      </w:r>
      <w:r>
        <w:rPr>
          <w:sz w:val="25"/>
          <w:szCs w:val="25"/>
        </w:rPr>
        <w:t xml:space="preserve">а</w:t>
      </w:r>
      <w:r>
        <w:rPr>
          <w:sz w:val="25"/>
          <w:szCs w:val="25"/>
        </w:rPr>
        <w:t xml:space="preserve">тельств по настоящему Договору,</w:t>
      </w:r>
      <w:r>
        <w:rPr>
          <w:sz w:val="25"/>
          <w:szCs w:val="25"/>
        </w:rPr>
        <w:t xml:space="preserve"> если ненадлежащее исполнение сторонами обязательств вызвано непреодолимой силой, т.е.  чрезвычайными и непредотвратимыми о</w:t>
      </w:r>
      <w:r>
        <w:rPr>
          <w:sz w:val="25"/>
          <w:szCs w:val="25"/>
        </w:rPr>
        <w:t xml:space="preserve">б</w:t>
      </w:r>
      <w:r>
        <w:rPr>
          <w:sz w:val="25"/>
          <w:szCs w:val="25"/>
        </w:rPr>
        <w:t xml:space="preserve">стоятельствами, согласно ч. 3 ст. 401 ГК РФ.</w:t>
      </w:r>
      <w:r>
        <w:rPr>
          <w:sz w:val="25"/>
          <w:szCs w:val="25"/>
        </w:rPr>
      </w:r>
      <w:r>
        <w:rPr>
          <w:sz w:val="25"/>
          <w:szCs w:val="25"/>
        </w:rPr>
      </w:r>
    </w:p>
    <w:p>
      <w:pPr>
        <w:pStyle w:val="878"/>
        <w:numPr>
          <w:ilvl w:val="1"/>
          <w:numId w:val="1"/>
        </w:numPr>
        <w:ind w:left="0" w:firstLine="0"/>
        <w:jc w:val="both"/>
        <w:tabs>
          <w:tab w:val="clear" w:pos="480" w:leader="none"/>
        </w:tabs>
        <w:rPr>
          <w:sz w:val="25"/>
          <w:szCs w:val="25"/>
        </w:rPr>
      </w:pPr>
      <w:r>
        <w:rPr>
          <w:sz w:val="25"/>
          <w:szCs w:val="25"/>
        </w:rPr>
        <w:t xml:space="preserve">Стор</w:t>
      </w:r>
      <w:r>
        <w:rPr>
          <w:sz w:val="25"/>
          <w:szCs w:val="25"/>
        </w:rPr>
        <w:t xml:space="preserve">она,</w:t>
      </w:r>
      <w:r>
        <w:rPr>
          <w:sz w:val="25"/>
          <w:szCs w:val="25"/>
        </w:rPr>
        <w:t xml:space="preserve"> которая не в состоянии выполнить свои договорные обязательства, незамедлительно и</w:t>
      </w:r>
      <w:r>
        <w:rPr>
          <w:sz w:val="25"/>
          <w:szCs w:val="25"/>
        </w:rPr>
        <w:t xml:space="preserve">н</w:t>
      </w:r>
      <w:r>
        <w:rPr>
          <w:sz w:val="25"/>
          <w:szCs w:val="25"/>
        </w:rPr>
        <w:t xml:space="preserve">формирует другую сторону о начале и прекращении указанных выше обстоятельств, но в любом сл</w:t>
      </w:r>
      <w:r>
        <w:rPr>
          <w:sz w:val="25"/>
          <w:szCs w:val="25"/>
        </w:rPr>
        <w:t xml:space="preserve">у</w:t>
      </w:r>
      <w:r>
        <w:rPr>
          <w:sz w:val="25"/>
          <w:szCs w:val="25"/>
        </w:rPr>
        <w:t xml:space="preserve">чае не позднее 10 (Десяти) дней после начала их действия.</w:t>
      </w:r>
      <w:r>
        <w:rPr>
          <w:sz w:val="25"/>
          <w:szCs w:val="25"/>
        </w:rPr>
      </w:r>
      <w:r>
        <w:rPr>
          <w:sz w:val="25"/>
          <w:szCs w:val="25"/>
        </w:rPr>
      </w:r>
    </w:p>
    <w:p>
      <w:pPr>
        <w:pStyle w:val="878"/>
        <w:numPr>
          <w:ilvl w:val="1"/>
          <w:numId w:val="1"/>
        </w:numPr>
        <w:ind w:left="0" w:firstLine="0"/>
        <w:jc w:val="both"/>
        <w:tabs>
          <w:tab w:val="clear" w:pos="480" w:leader="none"/>
        </w:tabs>
        <w:rPr>
          <w:sz w:val="25"/>
          <w:szCs w:val="25"/>
        </w:rPr>
      </w:pPr>
      <w:r>
        <w:rPr>
          <w:sz w:val="25"/>
          <w:szCs w:val="25"/>
        </w:rPr>
        <w:t xml:space="preserve">Если указанные обстоятельства продолжаются более одного месяца, каждая сторона имеет право на досрочное расторжение Договора.  В этом случае стороны производят взаиморасч</w:t>
      </w:r>
      <w:r>
        <w:rPr>
          <w:sz w:val="25"/>
          <w:szCs w:val="25"/>
        </w:rPr>
        <w:t xml:space="preserve">е</w:t>
      </w:r>
      <w:r>
        <w:rPr>
          <w:sz w:val="25"/>
          <w:szCs w:val="25"/>
        </w:rPr>
        <w:t xml:space="preserve">ты.</w:t>
      </w:r>
      <w:r>
        <w:rPr>
          <w:sz w:val="25"/>
          <w:szCs w:val="25"/>
        </w:rPr>
      </w:r>
      <w:r>
        <w:rPr>
          <w:sz w:val="25"/>
          <w:szCs w:val="25"/>
        </w:rPr>
      </w:r>
    </w:p>
    <w:p>
      <w:pPr>
        <w:pStyle w:val="878"/>
        <w:numPr>
          <w:ilvl w:val="0"/>
          <w:numId w:val="1"/>
        </w:numPr>
        <w:ind w:left="357" w:hanging="357"/>
        <w:jc w:val="center"/>
        <w:spacing w:before="240" w:after="24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СРОК ДЕЙСТВИЯ ДОГОВОРА</w:t>
      </w:r>
      <w:r>
        <w:rPr>
          <w:b/>
          <w:bCs/>
          <w:sz w:val="24"/>
          <w:szCs w:val="24"/>
        </w:rPr>
      </w:r>
      <w:r>
        <w:rPr>
          <w:b/>
          <w:bCs/>
          <w:sz w:val="24"/>
          <w:szCs w:val="24"/>
        </w:rPr>
      </w:r>
    </w:p>
    <w:p>
      <w:pPr>
        <w:pStyle w:val="878"/>
        <w:numPr>
          <w:ilvl w:val="1"/>
          <w:numId w:val="1"/>
        </w:numPr>
        <w:ind w:left="0" w:firstLine="0"/>
        <w:jc w:val="both"/>
        <w:tabs>
          <w:tab w:val="clear" w:pos="480" w:leader="none"/>
        </w:tabs>
        <w:rPr>
          <w:rStyle w:val="894"/>
          <w:sz w:val="25"/>
          <w:szCs w:val="25"/>
        </w:rPr>
      </w:pPr>
      <w:r>
        <w:rPr>
          <w:rStyle w:val="894"/>
          <w:sz w:val="25"/>
          <w:szCs w:val="25"/>
        </w:rPr>
        <w:t xml:space="preserve">Договор вступает в силу со дня подписания и действует до </w:t>
      </w:r>
      <w:r>
        <w:rPr>
          <w:rStyle w:val="894"/>
          <w:sz w:val="25"/>
          <w:szCs w:val="25"/>
        </w:rPr>
        <w:t xml:space="preserve">3</w:t>
      </w:r>
      <w:r>
        <w:rPr>
          <w:rStyle w:val="894"/>
          <w:sz w:val="25"/>
          <w:szCs w:val="25"/>
        </w:rPr>
        <w:t xml:space="preserve">1</w:t>
      </w:r>
      <w:r>
        <w:rPr>
          <w:rStyle w:val="894"/>
          <w:sz w:val="25"/>
          <w:szCs w:val="25"/>
        </w:rPr>
        <w:t xml:space="preserve">.</w:t>
      </w:r>
      <w:r>
        <w:rPr>
          <w:rStyle w:val="894"/>
          <w:sz w:val="25"/>
          <w:szCs w:val="25"/>
        </w:rPr>
        <w:t xml:space="preserve">10.</w:t>
      </w:r>
      <w:r>
        <w:rPr>
          <w:rStyle w:val="894"/>
          <w:sz w:val="25"/>
          <w:szCs w:val="25"/>
        </w:rPr>
        <w:t xml:space="preserve">20</w:t>
      </w:r>
      <w:r>
        <w:rPr>
          <w:rStyle w:val="894"/>
          <w:sz w:val="25"/>
          <w:szCs w:val="25"/>
        </w:rPr>
        <w:t xml:space="preserve">2</w:t>
      </w:r>
      <w:r>
        <w:rPr>
          <w:rStyle w:val="894"/>
          <w:sz w:val="25"/>
          <w:szCs w:val="25"/>
        </w:rPr>
        <w:t xml:space="preserve">6</w:t>
      </w:r>
      <w:r>
        <w:rPr>
          <w:rStyle w:val="894"/>
          <w:sz w:val="25"/>
          <w:szCs w:val="25"/>
        </w:rPr>
        <w:t xml:space="preserve"> </w:t>
      </w:r>
      <w:r>
        <w:rPr>
          <w:sz w:val="25"/>
          <w:szCs w:val="25"/>
        </w:rPr>
        <w:t xml:space="preserve">года включительно</w:t>
      </w:r>
      <w:r>
        <w:rPr>
          <w:sz w:val="25"/>
          <w:szCs w:val="25"/>
        </w:rPr>
        <w:t xml:space="preserve">,</w:t>
      </w:r>
      <w:r>
        <w:rPr>
          <w:rStyle w:val="894"/>
          <w:sz w:val="25"/>
          <w:szCs w:val="25"/>
        </w:rPr>
        <w:t xml:space="preserve"> в любом случае до выполнения Сторонами своих обязательств.</w:t>
      </w:r>
      <w:r>
        <w:rPr>
          <w:rStyle w:val="894"/>
          <w:sz w:val="25"/>
          <w:szCs w:val="25"/>
        </w:rPr>
      </w:r>
      <w:r>
        <w:rPr>
          <w:rStyle w:val="894"/>
          <w:sz w:val="25"/>
          <w:szCs w:val="25"/>
        </w:rPr>
      </w:r>
    </w:p>
    <w:p>
      <w:pPr>
        <w:pStyle w:val="878"/>
        <w:numPr>
          <w:ilvl w:val="0"/>
          <w:numId w:val="1"/>
        </w:numPr>
        <w:ind w:left="357" w:hanging="357"/>
        <w:jc w:val="center"/>
        <w:spacing w:before="240" w:after="24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ПРОЧИЕ УСЛОВИЯ</w:t>
      </w:r>
      <w:r>
        <w:rPr>
          <w:b/>
          <w:bCs/>
          <w:sz w:val="24"/>
          <w:szCs w:val="24"/>
        </w:rPr>
      </w:r>
      <w:r>
        <w:rPr>
          <w:b/>
          <w:bCs/>
          <w:sz w:val="24"/>
          <w:szCs w:val="24"/>
        </w:rPr>
      </w:r>
    </w:p>
    <w:p>
      <w:pPr>
        <w:pStyle w:val="878"/>
        <w:numPr>
          <w:ilvl w:val="1"/>
          <w:numId w:val="1"/>
        </w:numPr>
        <w:ind w:left="0" w:firstLine="0"/>
        <w:jc w:val="both"/>
        <w:tabs>
          <w:tab w:val="clear" w:pos="480" w:leader="none"/>
        </w:tabs>
        <w:rPr>
          <w:sz w:val="25"/>
          <w:szCs w:val="25"/>
        </w:rPr>
      </w:pPr>
      <w:r>
        <w:rPr>
          <w:sz w:val="25"/>
          <w:szCs w:val="25"/>
        </w:rPr>
        <w:t xml:space="preserve">В случае расторжения Договора, как по инициативе ЗАКАЗЧИКА, так и по инициативе ИСПОЛНИТЕЛЯ, производятся взаиморасчеты, с учетом произведенных затрат.</w:t>
      </w:r>
      <w:r>
        <w:rPr>
          <w:sz w:val="25"/>
          <w:szCs w:val="25"/>
        </w:rPr>
      </w:r>
      <w:r>
        <w:rPr>
          <w:sz w:val="25"/>
          <w:szCs w:val="25"/>
        </w:rPr>
      </w:r>
    </w:p>
    <w:p>
      <w:pPr>
        <w:pStyle w:val="878"/>
        <w:numPr>
          <w:ilvl w:val="1"/>
          <w:numId w:val="1"/>
        </w:numPr>
        <w:ind w:left="0" w:firstLine="0"/>
        <w:jc w:val="both"/>
        <w:tabs>
          <w:tab w:val="clear" w:pos="480" w:leader="none"/>
        </w:tabs>
        <w:rPr>
          <w:sz w:val="25"/>
          <w:szCs w:val="25"/>
        </w:rPr>
      </w:pPr>
      <w:r>
        <w:rPr>
          <w:sz w:val="25"/>
          <w:szCs w:val="25"/>
        </w:rPr>
        <w:t xml:space="preserve">Договор составлен в двух экземплярах, имеющих равную юридическую силу, по одному экзем</w:t>
      </w:r>
      <w:r>
        <w:rPr>
          <w:sz w:val="25"/>
          <w:szCs w:val="25"/>
        </w:rPr>
        <w:t xml:space="preserve">п</w:t>
      </w:r>
      <w:r>
        <w:rPr>
          <w:sz w:val="25"/>
          <w:szCs w:val="25"/>
        </w:rPr>
        <w:t xml:space="preserve">ляру для каждой Стороны. </w:t>
      </w:r>
      <w:r>
        <w:rPr>
          <w:sz w:val="25"/>
          <w:szCs w:val="25"/>
        </w:rPr>
      </w:r>
      <w:r>
        <w:rPr>
          <w:sz w:val="25"/>
          <w:szCs w:val="25"/>
        </w:rPr>
      </w:r>
    </w:p>
    <w:p>
      <w:pPr>
        <w:pStyle w:val="878"/>
        <w:numPr>
          <w:ilvl w:val="1"/>
          <w:numId w:val="1"/>
        </w:numPr>
        <w:ind w:left="0" w:firstLine="0"/>
        <w:jc w:val="both"/>
        <w:tabs>
          <w:tab w:val="clear" w:pos="480" w:leader="none"/>
        </w:tabs>
        <w:rPr>
          <w:sz w:val="25"/>
          <w:szCs w:val="25"/>
        </w:rPr>
      </w:pPr>
      <w:r>
        <w:rPr>
          <w:sz w:val="25"/>
          <w:szCs w:val="25"/>
        </w:rPr>
        <w:t xml:space="preserve">К настоящему Договору прилагаются и являются неотъемлемой его частью:</w:t>
      </w:r>
      <w:r>
        <w:rPr>
          <w:sz w:val="25"/>
          <w:szCs w:val="25"/>
        </w:rPr>
      </w:r>
      <w:r>
        <w:rPr>
          <w:sz w:val="25"/>
          <w:szCs w:val="25"/>
        </w:rPr>
      </w:r>
    </w:p>
    <w:p>
      <w:pPr>
        <w:pStyle w:val="878"/>
        <w:numPr>
          <w:ilvl w:val="2"/>
          <w:numId w:val="1"/>
        </w:numPr>
        <w:ind w:left="0" w:firstLine="0"/>
        <w:jc w:val="both"/>
        <w:rPr>
          <w:sz w:val="25"/>
          <w:szCs w:val="25"/>
        </w:rPr>
      </w:pPr>
      <w:r>
        <w:rPr>
          <w:sz w:val="25"/>
          <w:szCs w:val="25"/>
        </w:rPr>
        <w:t xml:space="preserve">Спецификация услуг по защите информации, на </w:t>
      </w:r>
      <w:r>
        <w:rPr>
          <w:sz w:val="25"/>
          <w:szCs w:val="25"/>
        </w:rPr>
        <w:t xml:space="preserve">1</w:t>
      </w:r>
      <w:r>
        <w:rPr>
          <w:sz w:val="25"/>
          <w:szCs w:val="25"/>
        </w:rPr>
        <w:t xml:space="preserve">л.</w:t>
      </w:r>
      <w:r>
        <w:rPr>
          <w:sz w:val="25"/>
          <w:szCs w:val="25"/>
        </w:rPr>
      </w:r>
      <w:r>
        <w:rPr>
          <w:sz w:val="25"/>
          <w:szCs w:val="25"/>
        </w:rPr>
      </w:r>
    </w:p>
    <w:p>
      <w:pPr>
        <w:pStyle w:val="878"/>
        <w:numPr>
          <w:ilvl w:val="2"/>
          <w:numId w:val="1"/>
        </w:numPr>
        <w:ind w:left="0" w:firstLine="0"/>
        <w:jc w:val="both"/>
        <w:rPr>
          <w:sz w:val="25"/>
          <w:szCs w:val="25"/>
        </w:rPr>
      </w:pPr>
      <w:r>
        <w:rPr>
          <w:sz w:val="25"/>
          <w:szCs w:val="25"/>
        </w:rPr>
        <w:t xml:space="preserve">Копия Лицензии на право работы со сведениями, составляющими государственную тайну, на 1л., только ЗАКАЗЧИКУ.</w:t>
      </w:r>
      <w:r>
        <w:rPr>
          <w:sz w:val="25"/>
          <w:szCs w:val="25"/>
        </w:rPr>
      </w:r>
      <w:r>
        <w:rPr>
          <w:sz w:val="25"/>
          <w:szCs w:val="25"/>
        </w:rPr>
      </w:r>
    </w:p>
    <w:p>
      <w:pPr>
        <w:pStyle w:val="878"/>
        <w:numPr>
          <w:ilvl w:val="2"/>
          <w:numId w:val="1"/>
        </w:numPr>
        <w:ind w:left="0" w:firstLine="0"/>
        <w:jc w:val="both"/>
        <w:rPr>
          <w:sz w:val="25"/>
          <w:szCs w:val="25"/>
        </w:rPr>
      </w:pPr>
      <w:r>
        <w:rPr>
          <w:sz w:val="25"/>
          <w:szCs w:val="25"/>
        </w:rPr>
        <w:t xml:space="preserve">Копия Лицензии на осуществление мероприятий и (или) оказание услуг в области защиты государственной тайны (в части технической защиты информации), на 1л., только ЗАКАЗЧИКУ.</w:t>
      </w:r>
      <w:r>
        <w:rPr>
          <w:sz w:val="25"/>
          <w:szCs w:val="25"/>
        </w:rPr>
      </w:r>
      <w:r>
        <w:rPr>
          <w:sz w:val="25"/>
          <w:szCs w:val="25"/>
        </w:rPr>
      </w:r>
    </w:p>
    <w:p>
      <w:pPr>
        <w:pStyle w:val="878"/>
        <w:numPr>
          <w:ilvl w:val="2"/>
          <w:numId w:val="1"/>
        </w:numPr>
        <w:ind w:left="0" w:firstLine="0"/>
        <w:jc w:val="both"/>
        <w:rPr>
          <w:sz w:val="25"/>
          <w:szCs w:val="25"/>
        </w:rPr>
      </w:pPr>
      <w:r>
        <w:rPr>
          <w:sz w:val="25"/>
          <w:szCs w:val="25"/>
        </w:rPr>
        <w:t xml:space="preserve">Выписка о применяемых специальных налоговых режимах ИФНС по Верх-Исетскому району г. Екатеринбурга (форма по КНД 1120529), на 2л., только ЗАКАЗЧИКУ.</w:t>
      </w:r>
      <w:r>
        <w:rPr>
          <w:sz w:val="25"/>
          <w:szCs w:val="25"/>
        </w:rPr>
      </w:r>
      <w:r>
        <w:rPr>
          <w:sz w:val="25"/>
          <w:szCs w:val="25"/>
        </w:rPr>
      </w:r>
    </w:p>
    <w:p>
      <w:pPr>
        <w:pStyle w:val="878"/>
        <w:ind w:left="0" w:firstLine="0"/>
        <w:jc w:val="both"/>
        <w:rPr>
          <w:sz w:val="24"/>
          <w:szCs w:val="24"/>
        </w:rPr>
      </w:pPr>
      <w:r>
        <w:rPr>
          <w:sz w:val="24"/>
          <w:szCs w:val="24"/>
        </w:rPr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Style w:val="878"/>
        <w:numPr>
          <w:ilvl w:val="0"/>
          <w:numId w:val="1"/>
        </w:numPr>
        <w:ind w:left="357" w:hanging="357"/>
        <w:jc w:val="center"/>
        <w:keepNext/>
        <w:spacing w:before="240" w:after="12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ЮРИДИЧЕСКИЕ АДРЕСА, БАНКОВСКИЕ РЕКВИЗИТЫ И ПОДПИСИ СТОРОН</w:t>
      </w:r>
      <w:r>
        <w:rPr>
          <w:b/>
          <w:bCs/>
          <w:sz w:val="24"/>
          <w:szCs w:val="24"/>
        </w:rPr>
      </w:r>
      <w:r>
        <w:rPr>
          <w:b/>
          <w:bCs/>
          <w:sz w:val="24"/>
          <w:szCs w:val="24"/>
        </w:rPr>
      </w:r>
    </w:p>
    <w:p>
      <w:pPr>
        <w:pStyle w:val="878"/>
        <w:tabs>
          <w:tab w:val="left" w:pos="3486" w:leader="none"/>
          <w:tab w:val="left" w:pos="5150" w:leader="none"/>
          <w:tab w:val="left" w:pos="8121" w:leader="none"/>
        </w:tabs>
        <w:rPr>
          <w:sz w:val="25"/>
          <w:szCs w:val="25"/>
        </w:rPr>
      </w:pPr>
      <w:r>
        <w:rPr>
          <w:sz w:val="25"/>
          <w:szCs w:val="25"/>
        </w:rPr>
        <w:tab/>
      </w:r>
      <w:r>
        <w:rPr>
          <w:sz w:val="25"/>
          <w:szCs w:val="25"/>
        </w:rPr>
      </w:r>
      <w:r>
        <w:rPr>
          <w:sz w:val="25"/>
          <w:szCs w:val="25"/>
        </w:rPr>
      </w:r>
    </w:p>
    <w:tbl>
      <w:tblPr>
        <w:tblW w:w="5282" w:type="pct"/>
        <w:tblInd w:w="0" w:type="dxa"/>
        <w:tblLayout w:type="autofit"/>
        <w:tblCellMar>
          <w:left w:w="108" w:type="dxa"/>
          <w:top w:w="0" w:type="dxa"/>
          <w:right w:w="108" w:type="dxa"/>
          <w:bottom w:w="0" w:type="dxa"/>
        </w:tblCellMar>
        <w:tblLook w:val="04A0" w:firstRow="1" w:lastRow="0" w:firstColumn="1" w:lastColumn="0" w:noHBand="0" w:noVBand="1"/>
      </w:tblPr>
      <w:tblGrid>
        <w:gridCol w:w="5496"/>
        <w:gridCol w:w="4914"/>
      </w:tblGrid>
      <w:tr>
        <w:tblPrEx/>
        <w:trPr>
          <w:trHeight w:val="285"/>
        </w:trPr>
        <w:tc>
          <w:tcPr>
            <w:tcBorders>
              <w:top w:val="none" w:color="000000" w:sz="4" w:space="0"/>
              <w:left w:val="none" w:color="000000" w:sz="4" w:space="0"/>
              <w:right w:val="none" w:color="000000" w:sz="4" w:space="0"/>
            </w:tcBorders>
            <w:tcW w:w="2640" w:type="pct"/>
            <w:vAlign w:val="top"/>
            <w:textDirection w:val="lrTb"/>
            <w:noWrap w:val="false"/>
          </w:tcPr>
          <w:p>
            <w:pPr>
              <w:pStyle w:val="878"/>
              <w:rPr>
                <w:b/>
                <w:bCs/>
                <w:sz w:val="25"/>
                <w:szCs w:val="25"/>
              </w:rPr>
            </w:pPr>
            <w:r>
              <w:rPr>
                <w:b/>
                <w:bCs/>
                <w:sz w:val="25"/>
                <w:szCs w:val="25"/>
              </w:rPr>
              <w:t xml:space="preserve">ЗАКАЗЧИК:</w:t>
            </w:r>
            <w:r>
              <w:rPr>
                <w:b/>
                <w:bCs/>
                <w:sz w:val="25"/>
                <w:szCs w:val="25"/>
              </w:rPr>
            </w:r>
            <w:r>
              <w:rPr>
                <w:b/>
                <w:bCs/>
                <w:sz w:val="25"/>
                <w:szCs w:val="25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right w:val="none" w:color="000000" w:sz="4" w:space="0"/>
            </w:tcBorders>
            <w:tcW w:w="2360" w:type="pct"/>
            <w:vAlign w:val="top"/>
            <w:textDirection w:val="lrTb"/>
            <w:noWrap w:val="false"/>
          </w:tcPr>
          <w:p>
            <w:pPr>
              <w:pStyle w:val="878"/>
              <w:ind w:left="-100"/>
              <w:rPr>
                <w:b/>
                <w:bCs/>
                <w:sz w:val="25"/>
                <w:szCs w:val="25"/>
              </w:rPr>
            </w:pPr>
            <w:r>
              <w:rPr>
                <w:b/>
                <w:bCs/>
                <w:sz w:val="25"/>
                <w:szCs w:val="25"/>
              </w:rPr>
              <w:t xml:space="preserve">ИСПОЛНИТЕЛЬ:</w:t>
            </w:r>
            <w:r>
              <w:rPr>
                <w:b/>
                <w:bCs/>
                <w:sz w:val="25"/>
                <w:szCs w:val="25"/>
              </w:rPr>
            </w:r>
            <w:r>
              <w:rPr>
                <w:b/>
                <w:bCs/>
                <w:sz w:val="25"/>
                <w:szCs w:val="25"/>
              </w:rPr>
            </w:r>
          </w:p>
        </w:tc>
      </w:tr>
      <w:tr>
        <w:tblPrEx/>
        <w:trPr>
          <w:trHeight w:val="4424"/>
        </w:trPr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640" w:type="pct"/>
            <w:vAlign w:val="top"/>
            <w:textDirection w:val="lrTb"/>
            <w:noWrap w:val="false"/>
          </w:tcPr>
          <w:p>
            <w:pPr>
              <w:pStyle w:val="900"/>
              <w:jc w:val="left"/>
              <w:spacing w:before="0" w:after="0" w:line="240" w:lineRule="auto"/>
              <w:shd w:val="clear" w:color="auto" w:fill="auto"/>
              <w:tabs>
                <w:tab w:val="left" w:pos="-284" w:leader="none"/>
              </w:tabs>
              <w:rPr>
                <w:rFonts w:cs="Times New Roman"/>
                <w:bCs/>
                <w:sz w:val="24"/>
                <w:szCs w:val="24"/>
              </w:rPr>
            </w:pPr>
            <w:r>
              <w:rPr>
                <w:rFonts w:cs="Times New Roman"/>
                <w:b/>
                <w:bCs/>
                <w:sz w:val="25"/>
                <w:szCs w:val="25"/>
              </w:rPr>
              <w:t xml:space="preserve">Департамент по недропользованию </w:t>
            </w:r>
            <w:r>
              <w:rPr>
                <w:rFonts w:cs="Times New Roman"/>
                <w:bCs/>
                <w:sz w:val="24"/>
                <w:szCs w:val="24"/>
              </w:rPr>
            </w:r>
            <w:r>
              <w:rPr>
                <w:rFonts w:cs="Times New Roman"/>
                <w:bCs/>
                <w:sz w:val="24"/>
                <w:szCs w:val="24"/>
              </w:rPr>
            </w:r>
          </w:p>
          <w:p>
            <w:pPr>
              <w:pStyle w:val="900"/>
              <w:jc w:val="left"/>
              <w:spacing w:before="0" w:after="0" w:line="240" w:lineRule="auto"/>
              <w:shd w:val="clear" w:color="auto" w:fill="auto"/>
              <w:tabs>
                <w:tab w:val="left" w:pos="-284" w:leader="none"/>
              </w:tabs>
              <w:rPr>
                <w:rFonts w:cs="Times New Roman"/>
                <w:bCs/>
                <w:sz w:val="24"/>
                <w:szCs w:val="24"/>
              </w:rPr>
            </w:pPr>
            <w:r>
              <w:rPr>
                <w:rFonts w:cs="Times New Roman"/>
                <w:b/>
                <w:bCs/>
                <w:sz w:val="25"/>
                <w:szCs w:val="25"/>
              </w:rPr>
              <w:t xml:space="preserve">по Уральскому федеральному округу</w:t>
            </w:r>
            <w:r>
              <w:rPr>
                <w:rFonts w:cs="Times New Roman"/>
                <w:bCs/>
                <w:sz w:val="24"/>
                <w:szCs w:val="24"/>
              </w:rPr>
            </w:r>
            <w:r>
              <w:rPr>
                <w:rFonts w:cs="Times New Roman"/>
                <w:bCs/>
                <w:sz w:val="24"/>
                <w:szCs w:val="24"/>
              </w:rPr>
            </w:r>
          </w:p>
          <w:p>
            <w:pPr>
              <w:pStyle w:val="900"/>
              <w:jc w:val="left"/>
              <w:spacing w:before="0" w:after="0" w:line="240" w:lineRule="auto"/>
              <w:shd w:val="clear" w:color="auto" w:fill="auto"/>
              <w:tabs>
                <w:tab w:val="left" w:pos="-284" w:leader="none"/>
              </w:tabs>
              <w:rPr>
                <w:rFonts w:cs="Times New Roman"/>
                <w:b/>
                <w:sz w:val="24"/>
                <w:szCs w:val="24"/>
              </w:rPr>
            </w:pPr>
            <w:r>
              <w:rPr>
                <w:rFonts w:cs="Times New Roman"/>
                <w:b/>
                <w:sz w:val="25"/>
                <w:szCs w:val="25"/>
              </w:rPr>
            </w:r>
            <w:r>
              <w:rPr>
                <w:rFonts w:cs="Times New Roman"/>
                <w:b/>
                <w:sz w:val="24"/>
                <w:szCs w:val="24"/>
              </w:rPr>
            </w:r>
            <w:r>
              <w:rPr>
                <w:rFonts w:cs="Times New Roman"/>
                <w:b/>
                <w:sz w:val="24"/>
                <w:szCs w:val="24"/>
              </w:rPr>
            </w:r>
          </w:p>
          <w:p>
            <w:pPr>
              <w:pStyle w:val="900"/>
              <w:jc w:val="left"/>
              <w:spacing w:before="0" w:after="0" w:line="240" w:lineRule="auto"/>
              <w:tabs>
                <w:tab w:val="left" w:pos="-284" w:leader="none"/>
              </w:tabs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5"/>
                <w:szCs w:val="25"/>
              </w:rPr>
              <w:t xml:space="preserve">Юридический адрес: 620014, </w:t>
            </w:r>
            <w:r>
              <w:rPr>
                <w:rFonts w:cs="Times New Roman"/>
                <w:sz w:val="24"/>
                <w:szCs w:val="24"/>
              </w:rPr>
            </w:r>
            <w:r>
              <w:rPr>
                <w:rFonts w:cs="Times New Roman"/>
                <w:sz w:val="24"/>
                <w:szCs w:val="24"/>
              </w:rPr>
            </w:r>
          </w:p>
          <w:p>
            <w:pPr>
              <w:pStyle w:val="900"/>
              <w:jc w:val="left"/>
              <w:spacing w:before="0" w:after="0" w:line="240" w:lineRule="auto"/>
              <w:tabs>
                <w:tab w:val="left" w:pos="-284" w:leader="none"/>
              </w:tabs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5"/>
                <w:szCs w:val="25"/>
              </w:rPr>
              <w:t xml:space="preserve">г. Екатеринбург, ул. </w:t>
            </w:r>
            <w:r>
              <w:rPr>
                <w:rFonts w:cs="Times New Roman"/>
                <w:sz w:val="25"/>
                <w:szCs w:val="25"/>
              </w:rPr>
              <w:t xml:space="preserve">Вайнера</w:t>
            </w:r>
            <w:r>
              <w:rPr>
                <w:rFonts w:cs="Times New Roman"/>
                <w:sz w:val="25"/>
                <w:szCs w:val="25"/>
              </w:rPr>
              <w:t xml:space="preserve">, 55</w:t>
            </w:r>
            <w:r>
              <w:rPr>
                <w:rFonts w:cs="Times New Roman"/>
                <w:sz w:val="24"/>
                <w:szCs w:val="24"/>
              </w:rPr>
            </w:r>
            <w:r>
              <w:rPr>
                <w:rFonts w:cs="Times New Roman"/>
                <w:sz w:val="24"/>
                <w:szCs w:val="24"/>
              </w:rPr>
            </w:r>
          </w:p>
          <w:p>
            <w:pPr>
              <w:pStyle w:val="900"/>
              <w:jc w:val="left"/>
              <w:spacing w:before="0" w:after="0" w:line="240" w:lineRule="auto"/>
              <w:tabs>
                <w:tab w:val="left" w:pos="-284" w:leader="none"/>
              </w:tabs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5"/>
                <w:szCs w:val="25"/>
              </w:rPr>
              <w:t xml:space="preserve">Телефон: +7 (343) 257-84-59</w:t>
            </w:r>
            <w:r>
              <w:rPr>
                <w:rFonts w:cs="Times New Roman"/>
                <w:sz w:val="24"/>
                <w:szCs w:val="24"/>
              </w:rPr>
            </w:r>
            <w:r>
              <w:rPr>
                <w:rFonts w:cs="Times New Roman"/>
                <w:sz w:val="24"/>
                <w:szCs w:val="24"/>
              </w:rPr>
            </w:r>
          </w:p>
          <w:p>
            <w:pPr>
              <w:pStyle w:val="900"/>
              <w:jc w:val="left"/>
              <w:spacing w:before="0" w:after="0" w:line="240" w:lineRule="auto"/>
              <w:tabs>
                <w:tab w:val="left" w:pos="-284" w:leader="none"/>
              </w:tabs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5"/>
                <w:szCs w:val="25"/>
                <w:lang w:val="en-US"/>
              </w:rPr>
              <w:t xml:space="preserve">E</w:t>
            </w:r>
            <w:r>
              <w:rPr>
                <w:rFonts w:cs="Times New Roman"/>
                <w:sz w:val="25"/>
                <w:szCs w:val="25"/>
              </w:rPr>
              <w:t xml:space="preserve">-</w:t>
            </w:r>
            <w:r>
              <w:rPr>
                <w:rFonts w:cs="Times New Roman"/>
                <w:sz w:val="25"/>
                <w:szCs w:val="25"/>
                <w:lang w:val="en-US"/>
              </w:rPr>
              <w:t xml:space="preserve">mail</w:t>
            </w:r>
            <w:r>
              <w:rPr>
                <w:rFonts w:cs="Times New Roman"/>
                <w:sz w:val="25"/>
                <w:szCs w:val="25"/>
              </w:rPr>
              <w:t xml:space="preserve">: </w:t>
            </w:r>
            <w:r>
              <w:rPr>
                <w:rFonts w:cs="Times New Roman"/>
                <w:sz w:val="25"/>
                <w:szCs w:val="25"/>
                <w:lang w:val="en-US"/>
              </w:rPr>
              <w:t xml:space="preserve">ural</w:t>
            </w:r>
            <w:r>
              <w:rPr>
                <w:rFonts w:cs="Times New Roman"/>
                <w:sz w:val="25"/>
                <w:szCs w:val="25"/>
              </w:rPr>
              <w:t xml:space="preserve">@</w:t>
            </w:r>
            <w:r>
              <w:rPr>
                <w:rFonts w:cs="Times New Roman"/>
                <w:sz w:val="25"/>
                <w:szCs w:val="25"/>
                <w:lang w:val="en-US"/>
              </w:rPr>
              <w:t xml:space="preserve">rosnedra</w:t>
            </w:r>
            <w:r>
              <w:rPr>
                <w:rFonts w:cs="Times New Roman"/>
                <w:sz w:val="25"/>
                <w:szCs w:val="25"/>
              </w:rPr>
              <w:t xml:space="preserve">.</w:t>
            </w:r>
            <w:r>
              <w:rPr>
                <w:rFonts w:cs="Times New Roman"/>
                <w:sz w:val="25"/>
                <w:szCs w:val="25"/>
                <w:lang w:val="en-US"/>
              </w:rPr>
              <w:t xml:space="preserve">gov</w:t>
            </w:r>
            <w:r>
              <w:rPr>
                <w:rFonts w:cs="Times New Roman"/>
                <w:sz w:val="25"/>
                <w:szCs w:val="25"/>
              </w:rPr>
              <w:t xml:space="preserve">.</w:t>
            </w:r>
            <w:r>
              <w:rPr>
                <w:rFonts w:cs="Times New Roman"/>
                <w:sz w:val="25"/>
                <w:szCs w:val="25"/>
                <w:lang w:val="en-US"/>
              </w:rPr>
              <w:t xml:space="preserve">ru</w:t>
            </w:r>
            <w:r>
              <w:rPr>
                <w:rFonts w:cs="Times New Roman"/>
                <w:sz w:val="24"/>
                <w:szCs w:val="24"/>
              </w:rPr>
            </w:r>
            <w:r>
              <w:rPr>
                <w:rFonts w:cs="Times New Roman"/>
                <w:sz w:val="24"/>
                <w:szCs w:val="24"/>
              </w:rPr>
            </w:r>
          </w:p>
          <w:p>
            <w:pPr>
              <w:pStyle w:val="900"/>
              <w:jc w:val="left"/>
              <w:spacing w:before="0" w:after="0" w:line="240" w:lineRule="auto"/>
              <w:tabs>
                <w:tab w:val="left" w:pos="-284" w:leader="none"/>
              </w:tabs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5"/>
                <w:szCs w:val="25"/>
              </w:rPr>
              <w:t xml:space="preserve">ИНН 6671153800 КПП 667101001</w:t>
            </w:r>
            <w:r>
              <w:rPr>
                <w:rFonts w:cs="Times New Roman"/>
                <w:sz w:val="24"/>
                <w:szCs w:val="24"/>
              </w:rPr>
            </w:r>
            <w:r>
              <w:rPr>
                <w:rFonts w:cs="Times New Roman"/>
                <w:sz w:val="24"/>
                <w:szCs w:val="24"/>
              </w:rPr>
            </w:r>
          </w:p>
          <w:p>
            <w:pPr>
              <w:pStyle w:val="900"/>
              <w:jc w:val="left"/>
              <w:spacing w:before="0" w:after="0" w:line="240" w:lineRule="auto"/>
              <w:tabs>
                <w:tab w:val="left" w:pos="-284" w:leader="none"/>
              </w:tabs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5"/>
                <w:szCs w:val="25"/>
              </w:rPr>
              <w:t xml:space="preserve">Банковские реквизиты:</w:t>
            </w:r>
            <w:r>
              <w:rPr>
                <w:rFonts w:cs="Times New Roman"/>
                <w:sz w:val="24"/>
                <w:szCs w:val="24"/>
              </w:rPr>
            </w:r>
            <w:r>
              <w:rPr>
                <w:rFonts w:cs="Times New Roman"/>
                <w:sz w:val="24"/>
                <w:szCs w:val="24"/>
              </w:rPr>
            </w:r>
          </w:p>
          <w:p>
            <w:pPr>
              <w:pStyle w:val="900"/>
              <w:jc w:val="left"/>
              <w:spacing w:before="0" w:after="0" w:line="240" w:lineRule="auto"/>
              <w:tabs>
                <w:tab w:val="left" w:pos="-284" w:leader="none"/>
              </w:tabs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bCs/>
                <w:sz w:val="25"/>
                <w:szCs w:val="25"/>
                <w:lang w:eastAsia="ru-RU"/>
              </w:rPr>
              <w:t xml:space="preserve">ОКЦ № 1 </w:t>
            </w:r>
            <w:r>
              <w:rPr>
                <w:rFonts w:cs="Times New Roman"/>
                <w:bCs/>
                <w:sz w:val="25"/>
                <w:szCs w:val="25"/>
                <w:lang w:eastAsia="ru-RU"/>
              </w:rPr>
              <w:t xml:space="preserve">СибГУ</w:t>
            </w:r>
            <w:r>
              <w:rPr>
                <w:rFonts w:cs="Times New Roman"/>
                <w:bCs/>
                <w:sz w:val="25"/>
                <w:szCs w:val="25"/>
                <w:lang w:eastAsia="ru-RU"/>
              </w:rPr>
              <w:t xml:space="preserve"> Банка России//УФК по Новосибирской об</w:t>
            </w:r>
            <w:r>
              <w:rPr>
                <w:rFonts w:cs="Times New Roman"/>
                <w:bCs/>
                <w:sz w:val="25"/>
                <w:szCs w:val="25"/>
                <w:lang w:eastAsia="ru-RU"/>
              </w:rPr>
              <w:t xml:space="preserve">ласти г. Новосибирск </w:t>
            </w:r>
            <w:r>
              <w:rPr>
                <w:rFonts w:cs="Times New Roman"/>
                <w:sz w:val="24"/>
                <w:szCs w:val="24"/>
              </w:rPr>
            </w:r>
            <w:r>
              <w:rPr>
                <w:rFonts w:cs="Times New Roman"/>
                <w:sz w:val="24"/>
                <w:szCs w:val="24"/>
              </w:rPr>
            </w:r>
          </w:p>
          <w:p>
            <w:pPr>
              <w:keepLines/>
              <w:keepNext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5"/>
                <w:szCs w:val="25"/>
                <w:lang w:eastAsia="ru-RU"/>
              </w:rPr>
              <w:t xml:space="preserve">Номер казначейского счета 03211643000000015113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</w:p>
          <w:p>
            <w:pPr>
              <w:keepLines/>
              <w:keepNext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5"/>
                <w:szCs w:val="25"/>
                <w:lang w:eastAsia="ru-RU"/>
              </w:rPr>
              <w:t xml:space="preserve">Номер единого казначейского счета 40102810445370000043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</w:p>
          <w:p>
            <w:pPr>
              <w:keepLines/>
              <w:keepNext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5"/>
                <w:szCs w:val="25"/>
                <w:lang w:eastAsia="ru-RU"/>
              </w:rPr>
              <w:t xml:space="preserve">БИК 015004950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</w:p>
          <w:p>
            <w:pPr>
              <w:keepLines/>
              <w:keepNext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5"/>
                <w:szCs w:val="25"/>
                <w:lang w:eastAsia="ru-RU"/>
              </w:rPr>
              <w:t xml:space="preserve">Лицевой счет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</w:p>
          <w:p>
            <w:pPr>
              <w:keepLines/>
              <w:keepNext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5"/>
                <w:szCs w:val="25"/>
                <w:lang w:eastAsia="ru-RU"/>
              </w:rPr>
              <w:t xml:space="preserve">03621777520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</w:p>
          <w:p>
            <w:pPr>
              <w:keepLines/>
              <w:keepNext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pStyle w:val="869"/>
              <w:rPr>
                <w:b/>
                <w:bCs/>
                <w:color w:val="ff0000"/>
                <w:sz w:val="25"/>
                <w:szCs w:val="25"/>
              </w:rPr>
            </w:pPr>
            <w:r>
              <w:rPr>
                <w:b/>
                <w:bCs/>
                <w:color w:val="ff0000"/>
                <w:sz w:val="25"/>
                <w:szCs w:val="25"/>
              </w:rPr>
            </w:r>
            <w:r>
              <w:rPr>
                <w:b/>
                <w:bCs/>
                <w:color w:val="ff0000"/>
                <w:sz w:val="25"/>
                <w:szCs w:val="25"/>
              </w:rPr>
            </w:r>
            <w:r>
              <w:rPr>
                <w:b/>
                <w:bCs/>
                <w:color w:val="ff0000"/>
                <w:sz w:val="25"/>
                <w:szCs w:val="25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360" w:type="pct"/>
            <w:vAlign w:val="top"/>
            <w:textDirection w:val="lrTb"/>
            <w:noWrap w:val="false"/>
          </w:tcPr>
          <w:p>
            <w:pPr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</w:r>
            <w:r>
              <w:rPr>
                <w:sz w:val="25"/>
                <w:szCs w:val="25"/>
              </w:rPr>
            </w:r>
            <w:r>
              <w:rPr>
                <w:sz w:val="25"/>
                <w:szCs w:val="25"/>
              </w:rPr>
            </w:r>
          </w:p>
        </w:tc>
      </w:tr>
    </w:tbl>
    <w:p>
      <w:pPr>
        <w:pStyle w:val="869"/>
        <w:ind w:left="83"/>
        <w:tabs>
          <w:tab w:val="left" w:pos="1473" w:leader="none"/>
        </w:tabs>
        <w:rPr>
          <w:rFonts w:ascii="Arial" w:hAnsi="Arial" w:cs="Arial"/>
        </w:rPr>
      </w:pPr>
      <w:r>
        <w:rPr>
          <w:rFonts w:ascii="Arial" w:hAnsi="Arial" w:cs="Arial"/>
        </w:rPr>
      </w:r>
      <w:r>
        <w:rPr>
          <w:rFonts w:ascii="Arial" w:hAnsi="Arial" w:cs="Arial"/>
        </w:rPr>
      </w:r>
      <w:r>
        <w:rPr>
          <w:rFonts w:ascii="Arial" w:hAnsi="Arial" w:cs="Arial"/>
        </w:rPr>
      </w:r>
    </w:p>
    <w:p>
      <w:pPr>
        <w:pStyle w:val="869"/>
        <w:ind w:left="83"/>
        <w:tabs>
          <w:tab w:val="left" w:pos="1473" w:leader="none"/>
        </w:tabs>
        <w:rPr>
          <w:rFonts w:ascii="Arial" w:hAnsi="Arial" w:cs="Arial"/>
        </w:rPr>
      </w:pPr>
      <w:r>
        <w:rPr>
          <w:rFonts w:ascii="Arial" w:hAnsi="Arial" w:cs="Arial"/>
        </w:rPr>
      </w:r>
      <w:r>
        <w:rPr>
          <w:rFonts w:ascii="Arial" w:hAnsi="Arial" w:cs="Arial"/>
        </w:rPr>
      </w:r>
      <w:r>
        <w:rPr>
          <w:rFonts w:ascii="Arial" w:hAnsi="Arial" w:cs="Arial"/>
        </w:rPr>
      </w:r>
    </w:p>
    <w:p>
      <w:pPr>
        <w:pStyle w:val="869"/>
        <w:ind w:left="83"/>
        <w:tabs>
          <w:tab w:val="left" w:pos="1473" w:leader="none"/>
        </w:tabs>
        <w:rPr>
          <w:rFonts w:ascii="Arial" w:hAnsi="Arial" w:cs="Arial"/>
        </w:rPr>
      </w:pPr>
      <w:r>
        <w:rPr>
          <w:rFonts w:ascii="Arial" w:hAnsi="Arial" w:cs="Arial"/>
        </w:rPr>
      </w:r>
      <w:r>
        <w:rPr>
          <w:rFonts w:ascii="Arial" w:hAnsi="Arial" w:cs="Arial"/>
        </w:rPr>
      </w:r>
      <w:r>
        <w:rPr>
          <w:rFonts w:ascii="Arial" w:hAnsi="Arial" w:cs="Arial"/>
        </w:rPr>
      </w:r>
    </w:p>
    <w:tbl>
      <w:tblPr>
        <w:tblW w:w="5000" w:type="pct"/>
        <w:tblInd w:w="0" w:type="dxa"/>
        <w:tblLayout w:type="autofit"/>
        <w:tblCellMar>
          <w:left w:w="108" w:type="dxa"/>
          <w:top w:w="0" w:type="dxa"/>
          <w:right w:w="108" w:type="dxa"/>
          <w:bottom w:w="0" w:type="dxa"/>
        </w:tblCellMar>
        <w:tblLook w:val="04A0" w:firstRow="1" w:lastRow="0" w:firstColumn="1" w:lastColumn="0" w:noHBand="0" w:noVBand="1"/>
      </w:tblPr>
      <w:tblGrid>
        <w:gridCol w:w="3000"/>
        <w:gridCol w:w="2203"/>
        <w:gridCol w:w="2702"/>
        <w:gridCol w:w="1949"/>
      </w:tblGrid>
      <w:tr>
        <w:tblPrEx/>
        <w:trPr>
          <w:trHeight w:val="266"/>
        </w:trPr>
        <w:tc>
          <w:tcPr>
            <w:gridSpan w:val="2"/>
            <w:tcBorders>
              <w:top w:val="none" w:color="000000" w:sz="4" w:space="0"/>
              <w:left w:val="none" w:color="000000" w:sz="4" w:space="0"/>
              <w:right w:val="none" w:color="000000" w:sz="4" w:space="0"/>
            </w:tcBorders>
            <w:tcW w:w="2640" w:type="pct"/>
            <w:vAlign w:val="top"/>
            <w:textDirection w:val="lrTb"/>
            <w:noWrap w:val="false"/>
          </w:tcPr>
          <w:p>
            <w:pPr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</w:r>
            <w:r>
              <w:rPr>
                <w:rFonts w:ascii="Times New Roman" w:hAnsi="Times New Roman" w:cs="Times New Roman"/>
                <w:sz w:val="25"/>
                <w:szCs w:val="25"/>
              </w:rPr>
              <w:t xml:space="preserve">Заместитель начальника Департамента – начальник отдела экономики, администрирования доходов, бюджетной отчетности и закупок</w:t>
            </w:r>
            <w:r>
              <w:rPr>
                <w:sz w:val="25"/>
                <w:szCs w:val="25"/>
              </w:rPr>
            </w:r>
            <w:r>
              <w:rPr>
                <w:sz w:val="25"/>
                <w:szCs w:val="25"/>
              </w:rPr>
            </w:r>
          </w:p>
        </w:tc>
        <w:tc>
          <w:tcPr>
            <w:gridSpan w:val="2"/>
            <w:tcBorders>
              <w:top w:val="none" w:color="000000" w:sz="4" w:space="0"/>
              <w:left w:val="none" w:color="000000" w:sz="4" w:space="0"/>
              <w:right w:val="none" w:color="000000" w:sz="4" w:space="0"/>
            </w:tcBorders>
            <w:tcW w:w="2360" w:type="pct"/>
            <w:vAlign w:val="top"/>
            <w:textDirection w:val="lrTb"/>
            <w:noWrap w:val="false"/>
          </w:tcPr>
          <w:p>
            <w:pPr>
              <w:pStyle w:val="878"/>
              <w:rPr>
                <w:b/>
                <w:bCs/>
                <w:sz w:val="25"/>
                <w:szCs w:val="25"/>
              </w:rPr>
            </w:pPr>
            <w:r>
              <w:rPr>
                <w:b/>
                <w:bCs/>
                <w:sz w:val="25"/>
                <w:szCs w:val="25"/>
              </w:rPr>
              <w:t xml:space="preserve">__________________</w:t>
            </w:r>
            <w:r>
              <w:rPr>
                <w:b/>
                <w:bCs/>
                <w:sz w:val="25"/>
                <w:szCs w:val="25"/>
              </w:rPr>
            </w:r>
            <w:r>
              <w:rPr>
                <w:b/>
                <w:bCs/>
                <w:sz w:val="25"/>
                <w:szCs w:val="25"/>
              </w:rPr>
            </w:r>
          </w:p>
        </w:tc>
      </w:tr>
      <w:tr>
        <w:tblPrEx/>
        <w:trPr>
          <w:trHeight w:val="653"/>
        </w:trPr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522" w:type="pct"/>
            <w:vAlign w:val="top"/>
            <w:textDirection w:val="lrTb"/>
            <w:noWrap w:val="false"/>
          </w:tcPr>
          <w:p>
            <w:pPr>
              <w:pStyle w:val="878"/>
              <w:jc w:val="both"/>
              <w:rPr>
                <w:b w:val="0"/>
                <w:bCs w:val="0"/>
                <w:sz w:val="25"/>
                <w:szCs w:val="25"/>
                <w:highlight w:val="yellow"/>
              </w:rPr>
            </w:pPr>
            <w:r>
              <w:rPr>
                <w:b w:val="0"/>
                <w:bCs w:val="0"/>
                <w:sz w:val="25"/>
                <w:szCs w:val="25"/>
                <w:highlight w:val="yellow"/>
              </w:rPr>
            </w:r>
            <w:r>
              <w:rPr>
                <w:b w:val="0"/>
                <w:bCs w:val="0"/>
                <w:sz w:val="25"/>
                <w:szCs w:val="25"/>
                <w:highlight w:val="yellow"/>
              </w:rPr>
            </w:r>
            <w:r>
              <w:rPr>
                <w:b w:val="0"/>
                <w:bCs w:val="0"/>
                <w:sz w:val="25"/>
                <w:szCs w:val="25"/>
                <w:highlight w:val="yellow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118" w:type="pct"/>
            <w:vAlign w:val="bottom"/>
            <w:textDirection w:val="lrTb"/>
            <w:noWrap w:val="false"/>
          </w:tcPr>
          <w:p>
            <w:pPr>
              <w:pStyle w:val="878"/>
              <w:rPr>
                <w:b w:val="0"/>
                <w:bCs w:val="0"/>
                <w:sz w:val="25"/>
                <w:szCs w:val="25"/>
              </w:rPr>
            </w:pPr>
            <w:r>
              <w:rPr>
                <w:b w:val="0"/>
                <w:bCs w:val="0"/>
                <w:sz w:val="25"/>
                <w:szCs w:val="25"/>
              </w:rPr>
              <w:t xml:space="preserve">К.Н. Мартюшева</w:t>
            </w:r>
            <w:r>
              <w:rPr>
                <w:b w:val="0"/>
                <w:bCs w:val="0"/>
                <w:sz w:val="25"/>
                <w:szCs w:val="25"/>
              </w:rPr>
            </w:r>
            <w:r>
              <w:rPr>
                <w:b w:val="0"/>
                <w:bCs w:val="0"/>
                <w:sz w:val="25"/>
                <w:szCs w:val="25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371" w:type="pct"/>
            <w:vAlign w:val="top"/>
            <w:textDirection w:val="lrTb"/>
            <w:noWrap w:val="false"/>
          </w:tcPr>
          <w:p>
            <w:pPr>
              <w:pStyle w:val="878"/>
              <w:jc w:val="both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</w:r>
            <w:r>
              <w:rPr>
                <w:sz w:val="25"/>
                <w:szCs w:val="25"/>
              </w:rPr>
            </w:r>
            <w:r>
              <w:rPr>
                <w:sz w:val="25"/>
                <w:szCs w:val="25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989" w:type="pct"/>
            <w:vAlign w:val="bottom"/>
            <w:textDirection w:val="lrTb"/>
            <w:noWrap w:val="false"/>
          </w:tcPr>
          <w:p>
            <w:pPr>
              <w:pStyle w:val="878"/>
              <w:rPr>
                <w:b/>
                <w:bCs/>
                <w:sz w:val="25"/>
                <w:szCs w:val="25"/>
              </w:rPr>
            </w:pPr>
            <w:r>
              <w:rPr>
                <w:b/>
                <w:bCs/>
                <w:sz w:val="25"/>
                <w:szCs w:val="25"/>
              </w:rPr>
              <w:t xml:space="preserve">____________</w:t>
            </w:r>
            <w:r>
              <w:rPr>
                <w:b/>
                <w:bCs/>
                <w:sz w:val="25"/>
                <w:szCs w:val="25"/>
              </w:rPr>
            </w:r>
            <w:r>
              <w:rPr>
                <w:b/>
                <w:bCs/>
                <w:sz w:val="25"/>
                <w:szCs w:val="25"/>
              </w:rPr>
            </w:r>
          </w:p>
        </w:tc>
      </w:tr>
      <w:tr>
        <w:tblPrEx/>
        <w:trPr>
          <w:trHeight w:val="348"/>
        </w:trPr>
        <w:tc>
          <w:tcPr>
            <w:tcBorders>
              <w:top w:val="none" w:color="000000" w:sz="4" w:space="0"/>
              <w:left w:val="none" w:color="000000" w:sz="4" w:space="0"/>
              <w:right w:val="none" w:color="000000" w:sz="4" w:space="0"/>
            </w:tcBorders>
            <w:tcW w:w="1522" w:type="pct"/>
            <w:vAlign w:val="bottom"/>
            <w:textDirection w:val="lrTb"/>
            <w:noWrap w:val="false"/>
          </w:tcPr>
          <w:p>
            <w:pPr>
              <w:pStyle w:val="878"/>
              <w:rPr>
                <w:szCs w:val="16"/>
              </w:rPr>
            </w:pPr>
            <w:r>
              <w:rPr>
                <w:szCs w:val="16"/>
              </w:rPr>
              <w:t xml:space="preserve">М.П.</w:t>
              <w:tab/>
            </w:r>
            <w:r>
              <w:rPr>
                <w:szCs w:val="16"/>
              </w:rPr>
            </w:r>
            <w:r>
              <w:rPr>
                <w:szCs w:val="16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right w:val="none" w:color="000000" w:sz="4" w:space="0"/>
            </w:tcBorders>
            <w:tcW w:w="1118" w:type="pct"/>
            <w:vAlign w:val="bottom"/>
            <w:textDirection w:val="lrTb"/>
            <w:noWrap w:val="false"/>
          </w:tcPr>
          <w:p>
            <w:pPr>
              <w:pStyle w:val="878"/>
              <w:rPr>
                <w:b/>
                <w:bCs/>
                <w:color w:val="000000"/>
                <w:szCs w:val="16"/>
              </w:rPr>
            </w:pPr>
            <w:r>
              <w:rPr>
                <w:b/>
                <w:bCs/>
                <w:color w:val="000000"/>
                <w:szCs w:val="16"/>
              </w:rPr>
            </w:r>
            <w:r>
              <w:rPr>
                <w:b/>
                <w:bCs/>
                <w:color w:val="000000"/>
                <w:szCs w:val="16"/>
              </w:rPr>
            </w:r>
            <w:r>
              <w:rPr>
                <w:b/>
                <w:bCs/>
                <w:color w:val="000000"/>
                <w:szCs w:val="16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right w:val="none" w:color="000000" w:sz="4" w:space="0"/>
            </w:tcBorders>
            <w:tcW w:w="1371" w:type="pct"/>
            <w:vAlign w:val="bottom"/>
            <w:textDirection w:val="lrTb"/>
            <w:noWrap w:val="false"/>
          </w:tcPr>
          <w:p>
            <w:pPr>
              <w:pStyle w:val="878"/>
              <w:rPr>
                <w:szCs w:val="16"/>
              </w:rPr>
            </w:pPr>
            <w:r>
              <w:rPr>
                <w:szCs w:val="16"/>
              </w:rPr>
              <w:t xml:space="preserve">М.П.</w:t>
            </w:r>
            <w:r>
              <w:rPr>
                <w:szCs w:val="16"/>
              </w:rPr>
            </w:r>
            <w:r>
              <w:rPr>
                <w:szCs w:val="16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right w:val="none" w:color="000000" w:sz="4" w:space="0"/>
            </w:tcBorders>
            <w:tcW w:w="989" w:type="pct"/>
            <w:vAlign w:val="bottom"/>
            <w:textDirection w:val="lrTb"/>
            <w:noWrap w:val="false"/>
          </w:tcPr>
          <w:p>
            <w:pPr>
              <w:pStyle w:val="878"/>
              <w:rPr>
                <w:b/>
                <w:bCs/>
                <w:szCs w:val="16"/>
              </w:rPr>
            </w:pPr>
            <w:r>
              <w:rPr>
                <w:b/>
                <w:bCs/>
                <w:szCs w:val="16"/>
              </w:rPr>
            </w:r>
            <w:r>
              <w:rPr>
                <w:b/>
                <w:bCs/>
                <w:szCs w:val="16"/>
              </w:rPr>
            </w:r>
            <w:r>
              <w:rPr>
                <w:b/>
                <w:bCs/>
                <w:szCs w:val="16"/>
              </w:rPr>
            </w:r>
          </w:p>
        </w:tc>
      </w:tr>
    </w:tbl>
    <w:p>
      <w:pPr>
        <w:pStyle w:val="869"/>
        <w:ind w:left="83"/>
        <w:tabs>
          <w:tab w:val="left" w:pos="1473" w:leader="none"/>
        </w:tabs>
      </w:pPr>
      <w:r/>
      <w:r/>
    </w:p>
    <w:p>
      <w:pPr>
        <w:pStyle w:val="869"/>
        <w:ind w:left="6946"/>
        <w:tabs>
          <w:tab w:val="left" w:pos="1473" w:leader="none"/>
        </w:tabs>
        <w:rPr>
          <w:sz w:val="24"/>
          <w:szCs w:val="24"/>
        </w:rPr>
      </w:pPr>
      <w:r>
        <w:rPr>
          <w:sz w:val="24"/>
          <w:szCs w:val="24"/>
        </w:rPr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Style w:val="869"/>
        <w:ind w:left="6946"/>
        <w:tabs>
          <w:tab w:val="left" w:pos="1473" w:leader="none"/>
        </w:tabs>
        <w:rPr>
          <w:sz w:val="24"/>
          <w:szCs w:val="24"/>
        </w:rPr>
      </w:pPr>
      <w:r>
        <w:rPr>
          <w:sz w:val="24"/>
          <w:szCs w:val="24"/>
        </w:rPr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Style w:val="869"/>
        <w:ind w:left="6946"/>
        <w:tabs>
          <w:tab w:val="left" w:pos="1473" w:leader="none"/>
        </w:tabs>
        <w:rPr>
          <w:sz w:val="24"/>
          <w:szCs w:val="24"/>
        </w:rPr>
      </w:pPr>
      <w:r>
        <w:rPr>
          <w:sz w:val="24"/>
          <w:szCs w:val="24"/>
        </w:rPr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Style w:val="869"/>
        <w:ind w:left="6946"/>
        <w:tabs>
          <w:tab w:val="left" w:pos="1473" w:leader="none"/>
        </w:tabs>
        <w:rPr>
          <w:sz w:val="24"/>
          <w:szCs w:val="24"/>
        </w:rPr>
      </w:pPr>
      <w:r>
        <w:rPr>
          <w:sz w:val="24"/>
          <w:szCs w:val="24"/>
        </w:rPr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Style w:val="869"/>
        <w:ind w:left="6946"/>
        <w:tabs>
          <w:tab w:val="left" w:pos="1473" w:leader="none"/>
        </w:tabs>
        <w:rPr>
          <w:sz w:val="24"/>
          <w:szCs w:val="24"/>
        </w:rPr>
      </w:pPr>
      <w:r>
        <w:rPr>
          <w:sz w:val="24"/>
          <w:szCs w:val="24"/>
        </w:rPr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Style w:val="869"/>
        <w:ind w:left="6946"/>
        <w:tabs>
          <w:tab w:val="left" w:pos="1473" w:leader="none"/>
        </w:tabs>
        <w:rPr>
          <w:sz w:val="24"/>
          <w:szCs w:val="24"/>
        </w:rPr>
      </w:pPr>
      <w:r>
        <w:rPr>
          <w:sz w:val="24"/>
          <w:szCs w:val="24"/>
        </w:rPr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Style w:val="869"/>
        <w:ind w:left="6946"/>
        <w:tabs>
          <w:tab w:val="left" w:pos="1473" w:leader="none"/>
        </w:tabs>
        <w:rPr>
          <w:sz w:val="24"/>
          <w:szCs w:val="24"/>
        </w:rPr>
      </w:pPr>
      <w:r>
        <w:rPr>
          <w:sz w:val="24"/>
          <w:szCs w:val="24"/>
        </w:rPr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Style w:val="869"/>
        <w:ind w:left="6946"/>
        <w:tabs>
          <w:tab w:val="left" w:pos="1473" w:leader="none"/>
        </w:tabs>
        <w:rPr>
          <w:sz w:val="24"/>
          <w:szCs w:val="24"/>
        </w:rPr>
      </w:pPr>
      <w:r>
        <w:rPr>
          <w:sz w:val="24"/>
          <w:szCs w:val="24"/>
        </w:rPr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Style w:val="869"/>
        <w:ind w:left="6946"/>
        <w:tabs>
          <w:tab w:val="left" w:pos="1473" w:leader="none"/>
        </w:tabs>
        <w:rPr>
          <w:sz w:val="24"/>
          <w:szCs w:val="24"/>
        </w:rPr>
      </w:pPr>
      <w:r>
        <w:rPr>
          <w:sz w:val="24"/>
          <w:szCs w:val="24"/>
        </w:rPr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Style w:val="869"/>
        <w:ind w:left="6946"/>
        <w:tabs>
          <w:tab w:val="left" w:pos="1473" w:leader="none"/>
        </w:tabs>
        <w:rPr>
          <w:sz w:val="24"/>
          <w:szCs w:val="24"/>
        </w:rPr>
      </w:pPr>
      <w:r>
        <w:rPr>
          <w:sz w:val="24"/>
          <w:szCs w:val="24"/>
        </w:rPr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jc w:val="right"/>
        <w:rPr>
          <w:sz w:val="24"/>
          <w:szCs w:val="24"/>
        </w:rPr>
      </w:pPr>
      <w:r>
        <w:rPr>
          <w:sz w:val="24"/>
          <w:szCs w:val="22"/>
          <w:highlight w:val="none"/>
        </w:rPr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Style w:val="869"/>
        <w:jc w:val="right"/>
        <w:rPr>
          <w:sz w:val="24"/>
          <w:szCs w:val="24"/>
          <w:highlight w:val="none"/>
        </w:rPr>
      </w:pPr>
      <w:r>
        <w:rPr>
          <w:sz w:val="24"/>
          <w:szCs w:val="22"/>
        </w:rPr>
        <w:t xml:space="preserve">Приложение №1  к Договору </w:t>
      </w:r>
      <w:r>
        <w:rPr>
          <w:sz w:val="24"/>
          <w:szCs w:val="24"/>
          <w:highlight w:val="none"/>
        </w:rPr>
      </w:r>
      <w:r>
        <w:rPr>
          <w:sz w:val="24"/>
          <w:szCs w:val="24"/>
          <w:highlight w:val="none"/>
        </w:rPr>
      </w:r>
    </w:p>
    <w:p>
      <w:pPr>
        <w:pStyle w:val="869"/>
        <w:jc w:val="right"/>
        <w:rPr>
          <w:sz w:val="24"/>
          <w:szCs w:val="22"/>
        </w:rPr>
      </w:pPr>
      <w:r>
        <w:rPr>
          <w:sz w:val="24"/>
          <w:szCs w:val="22"/>
        </w:rPr>
        <w:t xml:space="preserve">от «___» _______ 20</w:t>
      </w:r>
      <w:r>
        <w:rPr>
          <w:sz w:val="24"/>
          <w:szCs w:val="22"/>
        </w:rPr>
        <w:t xml:space="preserve">2</w:t>
      </w:r>
      <w:r>
        <w:rPr>
          <w:sz w:val="24"/>
          <w:szCs w:val="22"/>
        </w:rPr>
        <w:t xml:space="preserve">6</w:t>
      </w:r>
      <w:r>
        <w:rPr>
          <w:sz w:val="24"/>
          <w:szCs w:val="22"/>
        </w:rPr>
        <w:t xml:space="preserve"> г. № </w:t>
      </w:r>
      <w:r>
        <w:rPr>
          <w:sz w:val="24"/>
          <w:szCs w:val="22"/>
        </w:rPr>
        <w:t xml:space="preserve">__________</w:t>
      </w:r>
      <w:r>
        <w:rPr>
          <w:sz w:val="24"/>
          <w:szCs w:val="22"/>
        </w:rPr>
      </w:r>
      <w:r>
        <w:rPr>
          <w:sz w:val="24"/>
          <w:szCs w:val="22"/>
        </w:rPr>
      </w:r>
    </w:p>
    <w:p>
      <w:pPr>
        <w:pStyle w:val="869"/>
        <w:rPr>
          <w:sz w:val="24"/>
          <w:szCs w:val="24"/>
        </w:rPr>
      </w:pPr>
      <w:r>
        <w:rPr>
          <w:sz w:val="24"/>
          <w:szCs w:val="24"/>
        </w:rPr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Style w:val="869"/>
        <w:jc w:val="center"/>
        <w:spacing w:after="120"/>
        <w:rPr>
          <w:sz w:val="28"/>
          <w:szCs w:val="24"/>
        </w:rPr>
      </w:pPr>
      <w:r>
        <w:rPr>
          <w:sz w:val="28"/>
          <w:szCs w:val="24"/>
        </w:rPr>
        <w:t xml:space="preserve">Специфик</w:t>
      </w:r>
      <w:r>
        <w:rPr>
          <w:sz w:val="28"/>
          <w:szCs w:val="24"/>
        </w:rPr>
        <w:t xml:space="preserve">ация услуг по защите информации</w:t>
      </w:r>
      <w:r>
        <w:rPr>
          <w:sz w:val="28"/>
          <w:szCs w:val="24"/>
        </w:rPr>
      </w:r>
      <w:r>
        <w:rPr>
          <w:sz w:val="28"/>
          <w:szCs w:val="24"/>
        </w:rPr>
      </w:r>
    </w:p>
    <w:tbl>
      <w:tblPr>
        <w:tblW w:w="9751" w:type="dxa"/>
        <w:tblInd w:w="25" w:type="dxa"/>
        <w:tblLayout w:type="fixed"/>
        <w:tblCellMar>
          <w:left w:w="0" w:type="dxa"/>
          <w:top w:w="0" w:type="dxa"/>
          <w:right w:w="0" w:type="dxa"/>
          <w:bottom w:w="0" w:type="dxa"/>
        </w:tblCellMar>
        <w:tblLook w:val="04A0" w:firstRow="1" w:lastRow="0" w:firstColumn="1" w:lastColumn="0" w:noHBand="0" w:noVBand="1"/>
      </w:tblPr>
      <w:tblGrid>
        <w:gridCol w:w="396"/>
        <w:gridCol w:w="4546"/>
        <w:gridCol w:w="2833"/>
        <w:gridCol w:w="1976"/>
      </w:tblGrid>
      <w:tr>
        <w:tblPrEx/>
        <w:trPr>
          <w:trHeight w:val="922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W w:w="396" w:type="dxa"/>
            <w:vAlign w:val="center"/>
            <w:textDirection w:val="lrTb"/>
            <w:noWrap w:val="false"/>
          </w:tcPr>
          <w:p>
            <w:pPr>
              <w:pStyle w:val="869"/>
              <w:jc w:val="center"/>
            </w:pPr>
            <w:r>
              <w:t xml:space="preserve">№ п/п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W w:w="4546" w:type="dxa"/>
            <w:vAlign w:val="center"/>
            <w:textDirection w:val="lrTb"/>
            <w:noWrap w:val="false"/>
          </w:tcPr>
          <w:p>
            <w:pPr>
              <w:pStyle w:val="869"/>
              <w:jc w:val="center"/>
            </w:pPr>
            <w:r>
              <w:t xml:space="preserve">Наименование, виды и перечень (содержание и объемы) услуг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W w:w="2833" w:type="dxa"/>
            <w:vAlign w:val="center"/>
            <w:textDirection w:val="lrTb"/>
            <w:noWrap w:val="false"/>
          </w:tcPr>
          <w:p>
            <w:pPr>
              <w:pStyle w:val="897"/>
              <w:jc w:val="center"/>
              <w:spacing w:after="0" w:line="240" w:lineRule="auto"/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  <w:t xml:space="preserve">Сумма, руб., без НДС</w:t>
            </w: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976" w:type="dxa"/>
            <w:vAlign w:val="center"/>
            <w:textDirection w:val="lrTb"/>
            <w:noWrap w:val="false"/>
          </w:tcPr>
          <w:p>
            <w:pPr>
              <w:pStyle w:val="897"/>
              <w:jc w:val="center"/>
              <w:spacing w:after="0" w:line="240" w:lineRule="auto"/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  <w:t xml:space="preserve">Сумма, руб., с НДС</w:t>
            </w: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r>
          </w:p>
        </w:tc>
      </w:tr>
      <w:tr>
        <w:tblPrEx/>
        <w:trPr>
          <w:trHeight w:val="233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W w:w="396" w:type="dxa"/>
            <w:vAlign w:val="center"/>
            <w:textDirection w:val="lrTb"/>
            <w:noWrap w:val="false"/>
          </w:tcPr>
          <w:p>
            <w:pPr>
              <w:pStyle w:val="897"/>
              <w:jc w:val="center"/>
              <w:spacing w:after="0" w:line="240" w:lineRule="auto"/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  <w:t xml:space="preserve">1.</w:t>
            </w: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W w:w="4546" w:type="dxa"/>
            <w:vAlign w:val="top"/>
            <w:textDirection w:val="lrTb"/>
            <w:noWrap w:val="false"/>
          </w:tcPr>
          <w:p>
            <w:pPr>
              <w:pStyle w:val="869"/>
              <w:ind w:left="151" w:right="142"/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Обследо</w:t>
            </w:r>
            <w:r>
              <w:rPr>
                <w:color w:val="000000"/>
              </w:rPr>
              <w:t xml:space="preserve">вание объектов (Определение основных исходных данных для разработки документации: определение категории объекта, имеющихся у заказчика в эксплуатации объектов информатизации, выявление каналов утечки информации, типов разведки и других необходимых данных).</w:t>
            </w: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W w:w="2833" w:type="dxa"/>
            <w:vAlign w:val="center"/>
            <w:textDirection w:val="lrTb"/>
            <w:noWrap w:val="false"/>
          </w:tcPr>
          <w:p>
            <w:r/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976" w:type="dxa"/>
            <w:vAlign w:val="center"/>
            <w:textDirection w:val="lrTb"/>
            <w:noWrap w:val="false"/>
          </w:tcPr>
          <w:p>
            <w:r/>
            <w:r/>
          </w:p>
        </w:tc>
      </w:tr>
      <w:tr>
        <w:tblPrEx/>
        <w:trPr>
          <w:trHeight w:val="339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W w:w="396" w:type="dxa"/>
            <w:vAlign w:val="center"/>
            <w:textDirection w:val="lrTb"/>
            <w:noWrap w:val="false"/>
          </w:tcPr>
          <w:p>
            <w:pPr>
              <w:pStyle w:val="869"/>
              <w:jc w:val="center"/>
            </w:pPr>
            <w:r>
              <w:t xml:space="preserve">2.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W w:w="4546" w:type="dxa"/>
            <w:vAlign w:val="top"/>
            <w:textDirection w:val="lrTb"/>
            <w:noWrap w:val="false"/>
          </w:tcPr>
          <w:p>
            <w:pPr>
              <w:pStyle w:val="869"/>
              <w:ind w:left="151" w:right="142"/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Оказание методической помощи в составлении документации Руководства: консультации по вопросам защиты информации в контексте разрабатываемого документа, помощь в составлении и оформлении организационных и технических разделов Руководства (проект </w:t>
            </w:r>
            <w:r>
              <w:rPr>
                <w:color w:val="000000"/>
              </w:rPr>
              <w:t xml:space="preserve">Руководства</w:t>
            </w:r>
            <w:r>
              <w:rPr>
                <w:color w:val="000000"/>
              </w:rPr>
              <w:t xml:space="preserve"> передаются Заказчику на учтенных машинных носителях информации).</w:t>
            </w: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W w:w="2833" w:type="dxa"/>
            <w:vAlign w:val="center"/>
            <w:textDirection w:val="lrTb"/>
            <w:noWrap w:val="false"/>
          </w:tcPr>
          <w:p>
            <w:r/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976" w:type="dxa"/>
            <w:vAlign w:val="center"/>
            <w:textDirection w:val="lrTb"/>
            <w:noWrap w:val="false"/>
          </w:tcPr>
          <w:p>
            <w:r/>
            <w:r/>
          </w:p>
        </w:tc>
      </w:tr>
      <w:tr>
        <w:tblPrEx/>
        <w:trPr>
          <w:trHeight w:val="339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W w:w="396" w:type="dxa"/>
            <w:vAlign w:val="center"/>
            <w:textDirection w:val="lrTb"/>
            <w:noWrap w:val="false"/>
          </w:tcPr>
          <w:p>
            <w:pPr>
              <w:pStyle w:val="869"/>
              <w:jc w:val="center"/>
            </w:pPr>
            <w:r>
              <w:t xml:space="preserve">3.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W w:w="4546" w:type="dxa"/>
            <w:vAlign w:val="top"/>
            <w:textDirection w:val="lrTb"/>
            <w:noWrap w:val="false"/>
          </w:tcPr>
          <w:p>
            <w:pPr>
              <w:pStyle w:val="869"/>
              <w:ind w:left="151" w:right="142"/>
              <w:jc w:val="both"/>
            </w:pPr>
            <w:r>
              <w:t xml:space="preserve">Сопровождение процедуры согласования Руково</w:t>
            </w:r>
            <w:r>
              <w:t xml:space="preserve">дства с Управлением ФСТЭК России по УрФО и Управление ФСБ России по Свердловской области: консультации по вопросам, возникающим в процессе согласования Руководства, внесение предложений по внесению изменений (доработки) в документацию, помощь в составлении</w:t>
            </w:r>
            <w:r>
              <w:t xml:space="preserve"> и оформлении организационных и технических разделов Руководства (проекты подготовленных документов передаются Заказчику на учтенных машинных носителях информации). Сопровождение осуществляется в течение одного календарного года с даты подписания договора.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W w:w="2833" w:type="dxa"/>
            <w:vAlign w:val="center"/>
            <w:textDirection w:val="lrTb"/>
            <w:noWrap w:val="false"/>
          </w:tcPr>
          <w:p>
            <w:r/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976" w:type="dxa"/>
            <w:vAlign w:val="center"/>
            <w:textDirection w:val="lrTb"/>
            <w:noWrap w:val="false"/>
          </w:tcPr>
          <w:p>
            <w:r/>
            <w:r/>
          </w:p>
        </w:tc>
      </w:tr>
      <w:tr>
        <w:tblPrEx/>
        <w:trPr>
          <w:trHeight w:val="276"/>
        </w:trPr>
        <w:tc>
          <w:tcPr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775" w:type="dxa"/>
            <w:vAlign w:val="center"/>
            <w:textDirection w:val="lrTb"/>
            <w:noWrap w:val="false"/>
          </w:tcPr>
          <w:p>
            <w:pPr>
              <w:pStyle w:val="869"/>
              <w:ind w:right="141"/>
              <w:jc w:val="right"/>
              <w:rPr>
                <w:b/>
              </w:rPr>
            </w:pPr>
            <w:r>
              <w:rPr>
                <w:b/>
              </w:rPr>
              <w:t xml:space="preserve">Итого:</w:t>
            </w:r>
            <w:r>
              <w:rPr>
                <w:b/>
              </w:rPr>
            </w:r>
            <w:r>
              <w:rPr>
                <w:b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976" w:type="dxa"/>
            <w:vAlign w:val="center"/>
            <w:textDirection w:val="lrTb"/>
            <w:noWrap w:val="false"/>
          </w:tcPr>
          <w:p>
            <w:r/>
            <w:r/>
          </w:p>
        </w:tc>
      </w:tr>
      <w:tr>
        <w:tblPrEx/>
        <w:trPr>
          <w:trHeight w:val="276"/>
        </w:trPr>
        <w:tc>
          <w:tcPr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775" w:type="dxa"/>
            <w:vAlign w:val="center"/>
            <w:textDirection w:val="lrTb"/>
            <w:noWrap w:val="false"/>
          </w:tcPr>
          <w:p>
            <w:pPr>
              <w:pStyle w:val="869"/>
              <w:ind w:right="141"/>
              <w:jc w:val="right"/>
              <w:rPr>
                <w:b/>
              </w:rPr>
            </w:pPr>
            <w:r>
              <w:rPr>
                <w:b/>
              </w:rPr>
              <w:t xml:space="preserve">В том числе НДС</w:t>
            </w:r>
            <w:r>
              <w:rPr>
                <w:b/>
              </w:rPr>
            </w:r>
            <w:r>
              <w:rPr>
                <w:b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976" w:type="dxa"/>
            <w:vAlign w:val="center"/>
            <w:textDirection w:val="lrTb"/>
            <w:noWrap w:val="false"/>
          </w:tcPr>
          <w:p>
            <w:r/>
            <w:r/>
          </w:p>
        </w:tc>
      </w:tr>
    </w:tbl>
    <w:p>
      <w:pPr>
        <w:pStyle w:val="878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</w:r>
      <w:r>
        <w:rPr>
          <w:rFonts w:ascii="Arial" w:hAnsi="Arial" w:cs="Arial"/>
          <w:sz w:val="16"/>
          <w:szCs w:val="16"/>
        </w:rPr>
      </w:r>
      <w:r>
        <w:rPr>
          <w:rFonts w:ascii="Arial" w:hAnsi="Arial" w:cs="Arial"/>
          <w:sz w:val="16"/>
          <w:szCs w:val="16"/>
        </w:rPr>
      </w:r>
    </w:p>
    <w:p>
      <w:pPr>
        <w:pStyle w:val="869"/>
      </w:pPr>
      <w:r/>
      <w:r/>
    </w:p>
    <w:p>
      <w:pPr>
        <w:pStyle w:val="869"/>
      </w:pPr>
      <w:r/>
      <w:r/>
    </w:p>
    <w:tbl>
      <w:tblPr>
        <w:tblW w:w="5000" w:type="pct"/>
        <w:tblInd w:w="0" w:type="dxa"/>
        <w:tblLayout w:type="autofit"/>
        <w:tblCellMar>
          <w:left w:w="108" w:type="dxa"/>
          <w:top w:w="0" w:type="dxa"/>
          <w:right w:w="108" w:type="dxa"/>
          <w:bottom w:w="0" w:type="dxa"/>
        </w:tblCellMar>
        <w:tblLook w:val="04A0" w:firstRow="1" w:lastRow="0" w:firstColumn="1" w:lastColumn="0" w:noHBand="0" w:noVBand="1"/>
      </w:tblPr>
      <w:tblGrid>
        <w:gridCol w:w="3000"/>
        <w:gridCol w:w="2203"/>
        <w:gridCol w:w="2702"/>
        <w:gridCol w:w="1949"/>
      </w:tblGrid>
      <w:tr>
        <w:tblPrEx/>
        <w:trPr>
          <w:trHeight w:val="266"/>
        </w:trPr>
        <w:tc>
          <w:tcPr>
            <w:gridSpan w:val="2"/>
            <w:tcBorders>
              <w:top w:val="none" w:color="000000" w:sz="4" w:space="0"/>
              <w:left w:val="none" w:color="000000" w:sz="4" w:space="0"/>
              <w:right w:val="none" w:color="000000" w:sz="4" w:space="0"/>
            </w:tcBorders>
            <w:tcW w:w="2640" w:type="pct"/>
            <w:vAlign w:val="top"/>
            <w:textDirection w:val="lrTb"/>
            <w:noWrap w:val="false"/>
          </w:tcPr>
          <w:p>
            <w:pPr>
              <w:pStyle w:val="878"/>
              <w:rPr>
                <w:b w:val="0"/>
                <w:bCs w:val="0"/>
                <w:sz w:val="25"/>
                <w:szCs w:val="25"/>
                <w:highlight w:val="yellow"/>
              </w:rPr>
            </w:pPr>
            <w:r>
              <w:rPr>
                <w:b w:val="0"/>
                <w:bCs w:val="0"/>
                <w:sz w:val="25"/>
                <w:szCs w:val="25"/>
                <w:highlight w:val="none"/>
              </w:rPr>
            </w:r>
            <w:r>
              <w:rPr>
                <w:rFonts w:ascii="Times New Roman" w:hAnsi="Times New Roman" w:cs="Times New Roman"/>
                <w:sz w:val="25"/>
                <w:szCs w:val="25"/>
              </w:rPr>
              <w:t xml:space="preserve">Заместитель начальника Департамента – начальник отдела экономики, администрирования доходов, бюджетной отчетности и закупок</w:t>
            </w:r>
            <w:r/>
            <w:r>
              <w:rPr>
                <w:b w:val="0"/>
                <w:bCs w:val="0"/>
                <w:sz w:val="25"/>
                <w:szCs w:val="25"/>
                <w:highlight w:val="none"/>
              </w:rPr>
            </w:r>
            <w:r>
              <w:rPr>
                <w:b w:val="0"/>
                <w:bCs w:val="0"/>
                <w:sz w:val="25"/>
                <w:szCs w:val="25"/>
                <w:highlight w:val="yellow"/>
              </w:rPr>
            </w:r>
          </w:p>
          <w:p>
            <w:pPr>
              <w:pStyle w:val="878"/>
              <w:rPr>
                <w:b w:val="0"/>
                <w:bCs w:val="0"/>
                <w:sz w:val="25"/>
                <w:szCs w:val="25"/>
                <w:highlight w:val="yellow"/>
              </w:rPr>
            </w:pPr>
            <w:r>
              <w:rPr>
                <w:b w:val="0"/>
                <w:bCs w:val="0"/>
                <w:sz w:val="25"/>
                <w:szCs w:val="25"/>
                <w:highlight w:val="yellow"/>
              </w:rPr>
            </w:r>
            <w:r>
              <w:rPr>
                <w:b w:val="0"/>
                <w:bCs w:val="0"/>
                <w:sz w:val="25"/>
                <w:szCs w:val="25"/>
                <w:highlight w:val="yellow"/>
              </w:rPr>
            </w:r>
            <w:r>
              <w:rPr>
                <w:b w:val="0"/>
                <w:bCs w:val="0"/>
                <w:sz w:val="25"/>
                <w:szCs w:val="25"/>
                <w:highlight w:val="yellow"/>
              </w:rPr>
            </w:r>
          </w:p>
        </w:tc>
        <w:tc>
          <w:tcPr>
            <w:gridSpan w:val="2"/>
            <w:tcBorders>
              <w:top w:val="none" w:color="000000" w:sz="4" w:space="0"/>
              <w:left w:val="none" w:color="000000" w:sz="4" w:space="0"/>
              <w:right w:val="none" w:color="000000" w:sz="4" w:space="0"/>
            </w:tcBorders>
            <w:tcW w:w="2360" w:type="pct"/>
            <w:vAlign w:val="top"/>
            <w:textDirection w:val="lrTb"/>
            <w:noWrap w:val="false"/>
          </w:tcPr>
          <w:p>
            <w:pPr>
              <w:pStyle w:val="878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 xml:space="preserve">_________________</w:t>
            </w:r>
            <w:r>
              <w:rPr>
                <w:b/>
                <w:bCs/>
                <w:sz w:val="24"/>
                <w:szCs w:val="24"/>
              </w:rPr>
            </w:r>
            <w:r>
              <w:rPr>
                <w:b/>
                <w:bCs/>
                <w:sz w:val="24"/>
                <w:szCs w:val="24"/>
              </w:rPr>
            </w:r>
          </w:p>
        </w:tc>
      </w:tr>
      <w:tr>
        <w:tblPrEx/>
        <w:trPr>
          <w:trHeight w:val="653"/>
        </w:trPr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522" w:type="pct"/>
            <w:vAlign w:val="top"/>
            <w:textDirection w:val="lrTb"/>
            <w:noWrap w:val="false"/>
          </w:tcPr>
          <w:p>
            <w:pPr>
              <w:pStyle w:val="878"/>
              <w:jc w:val="both"/>
              <w:rPr>
                <w:b w:val="0"/>
                <w:bCs w:val="0"/>
                <w:sz w:val="25"/>
                <w:szCs w:val="25"/>
                <w:highlight w:val="yellow"/>
              </w:rPr>
            </w:pPr>
            <w:r>
              <w:rPr>
                <w:b w:val="0"/>
                <w:bCs w:val="0"/>
                <w:sz w:val="25"/>
                <w:szCs w:val="25"/>
                <w:highlight w:val="yellow"/>
              </w:rPr>
            </w:r>
            <w:r>
              <w:rPr>
                <w:b w:val="0"/>
                <w:bCs w:val="0"/>
                <w:sz w:val="25"/>
                <w:szCs w:val="25"/>
                <w:highlight w:val="yellow"/>
              </w:rPr>
            </w:r>
            <w:r>
              <w:rPr>
                <w:b w:val="0"/>
                <w:bCs w:val="0"/>
                <w:sz w:val="25"/>
                <w:szCs w:val="25"/>
                <w:highlight w:val="yellow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118" w:type="pct"/>
            <w:vAlign w:val="bottom"/>
            <w:textDirection w:val="lrTb"/>
            <w:noWrap w:val="false"/>
          </w:tcPr>
          <w:p>
            <w:pPr>
              <w:pStyle w:val="878"/>
              <w:rPr>
                <w:b w:val="0"/>
                <w:bCs w:val="0"/>
                <w:sz w:val="25"/>
                <w:szCs w:val="25"/>
              </w:rPr>
            </w:pPr>
            <w:r>
              <w:rPr>
                <w:b w:val="0"/>
                <w:bCs w:val="0"/>
                <w:sz w:val="25"/>
                <w:szCs w:val="25"/>
              </w:rPr>
              <w:t xml:space="preserve">К.Н. Мартюшева</w:t>
            </w:r>
            <w:r>
              <w:rPr>
                <w:b w:val="0"/>
                <w:bCs w:val="0"/>
                <w:sz w:val="25"/>
                <w:szCs w:val="25"/>
              </w:rPr>
            </w:r>
            <w:r>
              <w:rPr>
                <w:b w:val="0"/>
                <w:bCs w:val="0"/>
                <w:sz w:val="25"/>
                <w:szCs w:val="25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371" w:type="pct"/>
            <w:vAlign w:val="top"/>
            <w:textDirection w:val="lrTb"/>
            <w:noWrap w:val="false"/>
          </w:tcPr>
          <w:p>
            <w:pPr>
              <w:pStyle w:val="87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989" w:type="pct"/>
            <w:vAlign w:val="bottom"/>
            <w:textDirection w:val="lrTb"/>
            <w:noWrap w:val="false"/>
          </w:tcPr>
          <w:p>
            <w:pPr>
              <w:pStyle w:val="878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 xml:space="preserve">_____________</w:t>
            </w:r>
            <w:r>
              <w:rPr>
                <w:b/>
                <w:bCs/>
                <w:sz w:val="24"/>
                <w:szCs w:val="24"/>
              </w:rPr>
            </w:r>
            <w:r>
              <w:rPr>
                <w:b/>
                <w:bCs/>
                <w:sz w:val="24"/>
                <w:szCs w:val="24"/>
              </w:rPr>
            </w:r>
          </w:p>
        </w:tc>
      </w:tr>
      <w:tr>
        <w:tblPrEx/>
        <w:trPr>
          <w:trHeight w:val="348"/>
        </w:trPr>
        <w:tc>
          <w:tcPr>
            <w:tcBorders>
              <w:top w:val="none" w:color="000000" w:sz="4" w:space="0"/>
              <w:left w:val="none" w:color="000000" w:sz="4" w:space="0"/>
              <w:right w:val="none" w:color="000000" w:sz="4" w:space="0"/>
            </w:tcBorders>
            <w:tcW w:w="1522" w:type="pct"/>
            <w:vAlign w:val="bottom"/>
            <w:textDirection w:val="lrTb"/>
            <w:noWrap w:val="false"/>
          </w:tcPr>
          <w:p>
            <w:pPr>
              <w:pStyle w:val="878"/>
              <w:rPr>
                <w:szCs w:val="16"/>
              </w:rPr>
            </w:pPr>
            <w:r>
              <w:rPr>
                <w:szCs w:val="16"/>
              </w:rPr>
              <w:t xml:space="preserve">М.П.</w:t>
              <w:tab/>
            </w:r>
            <w:r>
              <w:rPr>
                <w:szCs w:val="16"/>
              </w:rPr>
            </w:r>
            <w:r>
              <w:rPr>
                <w:szCs w:val="16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right w:val="none" w:color="000000" w:sz="4" w:space="0"/>
            </w:tcBorders>
            <w:tcW w:w="1118" w:type="pct"/>
            <w:vAlign w:val="bottom"/>
            <w:textDirection w:val="lrTb"/>
            <w:noWrap w:val="false"/>
          </w:tcPr>
          <w:p>
            <w:pPr>
              <w:pStyle w:val="878"/>
              <w:rPr>
                <w:b/>
                <w:bCs/>
                <w:color w:val="000000"/>
                <w:szCs w:val="16"/>
              </w:rPr>
            </w:pPr>
            <w:r>
              <w:rPr>
                <w:b/>
                <w:bCs/>
                <w:color w:val="000000"/>
                <w:szCs w:val="16"/>
              </w:rPr>
            </w:r>
            <w:r>
              <w:rPr>
                <w:b/>
                <w:bCs/>
                <w:color w:val="000000"/>
                <w:szCs w:val="16"/>
              </w:rPr>
            </w:r>
            <w:r>
              <w:rPr>
                <w:b/>
                <w:bCs/>
                <w:color w:val="000000"/>
                <w:szCs w:val="16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right w:val="none" w:color="000000" w:sz="4" w:space="0"/>
            </w:tcBorders>
            <w:tcW w:w="1371" w:type="pct"/>
            <w:vAlign w:val="bottom"/>
            <w:textDirection w:val="lrTb"/>
            <w:noWrap w:val="false"/>
          </w:tcPr>
          <w:p>
            <w:pPr>
              <w:pStyle w:val="878"/>
              <w:rPr>
                <w:szCs w:val="16"/>
              </w:rPr>
            </w:pPr>
            <w:r>
              <w:rPr>
                <w:szCs w:val="16"/>
              </w:rPr>
              <w:t xml:space="preserve">М.П.</w:t>
            </w:r>
            <w:r>
              <w:rPr>
                <w:szCs w:val="16"/>
              </w:rPr>
            </w:r>
            <w:r>
              <w:rPr>
                <w:szCs w:val="16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right w:val="none" w:color="000000" w:sz="4" w:space="0"/>
            </w:tcBorders>
            <w:tcW w:w="989" w:type="pct"/>
            <w:vAlign w:val="bottom"/>
            <w:textDirection w:val="lrTb"/>
            <w:noWrap w:val="false"/>
          </w:tcPr>
          <w:p>
            <w:pPr>
              <w:pStyle w:val="878"/>
              <w:rPr>
                <w:b/>
                <w:bCs/>
                <w:szCs w:val="16"/>
              </w:rPr>
            </w:pPr>
            <w:r>
              <w:rPr>
                <w:b/>
                <w:bCs/>
                <w:szCs w:val="16"/>
              </w:rPr>
            </w:r>
            <w:r>
              <w:rPr>
                <w:b/>
                <w:bCs/>
                <w:szCs w:val="16"/>
              </w:rPr>
            </w:r>
            <w:r>
              <w:rPr>
                <w:b/>
                <w:bCs/>
                <w:szCs w:val="16"/>
              </w:rPr>
            </w:r>
          </w:p>
        </w:tc>
      </w:tr>
    </w:tbl>
    <w:p>
      <w:pPr>
        <w:pStyle w:val="869"/>
      </w:pPr>
      <w:r/>
      <w:r/>
    </w:p>
    <w:sectPr>
      <w:footerReference w:type="default" r:id="rId9"/>
      <w:footnotePr/>
      <w:endnotePr/>
      <w:type w:val="nextPage"/>
      <w:pgSz w:w="11907" w:h="16840" w:orient="portrait"/>
      <w:pgMar w:top="1134" w:right="851" w:bottom="993" w:left="1418" w:header="567" w:footer="567" w:gutter="0"/>
      <w:cols w:num="1" w:sep="0" w:space="709" w:equalWidth="1"/>
      <w:docGrid w:linePitch="36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>
        <w:separator/>
      </w:r>
      <w:r/>
    </w:p>
  </w:endnote>
  <w:endnote w:type="continuationSeparator" w:id="0">
    <w:p>
      <w:pPr>
        <w:spacing w:after="0" w:line="240" w:lineRule="auto"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10000000000000000"/>
  </w:font>
  <w:font w:name="Courier New">
    <w:panose1 w:val="02070409020205020404"/>
  </w:font>
  <w:font w:name="Symbol">
    <w:panose1 w:val="05010000000000000000"/>
  </w:font>
  <w:font w:name="Calibri">
    <w:panose1 w:val="020F0502020204030204"/>
  </w:font>
  <w:font w:name="Tahoma">
    <w:panose1 w:val="020B0604030504040204"/>
  </w:font>
  <w:font w:name="Times New Roman">
    <w:panose1 w:val="02020603050405020304"/>
  </w:font>
  <w:font w:name="Liberation Serif">
    <w:panose1 w:val="02020603050405020304"/>
  </w:font>
  <w:font w:name="Calibri Light">
    <w:panose1 w:val="020F0502020204030204"/>
  </w:font>
  <w:font w:name="Arial">
    <w:panose1 w:val="020B0604020202020204"/>
  </w:font>
  <w:font w:name="Cambria">
    <w:panose1 w:val="02040503050406030204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880"/>
    </w:pPr>
    <w:r/>
    <w:r/>
  </w:p>
  <w:p>
    <w:pPr>
      <w:pStyle w:val="880"/>
    </w:pPr>
    <w:r/>
    <w:r/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 w:line="240" w:lineRule="auto"/>
      </w:pPr>
      <w:r>
        <w:separator/>
      </w:r>
      <w:r/>
    </w:p>
  </w:footnote>
  <w:footnote w:type="continuationSeparator" w:id="0">
    <w:p>
      <w:pPr>
        <w:spacing w:after="0" w:line="240" w:lineRule="auto"/>
      </w:pPr>
      <w:r>
        <w:continuationSeparator/>
      </w:r>
      <w:r/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lvl w:ilvl="0">
      <w:start w:val="5"/>
      <w:numFmt w:val="decimal"/>
      <w:isLgl w:val="false"/>
      <w:suff w:val="tab"/>
      <w:lvlText w:val="%1."/>
      <w:lvlJc w:val="left"/>
      <w:pPr>
        <w:ind w:left="360" w:hanging="360"/>
        <w:tabs>
          <w:tab w:val="num" w:pos="360" w:leader="none"/>
        </w:tabs>
      </w:pPr>
      <w:rPr>
        <w:color w:val="000000"/>
      </w:rPr>
    </w:lvl>
    <w:lvl w:ilvl="1">
      <w:start w:val="1"/>
      <w:numFmt w:val="decimal"/>
      <w:isLgl w:val="false"/>
      <w:suff w:val="tab"/>
      <w:lvlText w:val="%1.%2."/>
      <w:lvlJc w:val="left"/>
      <w:pPr>
        <w:ind w:left="480" w:hanging="480"/>
        <w:tabs>
          <w:tab w:val="num" w:pos="480" w:leader="none"/>
        </w:tabs>
      </w:pPr>
    </w:lvl>
    <w:lvl w:ilvl="2">
      <w:start w:val="1"/>
      <w:numFmt w:val="decimal"/>
      <w:isLgl w:val="false"/>
      <w:suff w:val="tab"/>
      <w:lvlText w:val="%1.%2.%3."/>
      <w:lvlJc w:val="left"/>
      <w:pPr>
        <w:ind w:left="720" w:hanging="720"/>
        <w:tabs>
          <w:tab w:val="num" w:pos="720" w:leader="none"/>
        </w:tabs>
      </w:pPr>
    </w:lvl>
    <w:lvl w:ilvl="3">
      <w:start w:val="1"/>
      <w:numFmt w:val="decimal"/>
      <w:isLgl w:val="false"/>
      <w:suff w:val="tab"/>
      <w:lvlText w:val="%1.%2.%3.%4."/>
      <w:lvlJc w:val="left"/>
      <w:pPr>
        <w:ind w:left="720" w:hanging="720"/>
        <w:tabs>
          <w:tab w:val="num" w:pos="720" w:leader="none"/>
        </w:tabs>
      </w:pPr>
    </w:lvl>
    <w:lvl w:ilvl="4">
      <w:start w:val="1"/>
      <w:numFmt w:val="decimal"/>
      <w:isLgl w:val="false"/>
      <w:suff w:val="tab"/>
      <w:lvlText w:val="%1.%2.%3.%4.%5."/>
      <w:lvlJc w:val="left"/>
      <w:pPr>
        <w:ind w:left="1080" w:hanging="1080"/>
        <w:tabs>
          <w:tab w:val="num" w:pos="1080" w:leader="none"/>
        </w:tabs>
      </w:pPr>
    </w:lvl>
    <w:lvl w:ilvl="5">
      <w:start w:val="1"/>
      <w:numFmt w:val="decimal"/>
      <w:isLgl w:val="false"/>
      <w:suff w:val="tab"/>
      <w:lvlText w:val="%1.%2.%3.%4.%5.%6."/>
      <w:lvlJc w:val="left"/>
      <w:pPr>
        <w:ind w:left="1080" w:hanging="1080"/>
        <w:tabs>
          <w:tab w:val="num" w:pos="1080" w:leader="none"/>
        </w:tabs>
      </w:pPr>
    </w:lvl>
    <w:lvl w:ilvl="6">
      <w:start w:val="1"/>
      <w:numFmt w:val="decimal"/>
      <w:isLgl w:val="false"/>
      <w:suff w:val="tab"/>
      <w:lvlText w:val="%1.%2.%3.%4.%5.%6.%7."/>
      <w:lvlJc w:val="left"/>
      <w:pPr>
        <w:ind w:left="1440" w:hanging="1440"/>
        <w:tabs>
          <w:tab w:val="num" w:pos="1440" w:leader="none"/>
        </w:tabs>
      </w:pPr>
    </w:lvl>
    <w:lvl w:ilvl="7">
      <w:start w:val="1"/>
      <w:numFmt w:val="decimal"/>
      <w:isLgl w:val="false"/>
      <w:suff w:val="tab"/>
      <w:lvlText w:val="%1.%2.%3.%4.%5.%6.%7.%8."/>
      <w:lvlJc w:val="left"/>
      <w:pPr>
        <w:ind w:left="1440" w:hanging="1440"/>
        <w:tabs>
          <w:tab w:val="num" w:pos="1440" w:leader="none"/>
        </w:tabs>
      </w:p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1800" w:hanging="1800"/>
        <w:tabs>
          <w:tab w:val="num" w:pos="1800" w:leader="none"/>
        </w:tabs>
      </w:pPr>
    </w:lvl>
  </w:abstractNum>
  <w:abstractNum w:abstractNumId="1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360" w:hanging="360"/>
      </w:pPr>
    </w:lvl>
    <w:lvl w:ilvl="1">
      <w:start w:val="1"/>
      <w:numFmt w:val="decimal"/>
      <w:isLgl w:val="false"/>
      <w:suff w:val="tab"/>
      <w:lvlText w:val="%1.%2."/>
      <w:lvlJc w:val="left"/>
      <w:pPr>
        <w:ind w:left="792" w:hanging="432"/>
      </w:pPr>
    </w:lvl>
    <w:lvl w:ilvl="2">
      <w:start w:val="1"/>
      <w:numFmt w:val="decimal"/>
      <w:isLgl w:val="false"/>
      <w:suff w:val="tab"/>
      <w:lvlText w:val="%1.%2.%3."/>
      <w:lvlJc w:val="left"/>
      <w:pPr>
        <w:ind w:left="1224" w:hanging="504"/>
      </w:pPr>
    </w:lvl>
    <w:lvl w:ilvl="3">
      <w:start w:val="1"/>
      <w:numFmt w:val="decimal"/>
      <w:isLgl w:val="false"/>
      <w:suff w:val="tab"/>
      <w:lvlText w:val="%1.%2.%3.%4."/>
      <w:lvlJc w:val="left"/>
      <w:pPr>
        <w:ind w:left="1728" w:hanging="648"/>
      </w:pPr>
    </w:lvl>
    <w:lvl w:ilvl="4">
      <w:start w:val="1"/>
      <w:numFmt w:val="decimal"/>
      <w:isLgl w:val="false"/>
      <w:suff w:val="tab"/>
      <w:lvlText w:val="%1.%2.%3.%4.%5."/>
      <w:lvlJc w:val="left"/>
      <w:pPr>
        <w:ind w:left="2232" w:hanging="792"/>
      </w:pPr>
    </w:lvl>
    <w:lvl w:ilvl="5">
      <w:start w:val="1"/>
      <w:numFmt w:val="decimal"/>
      <w:isLgl w:val="false"/>
      <w:suff w:val="tab"/>
      <w:lvlText w:val="%1.%2.%3.%4.%5.%6."/>
      <w:lvlJc w:val="left"/>
      <w:pPr>
        <w:ind w:left="2736" w:hanging="936"/>
      </w:pPr>
    </w:lvl>
    <w:lvl w:ilvl="6">
      <w:start w:val="1"/>
      <w:numFmt w:val="decimal"/>
      <w:isLgl w:val="false"/>
      <w:suff w:val="tab"/>
      <w:lvlText w:val="%1.%2.%3.%4.%5.%6.%7."/>
      <w:lvlJc w:val="left"/>
      <w:pPr>
        <w:ind w:left="3240" w:hanging="1080"/>
      </w:pPr>
    </w:lvl>
    <w:lvl w:ilvl="7">
      <w:start w:val="1"/>
      <w:numFmt w:val="decimal"/>
      <w:isLgl w:val="false"/>
      <w:suff w:val="tab"/>
      <w:lvlText w:val="%1.%2.%3.%4.%5.%6.%7.%8."/>
      <w:lvlJc w:val="left"/>
      <w:pPr>
        <w:ind w:left="3744" w:hanging="1224"/>
      </w:p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4320" w:hanging="1440"/>
      </w:pPr>
    </w:lvl>
  </w:abstractNum>
  <w:abstractNum w:abstractNumId="2">
    <w:multiLevelType w:val="hybridMultilevel"/>
    <w:lvl w:ilvl="0">
      <w:start w:val="3"/>
      <w:numFmt w:val="decimal"/>
      <w:isLgl w:val="false"/>
      <w:suff w:val="tab"/>
      <w:lvlText w:val="%1."/>
      <w:lvlJc w:val="left"/>
      <w:pPr>
        <w:ind w:left="360" w:hanging="360"/>
        <w:tabs>
          <w:tab w:val="num" w:pos="360" w:leader="none"/>
        </w:tabs>
      </w:pPr>
      <w:rPr>
        <w:color w:val="000000"/>
      </w:rPr>
    </w:lvl>
    <w:lvl w:ilvl="1">
      <w:start w:val="1"/>
      <w:numFmt w:val="decimal"/>
      <w:isLgl w:val="false"/>
      <w:suff w:val="tab"/>
      <w:lvlText w:val="%1.%2."/>
      <w:lvlJc w:val="left"/>
      <w:pPr>
        <w:ind w:left="480" w:hanging="480"/>
        <w:tabs>
          <w:tab w:val="num" w:pos="480" w:leader="none"/>
        </w:tabs>
      </w:pPr>
      <w:rPr>
        <w:sz w:val="24"/>
        <w:szCs w:val="24"/>
      </w:rPr>
    </w:lvl>
    <w:lvl w:ilvl="2">
      <w:start w:val="1"/>
      <w:numFmt w:val="decimal"/>
      <w:isLgl w:val="false"/>
      <w:suff w:val="tab"/>
      <w:lvlText w:val="%1.%2.%3."/>
      <w:lvlJc w:val="left"/>
      <w:pPr>
        <w:ind w:left="720" w:hanging="720"/>
        <w:tabs>
          <w:tab w:val="num" w:pos="720" w:leader="none"/>
        </w:tabs>
      </w:pPr>
      <w:rPr>
        <w:sz w:val="24"/>
        <w:szCs w:val="24"/>
      </w:rPr>
    </w:lvl>
    <w:lvl w:ilvl="3">
      <w:start w:val="1"/>
      <w:numFmt w:val="decimal"/>
      <w:isLgl w:val="false"/>
      <w:suff w:val="tab"/>
      <w:lvlText w:val="%1.%2.%3.%4."/>
      <w:lvlJc w:val="left"/>
      <w:pPr>
        <w:ind w:left="720" w:hanging="720"/>
        <w:tabs>
          <w:tab w:val="num" w:pos="720" w:leader="none"/>
        </w:tabs>
      </w:pPr>
    </w:lvl>
    <w:lvl w:ilvl="4">
      <w:start w:val="1"/>
      <w:numFmt w:val="decimal"/>
      <w:isLgl w:val="false"/>
      <w:suff w:val="tab"/>
      <w:lvlText w:val="%1.%2.%3.%4.%5."/>
      <w:lvlJc w:val="left"/>
      <w:pPr>
        <w:ind w:left="1080" w:hanging="1080"/>
        <w:tabs>
          <w:tab w:val="num" w:pos="1080" w:leader="none"/>
        </w:tabs>
      </w:pPr>
    </w:lvl>
    <w:lvl w:ilvl="5">
      <w:start w:val="1"/>
      <w:numFmt w:val="decimal"/>
      <w:isLgl w:val="false"/>
      <w:suff w:val="tab"/>
      <w:lvlText w:val="%1.%2.%3.%4.%5.%6."/>
      <w:lvlJc w:val="left"/>
      <w:pPr>
        <w:ind w:left="1080" w:hanging="1080"/>
        <w:tabs>
          <w:tab w:val="num" w:pos="1080" w:leader="none"/>
        </w:tabs>
      </w:pPr>
    </w:lvl>
    <w:lvl w:ilvl="6">
      <w:start w:val="1"/>
      <w:numFmt w:val="decimal"/>
      <w:isLgl w:val="false"/>
      <w:suff w:val="tab"/>
      <w:lvlText w:val="%1.%2.%3.%4.%5.%6.%7."/>
      <w:lvlJc w:val="left"/>
      <w:pPr>
        <w:ind w:left="1440" w:hanging="1440"/>
        <w:tabs>
          <w:tab w:val="num" w:pos="1440" w:leader="none"/>
        </w:tabs>
      </w:pPr>
    </w:lvl>
    <w:lvl w:ilvl="7">
      <w:start w:val="1"/>
      <w:numFmt w:val="decimal"/>
      <w:isLgl w:val="false"/>
      <w:suff w:val="tab"/>
      <w:lvlText w:val="%1.%2.%3.%4.%5.%6.%7.%8."/>
      <w:lvlJc w:val="left"/>
      <w:pPr>
        <w:ind w:left="1440" w:hanging="1440"/>
        <w:tabs>
          <w:tab w:val="num" w:pos="1440" w:leader="none"/>
        </w:tabs>
      </w:p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1800" w:hanging="1800"/>
        <w:tabs>
          <w:tab w:val="num" w:pos="1800" w:leader="none"/>
        </w:tabs>
      </w:pPr>
    </w:lvl>
  </w:abstractNum>
  <w:abstractNum w:abstractNumId="3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360" w:hanging="360"/>
        <w:tabs>
          <w:tab w:val="num" w:pos="360" w:leader="none"/>
        </w:tabs>
      </w:pPr>
      <w:rPr>
        <w:color w:val="000000"/>
      </w:rPr>
    </w:lvl>
    <w:lvl w:ilvl="1">
      <w:start w:val="1"/>
      <w:numFmt w:val="decimal"/>
      <w:isLgl w:val="false"/>
      <w:suff w:val="tab"/>
      <w:lvlText w:val="%1.%2."/>
      <w:lvlJc w:val="left"/>
      <w:pPr>
        <w:ind w:left="480" w:hanging="480"/>
        <w:tabs>
          <w:tab w:val="num" w:pos="480" w:leader="none"/>
        </w:tabs>
      </w:pPr>
    </w:lvl>
    <w:lvl w:ilvl="2">
      <w:start w:val="1"/>
      <w:numFmt w:val="decimal"/>
      <w:isLgl w:val="false"/>
      <w:suff w:val="tab"/>
      <w:lvlText w:val="%1.%2.%3."/>
      <w:lvlJc w:val="left"/>
      <w:pPr>
        <w:ind w:left="720" w:hanging="720"/>
        <w:tabs>
          <w:tab w:val="num" w:pos="720" w:leader="none"/>
        </w:tabs>
      </w:pPr>
    </w:lvl>
    <w:lvl w:ilvl="3">
      <w:start w:val="1"/>
      <w:numFmt w:val="decimal"/>
      <w:isLgl w:val="false"/>
      <w:suff w:val="tab"/>
      <w:lvlText w:val="%1.%2.%3.%4."/>
      <w:lvlJc w:val="left"/>
      <w:pPr>
        <w:ind w:left="720" w:hanging="720"/>
        <w:tabs>
          <w:tab w:val="num" w:pos="720" w:leader="none"/>
        </w:tabs>
      </w:pPr>
    </w:lvl>
    <w:lvl w:ilvl="4">
      <w:start w:val="1"/>
      <w:numFmt w:val="decimal"/>
      <w:isLgl w:val="false"/>
      <w:suff w:val="tab"/>
      <w:lvlText w:val="%1.%2.%3.%4.%5."/>
      <w:lvlJc w:val="left"/>
      <w:pPr>
        <w:ind w:left="1080" w:hanging="1080"/>
        <w:tabs>
          <w:tab w:val="num" w:pos="1080" w:leader="none"/>
        </w:tabs>
      </w:pPr>
    </w:lvl>
    <w:lvl w:ilvl="5">
      <w:start w:val="1"/>
      <w:numFmt w:val="decimal"/>
      <w:isLgl w:val="false"/>
      <w:suff w:val="tab"/>
      <w:lvlText w:val="%1.%2.%3.%4.%5.%6."/>
      <w:lvlJc w:val="left"/>
      <w:pPr>
        <w:ind w:left="1080" w:hanging="1080"/>
        <w:tabs>
          <w:tab w:val="num" w:pos="1080" w:leader="none"/>
        </w:tabs>
      </w:pPr>
    </w:lvl>
    <w:lvl w:ilvl="6">
      <w:start w:val="1"/>
      <w:numFmt w:val="decimal"/>
      <w:isLgl w:val="false"/>
      <w:suff w:val="tab"/>
      <w:lvlText w:val="%1.%2.%3.%4.%5.%6.%7."/>
      <w:lvlJc w:val="left"/>
      <w:pPr>
        <w:ind w:left="1440" w:hanging="1440"/>
        <w:tabs>
          <w:tab w:val="num" w:pos="1440" w:leader="none"/>
        </w:tabs>
      </w:pPr>
    </w:lvl>
    <w:lvl w:ilvl="7">
      <w:start w:val="1"/>
      <w:numFmt w:val="decimal"/>
      <w:isLgl w:val="false"/>
      <w:suff w:val="tab"/>
      <w:lvlText w:val="%1.%2.%3.%4.%5.%6.%7.%8."/>
      <w:lvlJc w:val="left"/>
      <w:pPr>
        <w:ind w:left="1440" w:hanging="1440"/>
        <w:tabs>
          <w:tab w:val="num" w:pos="1440" w:leader="none"/>
        </w:tabs>
      </w:p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1800" w:hanging="1800"/>
        <w:tabs>
          <w:tab w:val="num" w:pos="1800" w:leader="none"/>
        </w:tabs>
      </w:pPr>
    </w:lvl>
  </w:abstractNum>
  <w:abstractNum w:abstractNumId="4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360" w:hanging="360"/>
      </w:pPr>
    </w:lvl>
    <w:lvl w:ilvl="1">
      <w:start w:val="1"/>
      <w:numFmt w:val="decimal"/>
      <w:isLgl w:val="false"/>
      <w:suff w:val="tab"/>
      <w:lvlText w:val="%1.%2."/>
      <w:lvlJc w:val="left"/>
      <w:pPr>
        <w:ind w:left="792" w:hanging="432"/>
      </w:pPr>
    </w:lvl>
    <w:lvl w:ilvl="2">
      <w:start w:val="1"/>
      <w:numFmt w:val="decimal"/>
      <w:isLgl w:val="false"/>
      <w:suff w:val="tab"/>
      <w:lvlText w:val="%1.%2.%3."/>
      <w:lvlJc w:val="left"/>
      <w:pPr>
        <w:ind w:left="1224" w:hanging="504"/>
      </w:pPr>
    </w:lvl>
    <w:lvl w:ilvl="3">
      <w:start w:val="1"/>
      <w:numFmt w:val="decimal"/>
      <w:isLgl w:val="false"/>
      <w:suff w:val="tab"/>
      <w:lvlText w:val="%1.%2.%3.%4."/>
      <w:lvlJc w:val="left"/>
      <w:pPr>
        <w:ind w:left="1728" w:hanging="648"/>
      </w:pPr>
    </w:lvl>
    <w:lvl w:ilvl="4">
      <w:start w:val="1"/>
      <w:numFmt w:val="decimal"/>
      <w:isLgl w:val="false"/>
      <w:suff w:val="tab"/>
      <w:lvlText w:val="%1.%2.%3.%4.%5."/>
      <w:lvlJc w:val="left"/>
      <w:pPr>
        <w:ind w:left="2232" w:hanging="792"/>
      </w:pPr>
    </w:lvl>
    <w:lvl w:ilvl="5">
      <w:start w:val="1"/>
      <w:numFmt w:val="decimal"/>
      <w:isLgl w:val="false"/>
      <w:suff w:val="tab"/>
      <w:lvlText w:val="%1.%2.%3.%4.%5.%6."/>
      <w:lvlJc w:val="left"/>
      <w:pPr>
        <w:ind w:left="2736" w:hanging="936"/>
      </w:pPr>
    </w:lvl>
    <w:lvl w:ilvl="6">
      <w:start w:val="1"/>
      <w:numFmt w:val="decimal"/>
      <w:isLgl w:val="false"/>
      <w:suff w:val="tab"/>
      <w:lvlText w:val="%1.%2.%3.%4.%5.%6.%7."/>
      <w:lvlJc w:val="left"/>
      <w:pPr>
        <w:ind w:left="3240" w:hanging="1080"/>
      </w:pPr>
    </w:lvl>
    <w:lvl w:ilvl="7">
      <w:start w:val="1"/>
      <w:numFmt w:val="decimal"/>
      <w:isLgl w:val="false"/>
      <w:suff w:val="tab"/>
      <w:lvlText w:val="%1.%2.%3.%4.%5.%6.%7.%8."/>
      <w:lvlJc w:val="left"/>
      <w:pPr>
        <w:ind w:left="3744" w:hanging="1224"/>
      </w:p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4320" w:hanging="1440"/>
      </w:pPr>
    </w:lvl>
  </w:abstractNum>
  <w:abstractNum w:abstractNumId="5">
    <w:multiLevelType w:val="hybridMultilevel"/>
    <w:lvl w:ilvl="0">
      <w:start w:val="1"/>
      <w:numFmt w:val="bullet"/>
      <w:isLgl w:val="false"/>
      <w:suff w:val="tab"/>
      <w:lvlText w:val=""/>
      <w:lvlJc w:val="left"/>
      <w:pPr>
        <w:ind w:left="720" w:hanging="360"/>
      </w:pPr>
      <w:rPr>
        <w:rFonts w:ascii="Symbol" w:hAnsi="Symbol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</w:pPr>
      <w:rPr>
        <w:rFonts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2880" w:hanging="360"/>
      </w:pPr>
      <w:rPr>
        <w:rFonts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</w:pPr>
      <w:rPr>
        <w:rFonts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040" w:hanging="360"/>
      </w:pPr>
      <w:rPr>
        <w:rFonts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6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720" w:hanging="360"/>
      </w:pPr>
      <w:rPr>
        <w:rFonts w:ascii="Symbol" w:hAnsi="Symbol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</w:pPr>
      <w:rPr>
        <w:rFonts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2880" w:hanging="360"/>
      </w:pPr>
      <w:rPr>
        <w:rFonts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</w:pPr>
      <w:rPr>
        <w:rFonts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040" w:hanging="360"/>
      </w:pPr>
      <w:rPr>
        <w:rFonts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7">
    <w:multiLevelType w:val="hybridMultilevel"/>
    <w:lvl w:ilvl="0">
      <w:start w:val="5"/>
      <w:numFmt w:val="decimal"/>
      <w:isLgl w:val="false"/>
      <w:suff w:val="tab"/>
      <w:lvlText w:val="%1."/>
      <w:lvlJc w:val="left"/>
      <w:pPr>
        <w:ind w:left="360" w:hanging="360"/>
        <w:tabs>
          <w:tab w:val="num" w:pos="360" w:leader="none"/>
        </w:tabs>
      </w:pPr>
      <w:rPr>
        <w:color w:val="000000"/>
      </w:rPr>
    </w:lvl>
    <w:lvl w:ilvl="1">
      <w:start w:val="1"/>
      <w:numFmt w:val="decimal"/>
      <w:isLgl w:val="false"/>
      <w:suff w:val="tab"/>
      <w:lvlText w:val="%1.%2."/>
      <w:lvlJc w:val="left"/>
      <w:pPr>
        <w:ind w:left="480" w:hanging="480"/>
        <w:tabs>
          <w:tab w:val="num" w:pos="480" w:leader="none"/>
        </w:tabs>
      </w:pPr>
      <w:rPr>
        <w:rFonts w:ascii="Times New Roman" w:hAnsi="Times New Roman" w:cs="Times New Roman"/>
        <w:b w:val="0"/>
      </w:rPr>
    </w:lvl>
    <w:lvl w:ilvl="2">
      <w:start w:val="1"/>
      <w:numFmt w:val="decimal"/>
      <w:isLgl w:val="false"/>
      <w:suff w:val="tab"/>
      <w:lvlText w:val="%1.%2.%3."/>
      <w:lvlJc w:val="left"/>
      <w:pPr>
        <w:ind w:left="720" w:hanging="720"/>
        <w:tabs>
          <w:tab w:val="num" w:pos="720" w:leader="none"/>
        </w:tabs>
      </w:pPr>
    </w:lvl>
    <w:lvl w:ilvl="3">
      <w:start w:val="1"/>
      <w:numFmt w:val="decimal"/>
      <w:isLgl w:val="false"/>
      <w:suff w:val="tab"/>
      <w:lvlText w:val="%1.%2.%3.%4."/>
      <w:lvlJc w:val="left"/>
      <w:pPr>
        <w:ind w:left="720" w:hanging="720"/>
        <w:tabs>
          <w:tab w:val="num" w:pos="720" w:leader="none"/>
        </w:tabs>
      </w:pPr>
    </w:lvl>
    <w:lvl w:ilvl="4">
      <w:start w:val="1"/>
      <w:numFmt w:val="decimal"/>
      <w:isLgl w:val="false"/>
      <w:suff w:val="tab"/>
      <w:lvlText w:val="%1.%2.%3.%4.%5."/>
      <w:lvlJc w:val="left"/>
      <w:pPr>
        <w:ind w:left="1080" w:hanging="1080"/>
        <w:tabs>
          <w:tab w:val="num" w:pos="1080" w:leader="none"/>
        </w:tabs>
      </w:pPr>
    </w:lvl>
    <w:lvl w:ilvl="5">
      <w:start w:val="1"/>
      <w:numFmt w:val="decimal"/>
      <w:isLgl w:val="false"/>
      <w:suff w:val="tab"/>
      <w:lvlText w:val="%1.%2.%3.%4.%5.%6."/>
      <w:lvlJc w:val="left"/>
      <w:pPr>
        <w:ind w:left="1080" w:hanging="1080"/>
        <w:tabs>
          <w:tab w:val="num" w:pos="1080" w:leader="none"/>
        </w:tabs>
      </w:pPr>
    </w:lvl>
    <w:lvl w:ilvl="6">
      <w:start w:val="1"/>
      <w:numFmt w:val="decimal"/>
      <w:isLgl w:val="false"/>
      <w:suff w:val="tab"/>
      <w:lvlText w:val="%1.%2.%3.%4.%5.%6.%7."/>
      <w:lvlJc w:val="left"/>
      <w:pPr>
        <w:ind w:left="1440" w:hanging="1440"/>
        <w:tabs>
          <w:tab w:val="num" w:pos="1440" w:leader="none"/>
        </w:tabs>
      </w:pPr>
    </w:lvl>
    <w:lvl w:ilvl="7">
      <w:start w:val="1"/>
      <w:numFmt w:val="decimal"/>
      <w:isLgl w:val="false"/>
      <w:suff w:val="tab"/>
      <w:lvlText w:val="%1.%2.%3.%4.%5.%6.%7.%8."/>
      <w:lvlJc w:val="left"/>
      <w:pPr>
        <w:ind w:left="1440" w:hanging="1440"/>
        <w:tabs>
          <w:tab w:val="num" w:pos="1440" w:leader="none"/>
        </w:tabs>
      </w:p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1800" w:hanging="1800"/>
        <w:tabs>
          <w:tab w:val="num" w:pos="1800" w:leader="none"/>
        </w:tabs>
      </w:pPr>
    </w:lvl>
  </w:abstractNum>
  <w:abstractNum w:abstractNumId="8">
    <w:multiLevelType w:val="hybridMultilevel"/>
    <w:lvl w:ilvl="0">
      <w:start w:val="1"/>
      <w:numFmt w:val="thaiNumbers"/>
      <w:pStyle w:val="888"/>
      <w:isLgl w:val="false"/>
      <w:suff w:val="tab"/>
      <w:lvlText w:val="%1)"/>
      <w:lvlJc w:val="left"/>
      <w:pPr>
        <w:ind w:left="1200" w:hanging="360"/>
        <w:tabs>
          <w:tab w:val="num" w:pos="1200" w:leader="none"/>
        </w:tabs>
      </w:pPr>
      <w:rPr>
        <w:color w:val="000000"/>
      </w:rPr>
    </w:lvl>
    <w:lvl w:ilvl="1">
      <w:start w:val="1"/>
      <w:numFmt w:val="bullet"/>
      <w:isLgl w:val="false"/>
      <w:suff w:val="tab"/>
      <w:lvlText w:val="o"/>
      <w:lvlJc w:val="left"/>
      <w:pPr>
        <w:ind w:left="1920" w:hanging="360"/>
        <w:tabs>
          <w:tab w:val="num" w:pos="1920" w:leader="none"/>
        </w:tabs>
      </w:pPr>
      <w:rPr>
        <w:rFonts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640" w:hanging="360"/>
        <w:tabs>
          <w:tab w:val="num" w:pos="2640" w:leader="none"/>
        </w:tabs>
      </w:pPr>
      <w:rPr>
        <w:rFonts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3360" w:hanging="360"/>
        <w:tabs>
          <w:tab w:val="num" w:pos="3360" w:leader="none"/>
        </w:tabs>
      </w:pPr>
      <w:rPr>
        <w:rFonts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4080" w:hanging="360"/>
        <w:tabs>
          <w:tab w:val="num" w:pos="4080" w:leader="none"/>
        </w:tabs>
      </w:pPr>
      <w:rPr>
        <w:rFonts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800" w:hanging="360"/>
        <w:tabs>
          <w:tab w:val="num" w:pos="4800" w:leader="none"/>
        </w:tabs>
      </w:pPr>
      <w:rPr>
        <w:rFonts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520" w:hanging="360"/>
        <w:tabs>
          <w:tab w:val="num" w:pos="5520" w:leader="none"/>
        </w:tabs>
      </w:pPr>
      <w:rPr>
        <w:rFonts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6240" w:hanging="360"/>
        <w:tabs>
          <w:tab w:val="num" w:pos="6240" w:leader="none"/>
        </w:tabs>
      </w:pPr>
      <w:rPr>
        <w:rFonts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6960" w:hanging="360"/>
        <w:tabs>
          <w:tab w:val="num" w:pos="6960" w:leader="none"/>
        </w:tabs>
      </w:pPr>
      <w:rPr>
        <w:rFonts w:ascii="Wingdings" w:hAnsi="Wingdings"/>
      </w:rPr>
    </w:lvl>
  </w:abstractNum>
  <w:abstractNum w:abstractNumId="9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360" w:hanging="360"/>
      </w:pPr>
    </w:lvl>
    <w:lvl w:ilvl="1">
      <w:start w:val="1"/>
      <w:numFmt w:val="decimal"/>
      <w:isLgl w:val="false"/>
      <w:suff w:val="tab"/>
      <w:lvlText w:val="%1.%2."/>
      <w:lvlJc w:val="left"/>
      <w:pPr>
        <w:ind w:left="792" w:hanging="432"/>
      </w:pPr>
    </w:lvl>
    <w:lvl w:ilvl="2">
      <w:start w:val="1"/>
      <w:numFmt w:val="decimal"/>
      <w:isLgl w:val="false"/>
      <w:suff w:val="tab"/>
      <w:lvlText w:val="%1.%2.%3."/>
      <w:lvlJc w:val="left"/>
      <w:pPr>
        <w:ind w:left="1224" w:hanging="504"/>
      </w:pPr>
    </w:lvl>
    <w:lvl w:ilvl="3">
      <w:start w:val="1"/>
      <w:numFmt w:val="decimal"/>
      <w:isLgl w:val="false"/>
      <w:suff w:val="tab"/>
      <w:lvlText w:val="%1.%2.%3.%4."/>
      <w:lvlJc w:val="left"/>
      <w:pPr>
        <w:ind w:left="1728" w:hanging="648"/>
      </w:pPr>
    </w:lvl>
    <w:lvl w:ilvl="4">
      <w:start w:val="1"/>
      <w:numFmt w:val="decimal"/>
      <w:isLgl w:val="false"/>
      <w:suff w:val="tab"/>
      <w:lvlText w:val="%1.%2.%3.%4.%5."/>
      <w:lvlJc w:val="left"/>
      <w:pPr>
        <w:ind w:left="2232" w:hanging="792"/>
      </w:pPr>
    </w:lvl>
    <w:lvl w:ilvl="5">
      <w:start w:val="1"/>
      <w:numFmt w:val="decimal"/>
      <w:isLgl w:val="false"/>
      <w:suff w:val="tab"/>
      <w:lvlText w:val="%1.%2.%3.%4.%5.%6."/>
      <w:lvlJc w:val="left"/>
      <w:pPr>
        <w:ind w:left="2736" w:hanging="936"/>
      </w:pPr>
    </w:lvl>
    <w:lvl w:ilvl="6">
      <w:start w:val="1"/>
      <w:numFmt w:val="decimal"/>
      <w:isLgl w:val="false"/>
      <w:suff w:val="tab"/>
      <w:lvlText w:val="%1.%2.%3.%4.%5.%6.%7."/>
      <w:lvlJc w:val="left"/>
      <w:pPr>
        <w:ind w:left="3240" w:hanging="1080"/>
      </w:pPr>
    </w:lvl>
    <w:lvl w:ilvl="7">
      <w:start w:val="1"/>
      <w:numFmt w:val="decimal"/>
      <w:isLgl w:val="false"/>
      <w:suff w:val="tab"/>
      <w:lvlText w:val="%1.%2.%3.%4.%5.%6.%7.%8."/>
      <w:lvlJc w:val="left"/>
      <w:pPr>
        <w:ind w:left="3744" w:hanging="1224"/>
      </w:p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4320" w:hanging="1440"/>
      </w:pPr>
    </w:lvl>
  </w:abstractNum>
  <w:abstractNum w:abstractNumId="10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360" w:hanging="360"/>
        <w:tabs>
          <w:tab w:val="num" w:pos="360" w:leader="none"/>
        </w:tabs>
      </w:pPr>
      <w:rPr>
        <w:color w:val="000000"/>
      </w:rPr>
    </w:lvl>
    <w:lvl w:ilvl="1">
      <w:start w:val="1"/>
      <w:numFmt w:val="decimal"/>
      <w:isLgl w:val="false"/>
      <w:suff w:val="tab"/>
      <w:lvlText w:val="%1.%2."/>
      <w:lvlJc w:val="left"/>
      <w:pPr>
        <w:ind w:left="480" w:hanging="480"/>
        <w:tabs>
          <w:tab w:val="num" w:pos="480" w:leader="none"/>
        </w:tabs>
      </w:pPr>
      <w:rPr>
        <w:sz w:val="24"/>
      </w:rPr>
    </w:lvl>
    <w:lvl w:ilvl="2">
      <w:start w:val="1"/>
      <w:numFmt w:val="decimal"/>
      <w:isLgl w:val="false"/>
      <w:suff w:val="tab"/>
      <w:lvlText w:val="%1.%2.%3."/>
      <w:lvlJc w:val="left"/>
      <w:pPr>
        <w:ind w:left="720" w:hanging="720"/>
        <w:tabs>
          <w:tab w:val="num" w:pos="720" w:leader="none"/>
        </w:tabs>
      </w:pPr>
      <w:rPr>
        <w:sz w:val="24"/>
        <w:szCs w:val="24"/>
      </w:rPr>
    </w:lvl>
    <w:lvl w:ilvl="3">
      <w:start w:val="1"/>
      <w:numFmt w:val="decimal"/>
      <w:isLgl w:val="false"/>
      <w:suff w:val="tab"/>
      <w:lvlText w:val="%1.%2.%3.%4."/>
      <w:lvlJc w:val="left"/>
      <w:pPr>
        <w:ind w:left="720" w:hanging="720"/>
        <w:tabs>
          <w:tab w:val="num" w:pos="720" w:leader="none"/>
        </w:tabs>
      </w:pPr>
    </w:lvl>
    <w:lvl w:ilvl="4">
      <w:start w:val="1"/>
      <w:numFmt w:val="decimal"/>
      <w:isLgl w:val="false"/>
      <w:suff w:val="tab"/>
      <w:lvlText w:val="%1.%2.%3.%4.%5."/>
      <w:lvlJc w:val="left"/>
      <w:pPr>
        <w:ind w:left="1080" w:hanging="1080"/>
        <w:tabs>
          <w:tab w:val="num" w:pos="1080" w:leader="none"/>
        </w:tabs>
      </w:pPr>
    </w:lvl>
    <w:lvl w:ilvl="5">
      <w:start w:val="1"/>
      <w:numFmt w:val="decimal"/>
      <w:isLgl w:val="false"/>
      <w:suff w:val="tab"/>
      <w:lvlText w:val="%1.%2.%3.%4.%5.%6."/>
      <w:lvlJc w:val="left"/>
      <w:pPr>
        <w:ind w:left="1080" w:hanging="1080"/>
        <w:tabs>
          <w:tab w:val="num" w:pos="1080" w:leader="none"/>
        </w:tabs>
      </w:pPr>
    </w:lvl>
    <w:lvl w:ilvl="6">
      <w:start w:val="1"/>
      <w:numFmt w:val="decimal"/>
      <w:isLgl w:val="false"/>
      <w:suff w:val="tab"/>
      <w:lvlText w:val="%1.%2.%3.%4.%5.%6.%7."/>
      <w:lvlJc w:val="left"/>
      <w:pPr>
        <w:ind w:left="1440" w:hanging="1440"/>
        <w:tabs>
          <w:tab w:val="num" w:pos="1440" w:leader="none"/>
        </w:tabs>
      </w:pPr>
    </w:lvl>
    <w:lvl w:ilvl="7">
      <w:start w:val="1"/>
      <w:numFmt w:val="decimal"/>
      <w:isLgl w:val="false"/>
      <w:suff w:val="tab"/>
      <w:lvlText w:val="%1.%2.%3.%4.%5.%6.%7.%8."/>
      <w:lvlJc w:val="left"/>
      <w:pPr>
        <w:ind w:left="1440" w:hanging="1440"/>
        <w:tabs>
          <w:tab w:val="num" w:pos="1440" w:leader="none"/>
        </w:tabs>
      </w:p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1800" w:hanging="1800"/>
        <w:tabs>
          <w:tab w:val="num" w:pos="1800" w:leader="none"/>
        </w:tabs>
      </w:pPr>
    </w:lvl>
  </w:abstractNum>
  <w:num w:numId="1">
    <w:abstractNumId w:val="3"/>
  </w:num>
  <w:num w:numId="2">
    <w:abstractNumId w:val="8"/>
  </w:num>
  <w:num w:numId="3">
    <w:abstractNumId w:val="4"/>
  </w:num>
  <w:num w:numId="4">
    <w:abstractNumId w:val="1"/>
  </w:num>
  <w:num w:numId="5">
    <w:abstractNumId w:val="9"/>
  </w:num>
  <w:num w:numId="6">
    <w:abstractNumId w:val="7"/>
  </w:num>
  <w:num w:numId="7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2"/>
  </w:num>
  <w:num w:numId="9">
    <w:abstractNumId w:val="0"/>
  </w:num>
  <w:num w:numId="10">
    <w:abstractNumId w:val="6"/>
  </w:num>
  <w:num w:numId="11">
    <w:abstractNumId w:val="5"/>
  </w:num>
  <w:num w:numId="12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9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1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lang w:val="ru-RU" w:eastAsia="zh-CN" w:bidi="ar-SA"/>
      </w:rPr>
    </w:rPrDefault>
    <w:pPrDefault>
      <w:pPr/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691">
    <w:name w:val="Heading 1"/>
    <w:basedOn w:val="869"/>
    <w:next w:val="869"/>
    <w:link w:val="692"/>
    <w:uiPriority w:val="9"/>
    <w:qFormat/>
    <w:pPr>
      <w:keepLines/>
      <w:keepNext/>
      <w:spacing w:before="480" w:after="200"/>
      <w:outlineLvl w:val="0"/>
    </w:pPr>
    <w:rPr>
      <w:rFonts w:ascii="Arial" w:hAnsi="Arial" w:eastAsia="Arial" w:cs="Arial"/>
      <w:sz w:val="40"/>
      <w:szCs w:val="40"/>
    </w:rPr>
  </w:style>
  <w:style w:type="character" w:styleId="692">
    <w:name w:val="Heading 1 Char"/>
    <w:link w:val="691"/>
    <w:uiPriority w:val="9"/>
    <w:rPr>
      <w:rFonts w:ascii="Arial" w:hAnsi="Arial" w:eastAsia="Arial" w:cs="Arial"/>
      <w:sz w:val="40"/>
      <w:szCs w:val="40"/>
    </w:rPr>
  </w:style>
  <w:style w:type="paragraph" w:styleId="693">
    <w:name w:val="Heading 2"/>
    <w:basedOn w:val="869"/>
    <w:next w:val="869"/>
    <w:link w:val="694"/>
    <w:uiPriority w:val="9"/>
    <w:unhideWhenUsed/>
    <w:qFormat/>
    <w:pPr>
      <w:keepLines/>
      <w:keepNext/>
      <w:spacing w:before="360" w:after="200"/>
      <w:outlineLvl w:val="1"/>
    </w:pPr>
    <w:rPr>
      <w:rFonts w:ascii="Arial" w:hAnsi="Arial" w:eastAsia="Arial" w:cs="Arial"/>
      <w:sz w:val="34"/>
    </w:rPr>
  </w:style>
  <w:style w:type="character" w:styleId="694">
    <w:name w:val="Heading 2 Char"/>
    <w:link w:val="693"/>
    <w:uiPriority w:val="9"/>
    <w:rPr>
      <w:rFonts w:ascii="Arial" w:hAnsi="Arial" w:eastAsia="Arial" w:cs="Arial"/>
      <w:sz w:val="34"/>
    </w:rPr>
  </w:style>
  <w:style w:type="paragraph" w:styleId="695">
    <w:name w:val="Heading 3"/>
    <w:basedOn w:val="869"/>
    <w:next w:val="869"/>
    <w:link w:val="696"/>
    <w:uiPriority w:val="9"/>
    <w:unhideWhenUsed/>
    <w:qFormat/>
    <w:pPr>
      <w:keepLines/>
      <w:keepNext/>
      <w:spacing w:before="320" w:after="200"/>
      <w:outlineLvl w:val="2"/>
    </w:pPr>
    <w:rPr>
      <w:rFonts w:ascii="Arial" w:hAnsi="Arial" w:eastAsia="Arial" w:cs="Arial"/>
      <w:sz w:val="30"/>
      <w:szCs w:val="30"/>
    </w:rPr>
  </w:style>
  <w:style w:type="character" w:styleId="696">
    <w:name w:val="Heading 3 Char"/>
    <w:link w:val="695"/>
    <w:uiPriority w:val="9"/>
    <w:rPr>
      <w:rFonts w:ascii="Arial" w:hAnsi="Arial" w:eastAsia="Arial" w:cs="Arial"/>
      <w:sz w:val="30"/>
      <w:szCs w:val="30"/>
    </w:rPr>
  </w:style>
  <w:style w:type="paragraph" w:styleId="697">
    <w:name w:val="Heading 4"/>
    <w:basedOn w:val="869"/>
    <w:next w:val="869"/>
    <w:link w:val="698"/>
    <w:uiPriority w:val="9"/>
    <w:unhideWhenUsed/>
    <w:qFormat/>
    <w:pPr>
      <w:keepLines/>
      <w:keepNext/>
      <w:spacing w:before="320" w:after="200"/>
      <w:outlineLvl w:val="3"/>
    </w:pPr>
    <w:rPr>
      <w:rFonts w:ascii="Arial" w:hAnsi="Arial" w:eastAsia="Arial" w:cs="Arial"/>
      <w:b/>
      <w:bCs/>
      <w:sz w:val="26"/>
      <w:szCs w:val="26"/>
    </w:rPr>
  </w:style>
  <w:style w:type="character" w:styleId="698">
    <w:name w:val="Heading 4 Char"/>
    <w:link w:val="697"/>
    <w:uiPriority w:val="9"/>
    <w:rPr>
      <w:rFonts w:ascii="Arial" w:hAnsi="Arial" w:eastAsia="Arial" w:cs="Arial"/>
      <w:b/>
      <w:bCs/>
      <w:sz w:val="26"/>
      <w:szCs w:val="26"/>
    </w:rPr>
  </w:style>
  <w:style w:type="paragraph" w:styleId="699">
    <w:name w:val="Heading 5"/>
    <w:basedOn w:val="869"/>
    <w:next w:val="869"/>
    <w:link w:val="700"/>
    <w:uiPriority w:val="9"/>
    <w:unhideWhenUsed/>
    <w:qFormat/>
    <w:pPr>
      <w:keepLines/>
      <w:keepNext/>
      <w:spacing w:before="320" w:after="200"/>
      <w:outlineLvl w:val="4"/>
    </w:pPr>
    <w:rPr>
      <w:rFonts w:ascii="Arial" w:hAnsi="Arial" w:eastAsia="Arial" w:cs="Arial"/>
      <w:b/>
      <w:bCs/>
      <w:sz w:val="24"/>
      <w:szCs w:val="24"/>
    </w:rPr>
  </w:style>
  <w:style w:type="character" w:styleId="700">
    <w:name w:val="Heading 5 Char"/>
    <w:link w:val="699"/>
    <w:uiPriority w:val="9"/>
    <w:rPr>
      <w:rFonts w:ascii="Arial" w:hAnsi="Arial" w:eastAsia="Arial" w:cs="Arial"/>
      <w:b/>
      <w:bCs/>
      <w:sz w:val="24"/>
      <w:szCs w:val="24"/>
    </w:rPr>
  </w:style>
  <w:style w:type="paragraph" w:styleId="701">
    <w:name w:val="Heading 6"/>
    <w:basedOn w:val="869"/>
    <w:next w:val="869"/>
    <w:link w:val="702"/>
    <w:uiPriority w:val="9"/>
    <w:unhideWhenUsed/>
    <w:qFormat/>
    <w:pPr>
      <w:keepLines/>
      <w:keepNext/>
      <w:spacing w:before="320" w:after="200"/>
      <w:outlineLvl w:val="5"/>
    </w:pPr>
    <w:rPr>
      <w:rFonts w:ascii="Arial" w:hAnsi="Arial" w:eastAsia="Arial" w:cs="Arial"/>
      <w:b/>
      <w:bCs/>
      <w:sz w:val="22"/>
      <w:szCs w:val="22"/>
    </w:rPr>
  </w:style>
  <w:style w:type="character" w:styleId="702">
    <w:name w:val="Heading 6 Char"/>
    <w:link w:val="701"/>
    <w:uiPriority w:val="9"/>
    <w:rPr>
      <w:rFonts w:ascii="Arial" w:hAnsi="Arial" w:eastAsia="Arial" w:cs="Arial"/>
      <w:b/>
      <w:bCs/>
      <w:sz w:val="22"/>
      <w:szCs w:val="22"/>
    </w:rPr>
  </w:style>
  <w:style w:type="paragraph" w:styleId="703">
    <w:name w:val="Heading 7"/>
    <w:basedOn w:val="869"/>
    <w:next w:val="869"/>
    <w:link w:val="704"/>
    <w:uiPriority w:val="9"/>
    <w:unhideWhenUsed/>
    <w:qFormat/>
    <w:pPr>
      <w:keepLines/>
      <w:keepNext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character" w:styleId="704">
    <w:name w:val="Heading 7 Char"/>
    <w:link w:val="703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paragraph" w:styleId="705">
    <w:name w:val="Heading 8"/>
    <w:basedOn w:val="869"/>
    <w:next w:val="869"/>
    <w:link w:val="706"/>
    <w:uiPriority w:val="9"/>
    <w:unhideWhenUsed/>
    <w:qFormat/>
    <w:pPr>
      <w:keepLines/>
      <w:keepNext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character" w:styleId="706">
    <w:name w:val="Heading 8 Char"/>
    <w:link w:val="705"/>
    <w:uiPriority w:val="9"/>
    <w:rPr>
      <w:rFonts w:ascii="Arial" w:hAnsi="Arial" w:eastAsia="Arial" w:cs="Arial"/>
      <w:i/>
      <w:iCs/>
      <w:sz w:val="22"/>
      <w:szCs w:val="22"/>
    </w:rPr>
  </w:style>
  <w:style w:type="paragraph" w:styleId="707">
    <w:name w:val="Heading 9"/>
    <w:basedOn w:val="869"/>
    <w:next w:val="869"/>
    <w:link w:val="708"/>
    <w:uiPriority w:val="9"/>
    <w:unhideWhenUsed/>
    <w:qFormat/>
    <w:pPr>
      <w:keepLines/>
      <w:keepNext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708">
    <w:name w:val="Heading 9 Char"/>
    <w:link w:val="707"/>
    <w:uiPriority w:val="9"/>
    <w:rPr>
      <w:rFonts w:ascii="Arial" w:hAnsi="Arial" w:eastAsia="Arial" w:cs="Arial"/>
      <w:i/>
      <w:iCs/>
      <w:sz w:val="21"/>
      <w:szCs w:val="21"/>
    </w:rPr>
  </w:style>
  <w:style w:type="paragraph" w:styleId="709">
    <w:name w:val="List Paragraph"/>
    <w:basedOn w:val="869"/>
    <w:uiPriority w:val="34"/>
    <w:qFormat/>
    <w:pPr>
      <w:contextualSpacing/>
      <w:ind w:left="720"/>
    </w:pPr>
  </w:style>
  <w:style w:type="paragraph" w:styleId="710">
    <w:name w:val="No Spacing"/>
    <w:uiPriority w:val="1"/>
    <w:qFormat/>
    <w:pPr>
      <w:spacing w:before="0" w:after="0" w:line="240" w:lineRule="auto"/>
    </w:pPr>
  </w:style>
  <w:style w:type="paragraph" w:styleId="711">
    <w:name w:val="Title"/>
    <w:basedOn w:val="869"/>
    <w:next w:val="869"/>
    <w:link w:val="712"/>
    <w:uiPriority w:val="10"/>
    <w:qFormat/>
    <w:pPr>
      <w:contextualSpacing/>
      <w:spacing w:before="300" w:after="200"/>
    </w:pPr>
    <w:rPr>
      <w:sz w:val="48"/>
      <w:szCs w:val="48"/>
    </w:rPr>
  </w:style>
  <w:style w:type="character" w:styleId="712">
    <w:name w:val="Title Char"/>
    <w:link w:val="711"/>
    <w:uiPriority w:val="10"/>
    <w:rPr>
      <w:sz w:val="48"/>
      <w:szCs w:val="48"/>
    </w:rPr>
  </w:style>
  <w:style w:type="paragraph" w:styleId="713">
    <w:name w:val="Subtitle"/>
    <w:basedOn w:val="869"/>
    <w:next w:val="869"/>
    <w:link w:val="714"/>
    <w:uiPriority w:val="11"/>
    <w:qFormat/>
    <w:pPr>
      <w:spacing w:before="200" w:after="200"/>
    </w:pPr>
    <w:rPr>
      <w:sz w:val="24"/>
      <w:szCs w:val="24"/>
    </w:rPr>
  </w:style>
  <w:style w:type="character" w:styleId="714">
    <w:name w:val="Subtitle Char"/>
    <w:link w:val="713"/>
    <w:uiPriority w:val="11"/>
    <w:rPr>
      <w:sz w:val="24"/>
      <w:szCs w:val="24"/>
    </w:rPr>
  </w:style>
  <w:style w:type="paragraph" w:styleId="715">
    <w:name w:val="Quote"/>
    <w:basedOn w:val="869"/>
    <w:next w:val="869"/>
    <w:link w:val="716"/>
    <w:uiPriority w:val="29"/>
    <w:qFormat/>
    <w:pPr>
      <w:ind w:left="720" w:right="720"/>
    </w:pPr>
    <w:rPr>
      <w:i/>
    </w:rPr>
  </w:style>
  <w:style w:type="character" w:styleId="716">
    <w:name w:val="Quote Char"/>
    <w:link w:val="715"/>
    <w:uiPriority w:val="29"/>
    <w:rPr>
      <w:i/>
    </w:rPr>
  </w:style>
  <w:style w:type="paragraph" w:styleId="717">
    <w:name w:val="Intense Quote"/>
    <w:basedOn w:val="869"/>
    <w:next w:val="869"/>
    <w:link w:val="718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718">
    <w:name w:val="Intense Quote Char"/>
    <w:link w:val="717"/>
    <w:uiPriority w:val="30"/>
    <w:rPr>
      <w:i/>
    </w:rPr>
  </w:style>
  <w:style w:type="paragraph" w:styleId="719">
    <w:name w:val="Header"/>
    <w:basedOn w:val="869"/>
    <w:link w:val="720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720">
    <w:name w:val="Header Char"/>
    <w:link w:val="719"/>
    <w:uiPriority w:val="99"/>
  </w:style>
  <w:style w:type="paragraph" w:styleId="721">
    <w:name w:val="Footer"/>
    <w:basedOn w:val="869"/>
    <w:link w:val="722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722">
    <w:name w:val="Footer Char"/>
    <w:link w:val="721"/>
    <w:uiPriority w:val="99"/>
  </w:style>
  <w:style w:type="paragraph" w:styleId="723">
    <w:name w:val="Caption"/>
    <w:basedOn w:val="869"/>
    <w:next w:val="869"/>
    <w:link w:val="724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styleId="724">
    <w:name w:val="Caption Char"/>
    <w:link w:val="723"/>
    <w:uiPriority w:val="35"/>
    <w:rPr>
      <w:b/>
      <w:bCs/>
      <w:color w:val="4f81bd" w:themeColor="accent1"/>
      <w:sz w:val="18"/>
      <w:szCs w:val="18"/>
    </w:rPr>
  </w:style>
  <w:style w:type="table" w:styleId="725">
    <w:name w:val="Table Grid"/>
    <w:uiPriority w:val="59"/>
    <w:pPr>
      <w:spacing w:after="0" w:line="240" w:lineRule="auto"/>
    </w:p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726">
    <w:name w:val="Table Grid Light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727">
    <w:name w:val="Plain Table 1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728">
    <w:name w:val="Plain Table 2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729">
    <w:name w:val="Plain Table 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730">
    <w:name w:val="Plain Table 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31">
    <w:name w:val="Plain Table 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732">
    <w:name w:val="Grid Table 1 Light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33">
    <w:name w:val="Grid Table 1 Light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34">
    <w:name w:val="Grid Table 1 Light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35">
    <w:name w:val="Grid Table 1 Light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36">
    <w:name w:val="Grid Table 1 Light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37">
    <w:name w:val="Grid Table 1 Light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38">
    <w:name w:val="Grid Table 1 Light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39">
    <w:name w:val="Grid Table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0">
    <w:name w:val="Grid Table 2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1">
    <w:name w:val="Grid Table 2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2">
    <w:name w:val="Grid Table 2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3">
    <w:name w:val="Grid Table 2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4">
    <w:name w:val="Grid Table 2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5">
    <w:name w:val="Grid Table 2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6">
    <w:name w:val="Grid Table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7">
    <w:name w:val="Grid Table 3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8">
    <w:name w:val="Grid Table 3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9">
    <w:name w:val="Grid Table 3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0">
    <w:name w:val="Grid Table 3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1">
    <w:name w:val="Grid Table 3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2">
    <w:name w:val="Grid Table 3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3">
    <w:name w:val="Grid Table 4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54">
    <w:name w:val="Grid Table 4 - Accent 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themeTint="EA" w:fill="5d8dc2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755">
    <w:name w:val="Grid Table 4 - Accent 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756">
    <w:name w:val="Grid Table 4 - Accent 3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FE" w:fill="9bba59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757">
    <w:name w:val="Grid Table 4 - Accent 4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758">
    <w:name w:val="Grid Table 4 - Accent 5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759">
    <w:name w:val="Grid Table 4 - Accent 6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760">
    <w:name w:val="Grid Table 5 Dark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761">
    <w:name w:val="Grid Table 5 Dark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ae5f1" w:themeFill="accent1" w:themeFillTint="34"/>
    </w:tblPr>
    <w:tblStylePr w:type="band1Horz">
      <w:tcPr>
        <w:shd w:val="clear" w:color="ffffff" w:themeColor="accent1" w:themeTint="75" w:fill="adc5e0" w:themeFill="accent1" w:themeFillTint="75"/>
      </w:tcPr>
    </w:tblStylePr>
    <w:tblStylePr w:type="band1Vert">
      <w:tcPr>
        <w:shd w:val="clear" w:color="ffffff" w:themeColor="accent1" w:themeTint="75" w:fill="adc5e0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  <w:tcBorders>
          <w:top w:val="single" w:color="000000" w:themeColor="light1" w:sz="4" w:space="0"/>
        </w:tcBorders>
      </w:tcPr>
    </w:tblStylePr>
  </w:style>
  <w:style w:type="table" w:styleId="762">
    <w:name w:val="Grid Table 5 Dark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2dcdb" w:themeFill="accent2" w:themeFillTint="32"/>
    </w:tblPr>
    <w:tblStylePr w:type="band1Horz">
      <w:tcPr>
        <w:shd w:val="clear" w:color="ffffff" w:themeColor="accent2" w:themeTint="75" w:fill="e1adac" w:themeFill="accent2" w:themeFillTint="75"/>
      </w:tcPr>
    </w:tblStylePr>
    <w:tblStylePr w:type="band1Vert">
      <w:tcPr>
        <w:shd w:val="clear" w:color="ffffff" w:themeColor="accent2" w:themeTint="75" w:fill="e1adac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  <w:tcBorders>
          <w:top w:val="single" w:color="000000" w:themeColor="light1" w:sz="4" w:space="0"/>
        </w:tcBorders>
      </w:tcPr>
    </w:tblStylePr>
  </w:style>
  <w:style w:type="table" w:styleId="763">
    <w:name w:val="Grid Table 5 Dark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af0dd" w:themeFill="accent3" w:themeFillTint="34"/>
    </w:tblPr>
    <w:tblStylePr w:type="band1Horz">
      <w:tcPr>
        <w:shd w:val="clear" w:color="ffffff" w:themeColor="accent3" w:themeTint="75" w:fill="d1dfb2" w:themeFill="accent3" w:themeFillTint="75"/>
      </w:tcPr>
    </w:tblStylePr>
    <w:tblStylePr w:type="band1Vert">
      <w:tcPr>
        <w:shd w:val="clear" w:color="ffffff" w:themeColor="accent3" w:themeTint="75" w:fill="d1dfb2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  <w:tcBorders>
          <w:top w:val="single" w:color="000000" w:themeColor="light1" w:sz="4" w:space="0"/>
        </w:tcBorders>
      </w:tcPr>
    </w:tblStylePr>
  </w:style>
  <w:style w:type="table" w:styleId="764">
    <w:name w:val="Grid Table 5 Dark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e5dfec" w:themeFill="accent4" w:themeFillTint="34"/>
    </w:tblPr>
    <w:tblStylePr w:type="band1Horz">
      <w:tcPr>
        <w:shd w:val="clear" w:color="ffffff" w:themeColor="accent4" w:themeTint="75" w:fill="c4b7d4" w:themeFill="accent4" w:themeFillTint="75"/>
      </w:tcPr>
    </w:tblStylePr>
    <w:tblStylePr w:type="band1Vert">
      <w:tcPr>
        <w:shd w:val="clear" w:color="ffffff" w:themeColor="accent4" w:themeTint="75" w:fill="c4b7d4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  <w:tcBorders>
          <w:top w:val="single" w:color="000000" w:themeColor="light1" w:sz="4" w:space="0"/>
        </w:tcBorders>
      </w:tcPr>
    </w:tblStylePr>
  </w:style>
  <w:style w:type="table" w:styleId="765">
    <w:name w:val="Grid Table 5 Dark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aeef3" w:themeFill="accent5" w:themeFillTint="34"/>
    </w:tblPr>
    <w:tblStylePr w:type="band1Horz">
      <w:tcPr>
        <w:shd w:val="clear" w:color="ffffff" w:themeColor="accent5" w:themeTint="75" w:fill="abd9e4" w:themeFill="accent5" w:themeFillTint="75"/>
      </w:tcPr>
    </w:tblStylePr>
    <w:tblStylePr w:type="band1Vert">
      <w:tcPr>
        <w:shd w:val="clear" w:color="ffffff" w:themeColor="accent5" w:themeTint="75" w:fill="abd9e4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light1" w:sz="4" w:space="0"/>
        </w:tcBorders>
      </w:tcPr>
    </w:tblStylePr>
  </w:style>
  <w:style w:type="table" w:styleId="766">
    <w:name w:val="Grid Table 5 Dark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fde9d8" w:themeFill="accent6" w:themeFillTint="34"/>
    </w:tblPr>
    <w:tblStylePr w:type="band1Horz">
      <w:tcPr>
        <w:shd w:val="clear" w:color="ffffff" w:themeColor="accent6" w:themeTint="75" w:fill="fbcda8" w:themeFill="accent6" w:themeFillTint="75"/>
      </w:tcPr>
    </w:tblStylePr>
    <w:tblStylePr w:type="band1Vert">
      <w:tcPr>
        <w:shd w:val="clear" w:color="ffffff" w:themeColor="accent6" w:themeTint="75" w:fill="fbcda8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light1" w:sz="4" w:space="0"/>
        </w:tcBorders>
      </w:tcPr>
    </w:tblStylePr>
  </w:style>
  <w:style w:type="table" w:styleId="767">
    <w:name w:val="Grid Table 6 Colorful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Arial" w:hAnsi="Arial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Arial" w:hAnsi="Arial"/>
        <w:color w:val="404040" w:themeColor="text1" w:themeTint="80" w:themeShade="95"/>
        <w:sz w:val="22"/>
      </w:rPr>
    </w:tblStylePr>
  </w:style>
  <w:style w:type="table" w:styleId="768">
    <w:name w:val="Grid Table 6 Colorful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404040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</w:tblStylePr>
    <w:tblStylePr w:type="firstCol">
      <w:rPr>
        <w:b/>
        <w:color w:val="3e70a3" w:themeColor="accent1" w:themeTint="80" w:themeShade="95"/>
      </w:rPr>
    </w:tblStylePr>
    <w:tblStylePr w:type="firstRow">
      <w:rPr>
        <w:b/>
        <w:color w:val="3e70a3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e70a3" w:themeColor="accent1" w:themeTint="80" w:themeShade="95"/>
      </w:rPr>
    </w:tblStylePr>
    <w:tblStylePr w:type="lastRow">
      <w:rPr>
        <w:b/>
        <w:color w:val="3e70a3" w:themeColor="accent1" w:themeTint="80" w:themeShade="95"/>
      </w:rPr>
    </w:tblStylePr>
    <w:tblStylePr w:type="wholeTable">
      <w:rPr>
        <w:rFonts w:ascii="Arial" w:hAnsi="Arial"/>
        <w:color w:val="404040" w:themeColor="accent1" w:themeTint="80" w:themeShade="95"/>
        <w:sz w:val="22"/>
      </w:rPr>
    </w:tblStylePr>
  </w:style>
  <w:style w:type="table" w:styleId="769">
    <w:name w:val="Grid Table 6 Colorful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</w:tblStylePr>
    <w:tblStylePr w:type="wholeTable">
      <w:rPr>
        <w:rFonts w:ascii="Arial" w:hAnsi="Arial"/>
        <w:color w:val="404040" w:themeColor="accent2" w:themeTint="97" w:themeShade="95"/>
        <w:sz w:val="22"/>
      </w:rPr>
    </w:tblStylePr>
  </w:style>
  <w:style w:type="table" w:styleId="770">
    <w:name w:val="Grid Table 6 Colorful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</w:tblStylePr>
    <w:tblStylePr w:type="firstCol">
      <w:rPr>
        <w:b/>
        <w:color w:val="5c702f" w:themeColor="accent3" w:themeTint="FE" w:themeShade="95"/>
      </w:rPr>
    </w:tblStylePr>
    <w:tblStylePr w:type="firstRow">
      <w:rPr>
        <w:b/>
        <w:color w:val="5c702f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5c702f" w:themeColor="accent3" w:themeTint="FE" w:themeShade="95"/>
      </w:rPr>
    </w:tblStylePr>
    <w:tblStylePr w:type="lastRow">
      <w:rPr>
        <w:b/>
        <w:color w:val="5c702f" w:themeColor="accent3" w:themeTint="FE" w:themeShade="95"/>
      </w:rPr>
    </w:tblStylePr>
    <w:tblStylePr w:type="wholeTable">
      <w:rPr>
        <w:rFonts w:ascii="Arial" w:hAnsi="Arial"/>
        <w:color w:val="404040" w:themeColor="accent3" w:themeTint="FE" w:themeShade="95"/>
        <w:sz w:val="22"/>
      </w:rPr>
    </w:tblStylePr>
  </w:style>
  <w:style w:type="table" w:styleId="771">
    <w:name w:val="Grid Table 6 Colorful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</w:tblStylePr>
    <w:tblStylePr w:type="wholeTable">
      <w:rPr>
        <w:rFonts w:ascii="Arial" w:hAnsi="Arial"/>
        <w:color w:val="404040" w:themeColor="accent4" w:themeTint="9A" w:themeShade="95"/>
        <w:sz w:val="22"/>
      </w:rPr>
    </w:tblStylePr>
  </w:style>
  <w:style w:type="table" w:styleId="772">
    <w:name w:val="Grid Table 6 Colorful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773">
    <w:name w:val="Grid Table 6 Colorful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774">
    <w:name w:val="Grid Table 7 Colorful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5">
    <w:name w:val="Grid Table 7 Colorful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3e70a3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Arial" w:hAnsi="Arial"/>
        <w:color w:val="3e70a3" w:themeColor="accent1" w:themeTint="80" w:themeShade="95"/>
        <w:sz w:val="22"/>
      </w:rPr>
    </w:tblStylePr>
    <w:tblStylePr w:type="firstCol">
      <w:rPr>
        <w:rFonts w:ascii="Arial" w:hAnsi="Arial"/>
        <w:i/>
        <w:color w:val="3e70a3" w:themeColor="accen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e70a3" w:themeColor="accen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6">
    <w:name w:val="Grid Table 7 Colorful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7">
    <w:name w:val="Grid Table 7 Colorful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5c702f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Arial" w:hAnsi="Arial"/>
        <w:color w:val="5c702f" w:themeColor="accent3" w:themeTint="FE" w:themeShade="95"/>
        <w:sz w:val="22"/>
      </w:rPr>
    </w:tblStylePr>
    <w:tblStylePr w:type="firstCol">
      <w:rPr>
        <w:rFonts w:ascii="Arial" w:hAnsi="Arial"/>
        <w:i/>
        <w:color w:val="5c702f" w:themeColor="accent3" w:themeTint="FE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FE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5c702f" w:themeColor="accent3" w:themeTint="FE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FE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8">
    <w:name w:val="Grid Table 7 Colorful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9">
    <w:name w:val="Grid Table 7 Colorful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266777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Arial" w:hAnsi="Arial"/>
        <w:color w:val="266777" w:themeColor="accent5" w:themeShade="95"/>
        <w:sz w:val="22"/>
      </w:rPr>
    </w:tblStylePr>
    <w:tblStylePr w:type="firstCol">
      <w:rPr>
        <w:rFonts w:ascii="Arial" w:hAnsi="Arial"/>
        <w:i/>
        <w:color w:val="266777" w:themeColor="accent5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66777" w:themeColor="accent5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0">
    <w:name w:val="Grid Table 7 Colorful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b05307" w:themeColor="accent6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Arial" w:hAnsi="Arial"/>
        <w:color w:val="b05307" w:themeColor="accent6" w:themeShade="95"/>
        <w:sz w:val="22"/>
      </w:rPr>
    </w:tblStylePr>
    <w:tblStylePr w:type="firstCol">
      <w:rPr>
        <w:rFonts w:ascii="Arial" w:hAnsi="Arial"/>
        <w:i/>
        <w:color w:val="b05307" w:themeColor="accent6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b05307" w:themeColor="accent6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1">
    <w:name w:val="List Table 1 Light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2">
    <w:name w:val="List Table 1 Light - Accent 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3">
    <w:name w:val="List Table 1 Light - Accent 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4">
    <w:name w:val="List Table 1 Light - Accent 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5">
    <w:name w:val="List Table 1 Light - Accent 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6">
    <w:name w:val="List Table 1 Light - Accent 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7">
    <w:name w:val="List Table 1 Light - Accent 6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8">
    <w:name w:val="List Table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789">
    <w:name w:val="List Table 2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790">
    <w:name w:val="List Table 2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791">
    <w:name w:val="List Table 2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792">
    <w:name w:val="List Table 2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793">
    <w:name w:val="List Table 2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794">
    <w:name w:val="List Table 2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795">
    <w:name w:val="List Table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6">
    <w:name w:val="List Table 3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7">
    <w:name w:val="List Table 3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8">
    <w:name w:val="List Table 3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98" w:fill="c3d69b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9">
    <w:name w:val="List Table 3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0">
    <w:name w:val="List Table 3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themeTint="9A" w:fill="91cddc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1">
    <w:name w:val="List Table 3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themeTint="98" w:fill="f9bf90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2">
    <w:name w:val="List Table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3">
    <w:name w:val="List Table 4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4">
    <w:name w:val="List Table 4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5">
    <w:name w:val="List Table 4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6">
    <w:name w:val="List Table 4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7">
    <w:name w:val="List Table 4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8">
    <w:name w:val="List Table 4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9">
    <w:name w:val="List Table 5 Dark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10">
    <w:name w:val="List Table 5 Dark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4f81bd" w:themeFill="accent1"/>
    </w:tblPr>
    <w:tblStylePr w:type="band1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4f81bd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1" w:fill="4f81bd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11">
    <w:name w:val="List Table 5 Dark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d99694" w:themeFill="accent2" w:themeFillTint="97"/>
    </w:tblPr>
    <w:tblStylePr w:type="band1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d99694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12">
    <w:name w:val="List Table 5 Dark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3d69b" w:themeFill="accent3" w:themeFillTint="98"/>
    </w:tblPr>
    <w:tblStylePr w:type="band1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3d69b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3" w:themeTint="98" w:fill="c3d69b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13">
    <w:name w:val="List Table 5 Dark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b2a1c6" w:themeFill="accent4" w:themeFillTint="9A"/>
    </w:tblPr>
    <w:tblStylePr w:type="band1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b2a1c6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14">
    <w:name w:val="List Table 5 Dark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91cddc" w:themeFill="accent5" w:themeFillTint="9A"/>
    </w:tblPr>
    <w:tblStylePr w:type="band1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91cddc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5" w:themeTint="9A" w:fill="91cddc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15">
    <w:name w:val="List Table 5 Dark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f9bf90" w:themeFill="accent6" w:themeFillTint="98"/>
    </w:tblPr>
    <w:tblStylePr w:type="band1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f9bf90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6" w:themeTint="98" w:fill="f9bf90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16">
    <w:name w:val="List Table 6 Colorful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817">
    <w:name w:val="List Table 6 Colorful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Arial" w:hAnsi="Arial"/>
        <w:color w:val="404040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Arial" w:hAnsi="Arial"/>
        <w:color w:val="404040" w:themeColor="accent1" w:themeShade="95"/>
        <w:sz w:val="22"/>
      </w:rPr>
    </w:tblStylePr>
    <w:tblStylePr w:type="firstCol">
      <w:rPr>
        <w:b/>
        <w:color w:val="2a4b71" w:themeColor="accent1" w:themeShade="95"/>
      </w:rPr>
    </w:tblStylePr>
    <w:tblStylePr w:type="firstRow">
      <w:rPr>
        <w:b/>
        <w:color w:val="2a4b71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a4b71" w:themeColor="accent1" w:themeShade="95"/>
      </w:rPr>
    </w:tblStylePr>
    <w:tblStylePr w:type="lastRow">
      <w:rPr>
        <w:b/>
        <w:color w:val="2a4b71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818">
    <w:name w:val="List Table 6 Colorful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819">
    <w:name w:val="List Table 6 Colorful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Arial" w:hAnsi="Arial"/>
        <w:color w:val="404040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</w:tblStylePr>
    <w:tblStylePr w:type="firstCol">
      <w:rPr>
        <w:b/>
        <w:color w:val="7c983f" w:themeColor="accent3" w:themeTint="98" w:themeShade="95"/>
      </w:rPr>
    </w:tblStylePr>
    <w:tblStylePr w:type="firstRow">
      <w:rPr>
        <w:b/>
        <w:color w:val="7c983f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c983f" w:themeColor="accent3" w:themeTint="98" w:themeShade="95"/>
      </w:rPr>
    </w:tblStylePr>
    <w:tblStylePr w:type="lastRow">
      <w:rPr>
        <w:b/>
        <w:color w:val="7c983f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820">
    <w:name w:val="List Table 6 Colorful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821">
    <w:name w:val="List Table 6 Colorful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Arial" w:hAnsi="Arial"/>
        <w:color w:val="40404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</w:tblStylePr>
    <w:tblStylePr w:type="firstCol">
      <w:rPr>
        <w:b/>
        <w:color w:val="338aa0" w:themeColor="accent5" w:themeTint="9A" w:themeShade="95"/>
      </w:rPr>
    </w:tblStylePr>
    <w:tblStylePr w:type="firstRow">
      <w:rPr>
        <w:b/>
        <w:color w:val="338aa0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8aa0" w:themeColor="accent5" w:themeTint="9A" w:themeShade="95"/>
      </w:rPr>
    </w:tblStylePr>
    <w:tblStylePr w:type="lastRow">
      <w:rPr>
        <w:b/>
        <w:color w:val="338aa0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822">
    <w:name w:val="List Table 6 Colorful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Arial" w:hAnsi="Arial"/>
        <w:color w:val="404040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</w:tblStylePr>
    <w:tblStylePr w:type="firstCol">
      <w:rPr>
        <w:b/>
        <w:color w:val="d9680c" w:themeColor="accent6" w:themeTint="98" w:themeShade="95"/>
      </w:rPr>
    </w:tblStylePr>
    <w:tblStylePr w:type="firstRow">
      <w:rPr>
        <w:b/>
        <w:color w:val="d9680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d9680c" w:themeColor="accent6" w:themeTint="98" w:themeShade="95"/>
      </w:rPr>
    </w:tblStylePr>
    <w:tblStylePr w:type="lastRow">
      <w:rPr>
        <w:b/>
        <w:color w:val="d9680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823">
    <w:name w:val="List Table 7 Colorful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4a4a4a" w:themeColor="text1" w:themeTint="80" w:themeShade="95"/>
        <w:sz w:val="22"/>
      </w:rPr>
    </w:tblStylePr>
  </w:style>
  <w:style w:type="table" w:styleId="824">
    <w:name w:val="List Table 7 Colorful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Arial" w:hAnsi="Arial"/>
        <w:color w:val="2a4b71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Arial" w:hAnsi="Arial"/>
        <w:color w:val="2a4b71" w:themeColor="accent1" w:themeShade="95"/>
        <w:sz w:val="22"/>
      </w:rPr>
    </w:tblStylePr>
    <w:tblStylePr w:type="firstCol">
      <w:rPr>
        <w:rFonts w:ascii="Arial" w:hAnsi="Arial"/>
        <w:i/>
        <w:color w:val="2a4b71" w:themeColor="accent1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a4b71" w:themeColor="accent1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2a4b71" w:themeColor="accent1" w:themeShade="95"/>
        <w:sz w:val="22"/>
      </w:rPr>
    </w:tblStylePr>
  </w:style>
  <w:style w:type="table" w:styleId="825">
    <w:name w:val="List Table 7 Colorful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9c3a37" w:themeColor="accent2" w:themeTint="97" w:themeShade="95"/>
        <w:sz w:val="22"/>
      </w:rPr>
    </w:tblStylePr>
  </w:style>
  <w:style w:type="table" w:styleId="826">
    <w:name w:val="List Table 7 Colorful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Arial" w:hAnsi="Arial"/>
        <w:color w:val="7c983f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Arial" w:hAnsi="Arial"/>
        <w:color w:val="7c983f" w:themeColor="accent3" w:themeTint="98" w:themeShade="95"/>
        <w:sz w:val="22"/>
      </w:rPr>
    </w:tblStylePr>
    <w:tblStylePr w:type="firstCol">
      <w:rPr>
        <w:rFonts w:ascii="Arial" w:hAnsi="Arial"/>
        <w:i/>
        <w:color w:val="7c983f" w:themeColor="accent3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c983f" w:themeColor="accent3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7c983f" w:themeColor="accent3" w:themeTint="98" w:themeShade="95"/>
        <w:sz w:val="22"/>
      </w:rPr>
    </w:tblStylePr>
  </w:style>
  <w:style w:type="table" w:styleId="827">
    <w:name w:val="List Table 7 Colorful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664f82" w:themeColor="accent4" w:themeTint="9A" w:themeShade="95"/>
        <w:sz w:val="22"/>
      </w:rPr>
    </w:tblStylePr>
  </w:style>
  <w:style w:type="table" w:styleId="828">
    <w:name w:val="List Table 7 Colorful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Arial" w:hAnsi="Arial"/>
        <w:color w:val="338aa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Arial" w:hAnsi="Arial"/>
        <w:color w:val="338aa0" w:themeColor="accent5" w:themeTint="9A" w:themeShade="95"/>
        <w:sz w:val="22"/>
      </w:rPr>
    </w:tblStylePr>
    <w:tblStylePr w:type="firstCol">
      <w:rPr>
        <w:rFonts w:ascii="Arial" w:hAnsi="Arial"/>
        <w:i/>
        <w:color w:val="338aa0" w:themeColor="accent5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38aa0" w:themeColor="accent5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338aa0" w:themeColor="accent5" w:themeTint="9A" w:themeShade="95"/>
        <w:sz w:val="22"/>
      </w:rPr>
    </w:tblStylePr>
  </w:style>
  <w:style w:type="table" w:styleId="829">
    <w:name w:val="List Table 7 Colorful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Arial" w:hAnsi="Arial"/>
        <w:color w:val="d9680c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Arial" w:hAnsi="Arial"/>
        <w:color w:val="d9680c" w:themeColor="accent6" w:themeTint="98" w:themeShade="95"/>
        <w:sz w:val="22"/>
      </w:rPr>
    </w:tblStylePr>
    <w:tblStylePr w:type="firstCol">
      <w:rPr>
        <w:rFonts w:ascii="Arial" w:hAnsi="Arial"/>
        <w:i/>
        <w:color w:val="d9680c" w:themeColor="accent6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d9680c" w:themeColor="accent6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d9680c" w:themeColor="accent6" w:themeTint="98" w:themeShade="95"/>
        <w:sz w:val="22"/>
      </w:rPr>
    </w:tblStylePr>
  </w:style>
  <w:style w:type="table" w:styleId="830">
    <w:name w:val="Lined - Accent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831">
    <w:name w:val="Lined - Accent 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832">
    <w:name w:val="Lined - Accent 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833">
    <w:name w:val="Lined - Accent 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834">
    <w:name w:val="Lined - Accent 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835">
    <w:name w:val="Lined - Accent 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836">
    <w:name w:val="Lined - Accent 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837">
    <w:name w:val="Bordered &amp; Lined - Accent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838">
    <w:name w:val="Bordered &amp; Lined - Accent 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839">
    <w:name w:val="Bordered &amp; Lined - Accent 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840">
    <w:name w:val="Bordered &amp; Lined - Accent 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841">
    <w:name w:val="Bordered &amp; Lined - Accent 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842">
    <w:name w:val="Bordered &amp; Lined - Accent 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843">
    <w:name w:val="Bordered &amp; Lined - Accent 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844">
    <w:name w:val="Bordered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845">
    <w:name w:val="Bordered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846">
    <w:name w:val="Bordered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847">
    <w:name w:val="Bordered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848">
    <w:name w:val="Bordered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849">
    <w:name w:val="Bordered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850">
    <w:name w:val="Bordered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character" w:styleId="851">
    <w:name w:val="Hyperlink"/>
    <w:uiPriority w:val="99"/>
    <w:unhideWhenUsed/>
    <w:rPr>
      <w:color w:val="0000ff" w:themeColor="hyperlink"/>
      <w:u w:val="single"/>
    </w:rPr>
  </w:style>
  <w:style w:type="paragraph" w:styleId="852">
    <w:name w:val="footnote text"/>
    <w:basedOn w:val="869"/>
    <w:link w:val="853"/>
    <w:uiPriority w:val="99"/>
    <w:semiHidden/>
    <w:unhideWhenUsed/>
    <w:pPr>
      <w:spacing w:after="40" w:line="240" w:lineRule="auto"/>
    </w:pPr>
    <w:rPr>
      <w:sz w:val="18"/>
    </w:rPr>
  </w:style>
  <w:style w:type="character" w:styleId="853">
    <w:name w:val="Footnote Text Char"/>
    <w:link w:val="852"/>
    <w:uiPriority w:val="99"/>
    <w:rPr>
      <w:sz w:val="18"/>
    </w:rPr>
  </w:style>
  <w:style w:type="character" w:styleId="854">
    <w:name w:val="footnote reference"/>
    <w:uiPriority w:val="99"/>
    <w:unhideWhenUsed/>
    <w:rPr>
      <w:vertAlign w:val="superscript"/>
    </w:rPr>
  </w:style>
  <w:style w:type="paragraph" w:styleId="855">
    <w:name w:val="endnote text"/>
    <w:basedOn w:val="869"/>
    <w:link w:val="856"/>
    <w:uiPriority w:val="99"/>
    <w:semiHidden/>
    <w:unhideWhenUsed/>
    <w:pPr>
      <w:spacing w:after="0" w:line="240" w:lineRule="auto"/>
    </w:pPr>
    <w:rPr>
      <w:sz w:val="20"/>
    </w:rPr>
  </w:style>
  <w:style w:type="character" w:styleId="856">
    <w:name w:val="Endnote Text Char"/>
    <w:link w:val="855"/>
    <w:uiPriority w:val="99"/>
    <w:rPr>
      <w:sz w:val="20"/>
    </w:rPr>
  </w:style>
  <w:style w:type="character" w:styleId="857">
    <w:name w:val="endnote reference"/>
    <w:uiPriority w:val="99"/>
    <w:semiHidden/>
    <w:unhideWhenUsed/>
    <w:rPr>
      <w:vertAlign w:val="superscript"/>
    </w:rPr>
  </w:style>
  <w:style w:type="paragraph" w:styleId="858">
    <w:name w:val="toc 1"/>
    <w:basedOn w:val="869"/>
    <w:next w:val="869"/>
    <w:uiPriority w:val="39"/>
    <w:unhideWhenUsed/>
    <w:pPr>
      <w:ind w:left="0" w:right="0" w:firstLine="0"/>
      <w:spacing w:after="57"/>
    </w:pPr>
  </w:style>
  <w:style w:type="paragraph" w:styleId="859">
    <w:name w:val="toc 2"/>
    <w:basedOn w:val="869"/>
    <w:next w:val="869"/>
    <w:uiPriority w:val="39"/>
    <w:unhideWhenUsed/>
    <w:pPr>
      <w:ind w:left="283" w:right="0" w:firstLine="0"/>
      <w:spacing w:after="57"/>
    </w:pPr>
  </w:style>
  <w:style w:type="paragraph" w:styleId="860">
    <w:name w:val="toc 3"/>
    <w:basedOn w:val="869"/>
    <w:next w:val="869"/>
    <w:uiPriority w:val="39"/>
    <w:unhideWhenUsed/>
    <w:pPr>
      <w:ind w:left="567" w:right="0" w:firstLine="0"/>
      <w:spacing w:after="57"/>
    </w:pPr>
  </w:style>
  <w:style w:type="paragraph" w:styleId="861">
    <w:name w:val="toc 4"/>
    <w:basedOn w:val="869"/>
    <w:next w:val="869"/>
    <w:uiPriority w:val="39"/>
    <w:unhideWhenUsed/>
    <w:pPr>
      <w:ind w:left="850" w:right="0" w:firstLine="0"/>
      <w:spacing w:after="57"/>
    </w:pPr>
  </w:style>
  <w:style w:type="paragraph" w:styleId="862">
    <w:name w:val="toc 5"/>
    <w:basedOn w:val="869"/>
    <w:next w:val="869"/>
    <w:uiPriority w:val="39"/>
    <w:unhideWhenUsed/>
    <w:pPr>
      <w:ind w:left="1134" w:right="0" w:firstLine="0"/>
      <w:spacing w:after="57"/>
    </w:pPr>
  </w:style>
  <w:style w:type="paragraph" w:styleId="863">
    <w:name w:val="toc 6"/>
    <w:basedOn w:val="869"/>
    <w:next w:val="869"/>
    <w:uiPriority w:val="39"/>
    <w:unhideWhenUsed/>
    <w:pPr>
      <w:ind w:left="1417" w:right="0" w:firstLine="0"/>
      <w:spacing w:after="57"/>
    </w:pPr>
  </w:style>
  <w:style w:type="paragraph" w:styleId="864">
    <w:name w:val="toc 7"/>
    <w:basedOn w:val="869"/>
    <w:next w:val="869"/>
    <w:uiPriority w:val="39"/>
    <w:unhideWhenUsed/>
    <w:pPr>
      <w:ind w:left="1701" w:right="0" w:firstLine="0"/>
      <w:spacing w:after="57"/>
    </w:pPr>
  </w:style>
  <w:style w:type="paragraph" w:styleId="865">
    <w:name w:val="toc 8"/>
    <w:basedOn w:val="869"/>
    <w:next w:val="869"/>
    <w:uiPriority w:val="39"/>
    <w:unhideWhenUsed/>
    <w:pPr>
      <w:ind w:left="1984" w:right="0" w:firstLine="0"/>
      <w:spacing w:after="57"/>
    </w:pPr>
  </w:style>
  <w:style w:type="paragraph" w:styleId="866">
    <w:name w:val="toc 9"/>
    <w:basedOn w:val="869"/>
    <w:next w:val="869"/>
    <w:uiPriority w:val="39"/>
    <w:unhideWhenUsed/>
    <w:pPr>
      <w:ind w:left="2268" w:right="0" w:firstLine="0"/>
      <w:spacing w:after="57"/>
    </w:pPr>
  </w:style>
  <w:style w:type="paragraph" w:styleId="867">
    <w:name w:val="TOC Heading"/>
    <w:uiPriority w:val="39"/>
    <w:unhideWhenUsed/>
  </w:style>
  <w:style w:type="paragraph" w:styleId="868">
    <w:name w:val="table of figures"/>
    <w:basedOn w:val="869"/>
    <w:next w:val="869"/>
    <w:uiPriority w:val="99"/>
    <w:unhideWhenUsed/>
    <w:pPr>
      <w:spacing w:after="0" w:afterAutospacing="0"/>
    </w:pPr>
  </w:style>
  <w:style w:type="paragraph" w:styleId="869" w:default="1">
    <w:name w:val="Normal"/>
    <w:next w:val="869"/>
    <w:link w:val="869"/>
    <w:qFormat/>
    <w:rPr>
      <w:lang w:val="ru-RU" w:eastAsia="ru-RU" w:bidi="ar-SA"/>
    </w:rPr>
  </w:style>
  <w:style w:type="paragraph" w:styleId="870">
    <w:name w:val="Заголовок 1"/>
    <w:basedOn w:val="878"/>
    <w:next w:val="878"/>
    <w:link w:val="869"/>
    <w:qFormat/>
    <w:pPr>
      <w:keepNext/>
      <w:outlineLvl w:val="0"/>
    </w:pPr>
    <w:rPr>
      <w:b/>
      <w:bCs/>
    </w:rPr>
  </w:style>
  <w:style w:type="paragraph" w:styleId="871">
    <w:name w:val="Заголовок 3"/>
    <w:basedOn w:val="869"/>
    <w:next w:val="869"/>
    <w:link w:val="892"/>
    <w:semiHidden/>
    <w:unhideWhenUsed/>
    <w:qFormat/>
    <w:pPr>
      <w:keepNext/>
      <w:spacing w:before="240" w:after="60"/>
      <w:outlineLvl w:val="2"/>
    </w:pPr>
    <w:rPr>
      <w:rFonts w:ascii="Calibri Light" w:hAnsi="Calibri Light" w:eastAsia="Times New Roman" w:cs="Times New Roman"/>
      <w:b/>
      <w:bCs/>
      <w:sz w:val="26"/>
      <w:szCs w:val="26"/>
    </w:rPr>
  </w:style>
  <w:style w:type="character" w:styleId="872">
    <w:name w:val="Основной шрифт абзаца"/>
    <w:next w:val="872"/>
    <w:link w:val="869"/>
    <w:semiHidden/>
  </w:style>
  <w:style w:type="table" w:styleId="873">
    <w:name w:val="Обычная таблица"/>
    <w:next w:val="873"/>
    <w:link w:val="869"/>
    <w:semiHidden/>
    <w:tblPr/>
  </w:style>
  <w:style w:type="numbering" w:styleId="874">
    <w:name w:val="Нет списка"/>
    <w:next w:val="874"/>
    <w:link w:val="869"/>
    <w:semiHidden/>
  </w:style>
  <w:style w:type="paragraph" w:styleId="875">
    <w:name w:val="заголовок 1"/>
    <w:basedOn w:val="869"/>
    <w:next w:val="869"/>
    <w:link w:val="869"/>
    <w:pPr>
      <w:jc w:val="right"/>
      <w:keepNext/>
      <w:outlineLvl w:val="0"/>
    </w:pPr>
    <w:rPr>
      <w:color w:val="000000"/>
      <w:sz w:val="24"/>
      <w:szCs w:val="24"/>
    </w:rPr>
  </w:style>
  <w:style w:type="paragraph" w:styleId="876">
    <w:name w:val="заголовок 2"/>
    <w:basedOn w:val="869"/>
    <w:next w:val="869"/>
    <w:link w:val="869"/>
    <w:pPr>
      <w:keepNext/>
      <w:outlineLvl w:val="1"/>
    </w:pPr>
    <w:rPr>
      <w:sz w:val="24"/>
      <w:szCs w:val="24"/>
    </w:rPr>
  </w:style>
  <w:style w:type="character" w:styleId="877">
    <w:name w:val="Основной шрифт"/>
    <w:next w:val="877"/>
    <w:link w:val="869"/>
  </w:style>
  <w:style w:type="paragraph" w:styleId="878">
    <w:name w:val="Нормальный"/>
    <w:next w:val="878"/>
    <w:link w:val="869"/>
    <w:rPr>
      <w:lang w:val="ru-RU" w:eastAsia="ru-RU" w:bidi="ar-SA"/>
    </w:rPr>
  </w:style>
  <w:style w:type="character" w:styleId="879">
    <w:name w:val="Шрифт абзаца по умолчанию"/>
    <w:next w:val="879"/>
    <w:link w:val="869"/>
  </w:style>
  <w:style w:type="paragraph" w:styleId="880">
    <w:name w:val="Нижний колонтитул"/>
    <w:basedOn w:val="869"/>
    <w:next w:val="880"/>
    <w:link w:val="869"/>
    <w:pPr>
      <w:tabs>
        <w:tab w:val="center" w:pos="4536" w:leader="none"/>
        <w:tab w:val="right" w:pos="9072" w:leader="none"/>
      </w:tabs>
    </w:pPr>
  </w:style>
  <w:style w:type="character" w:styleId="881">
    <w:name w:val="Номер страницы"/>
    <w:basedOn w:val="879"/>
    <w:next w:val="881"/>
    <w:link w:val="869"/>
  </w:style>
  <w:style w:type="paragraph" w:styleId="882">
    <w:name w:val="Body Text Indent"/>
    <w:basedOn w:val="878"/>
    <w:next w:val="882"/>
    <w:link w:val="869"/>
    <w:pPr>
      <w:ind w:left="283"/>
      <w:spacing w:after="120"/>
    </w:pPr>
  </w:style>
  <w:style w:type="paragraph" w:styleId="883">
    <w:name w:val="Верхний колонтитул"/>
    <w:basedOn w:val="869"/>
    <w:next w:val="883"/>
    <w:link w:val="869"/>
    <w:pPr>
      <w:tabs>
        <w:tab w:val="center" w:pos="4153" w:leader="none"/>
        <w:tab w:val="right" w:pos="8306" w:leader="none"/>
      </w:tabs>
    </w:pPr>
  </w:style>
  <w:style w:type="paragraph" w:styleId="884">
    <w:name w:val="Основной текст с отступом"/>
    <w:basedOn w:val="869"/>
    <w:next w:val="884"/>
    <w:link w:val="869"/>
    <w:pPr>
      <w:ind w:firstLine="61"/>
      <w:jc w:val="both"/>
    </w:pPr>
    <w:rPr>
      <w:color w:val="000000"/>
      <w:sz w:val="24"/>
      <w:szCs w:val="24"/>
    </w:rPr>
  </w:style>
  <w:style w:type="paragraph" w:styleId="885">
    <w:name w:val="Основной текст"/>
    <w:basedOn w:val="869"/>
    <w:next w:val="885"/>
    <w:link w:val="869"/>
    <w:pPr>
      <w:jc w:val="both"/>
    </w:pPr>
    <w:rPr>
      <w:sz w:val="24"/>
      <w:szCs w:val="24"/>
    </w:rPr>
  </w:style>
  <w:style w:type="character" w:styleId="886">
    <w:name w:val="номер страницы"/>
    <w:basedOn w:val="877"/>
    <w:next w:val="886"/>
    <w:link w:val="869"/>
  </w:style>
  <w:style w:type="paragraph" w:styleId="887">
    <w:name w:val="Абзац списка"/>
    <w:basedOn w:val="869"/>
    <w:next w:val="887"/>
    <w:link w:val="869"/>
    <w:qFormat/>
    <w:pPr>
      <w:ind w:left="708"/>
    </w:pPr>
  </w:style>
  <w:style w:type="numbering" w:styleId="888">
    <w:name w:val="Стиль1"/>
    <w:next w:val="888"/>
    <w:link w:val="869"/>
    <w:pPr>
      <w:numPr>
        <w:ilvl w:val="0"/>
        <w:numId w:val="2"/>
      </w:numPr>
    </w:pPr>
  </w:style>
  <w:style w:type="paragraph" w:styleId="889">
    <w:name w:val="Текст выноски"/>
    <w:basedOn w:val="869"/>
    <w:next w:val="889"/>
    <w:link w:val="890"/>
    <w:rPr>
      <w:rFonts w:ascii="Tahoma" w:hAnsi="Tahoma"/>
      <w:sz w:val="16"/>
      <w:szCs w:val="16"/>
      <w:lang w:val="en-US" w:eastAsia="en-US"/>
    </w:rPr>
  </w:style>
  <w:style w:type="character" w:styleId="890">
    <w:name w:val="Текст выноски Знак"/>
    <w:next w:val="890"/>
    <w:link w:val="889"/>
    <w:rPr>
      <w:rFonts w:ascii="Tahoma" w:hAnsi="Tahoma" w:cs="Tahoma"/>
      <w:sz w:val="16"/>
      <w:szCs w:val="16"/>
    </w:rPr>
  </w:style>
  <w:style w:type="paragraph" w:styleId="891">
    <w:name w:val="Default"/>
    <w:next w:val="891"/>
    <w:link w:val="869"/>
    <w:rPr>
      <w:color w:val="000000"/>
      <w:sz w:val="24"/>
      <w:szCs w:val="24"/>
      <w:lang w:val="ru-RU" w:eastAsia="ru-RU" w:bidi="ar-SA"/>
    </w:rPr>
  </w:style>
  <w:style w:type="character" w:styleId="892">
    <w:name w:val="Заголовок 3 Знак"/>
    <w:next w:val="892"/>
    <w:link w:val="871"/>
    <w:semiHidden/>
    <w:rPr>
      <w:rFonts w:ascii="Calibri Light" w:hAnsi="Calibri Light" w:eastAsia="Times New Roman" w:cs="Times New Roman"/>
      <w:b/>
      <w:bCs/>
      <w:sz w:val="26"/>
      <w:szCs w:val="26"/>
    </w:rPr>
  </w:style>
  <w:style w:type="character" w:styleId="893">
    <w:name w:val="Гиперссылка"/>
    <w:next w:val="893"/>
    <w:link w:val="869"/>
    <w:unhideWhenUsed/>
    <w:rPr>
      <w:color w:val="0000ff"/>
      <w:u w:val="single"/>
    </w:rPr>
  </w:style>
  <w:style w:type="character" w:styleId="894">
    <w:name w:val="Font Style37"/>
    <w:next w:val="894"/>
    <w:link w:val="869"/>
    <w:uiPriority w:val="99"/>
    <w:rPr>
      <w:rFonts w:ascii="Times New Roman" w:hAnsi="Times New Roman" w:cs="Times New Roman"/>
      <w:sz w:val="22"/>
      <w:szCs w:val="22"/>
    </w:rPr>
  </w:style>
  <w:style w:type="character" w:styleId="895">
    <w:name w:val="Основной текст (2)"/>
    <w:next w:val="895"/>
    <w:link w:val="869"/>
    <w:rPr>
      <w:rFonts w:ascii="Times New Roman" w:hAnsi="Times New Roman" w:eastAsia="Times New Roman" w:cs="Times New Roman"/>
      <w:color w:val="000000"/>
      <w:spacing w:val="0"/>
      <w:position w:val="0"/>
      <w:sz w:val="24"/>
      <w:szCs w:val="24"/>
      <w:u w:val="none"/>
      <w:lang w:val="ru-RU" w:eastAsia="ru-RU" w:bidi="ru-RU"/>
    </w:rPr>
  </w:style>
  <w:style w:type="paragraph" w:styleId="896">
    <w:name w:val="Обычный (веб)"/>
    <w:basedOn w:val="869"/>
    <w:next w:val="896"/>
    <w:link w:val="869"/>
    <w:uiPriority w:val="99"/>
    <w:unhideWhenUsed/>
    <w:pPr>
      <w:spacing w:before="100" w:beforeAutospacing="1" w:after="142" w:line="288" w:lineRule="auto"/>
    </w:pPr>
    <w:rPr>
      <w:sz w:val="24"/>
      <w:szCs w:val="24"/>
    </w:rPr>
  </w:style>
  <w:style w:type="paragraph" w:styleId="897">
    <w:name w:val="Standard"/>
    <w:next w:val="897"/>
    <w:link w:val="869"/>
    <w:pPr>
      <w:spacing w:after="160" w:line="242" w:lineRule="auto"/>
    </w:pPr>
    <w:rPr>
      <w:rFonts w:ascii="Calibri" w:hAnsi="Calibri" w:eastAsia="Calibri"/>
      <w:sz w:val="22"/>
      <w:szCs w:val="22"/>
      <w:lang w:val="ru-RU" w:eastAsia="zh-CN" w:bidi="ar-SA"/>
    </w:rPr>
  </w:style>
  <w:style w:type="character" w:styleId="898">
    <w:name w:val="Основной текст (8)"/>
    <w:next w:val="898"/>
    <w:link w:val="869"/>
    <w:rPr>
      <w:rFonts w:ascii="Times New Roman" w:hAnsi="Times New Roman" w:eastAsia="Times New Roman" w:cs="Times New Roman"/>
      <w:color w:val="000000"/>
      <w:spacing w:val="0"/>
      <w:position w:val="0"/>
      <w:sz w:val="20"/>
      <w:szCs w:val="20"/>
      <w:u w:val="none"/>
      <w:lang w:val="ru-RU" w:eastAsia="ru-RU" w:bidi="ru-RU"/>
    </w:rPr>
  </w:style>
  <w:style w:type="character" w:styleId="899">
    <w:name w:val="Основной текст_"/>
    <w:next w:val="899"/>
    <w:link w:val="900"/>
    <w:rPr>
      <w:sz w:val="21"/>
      <w:szCs w:val="21"/>
      <w:shd w:val="clear" w:color="auto" w:fill="ffffff"/>
    </w:rPr>
  </w:style>
  <w:style w:type="paragraph" w:styleId="900">
    <w:name w:val="Основной текст1"/>
    <w:basedOn w:val="869"/>
    <w:next w:val="900"/>
    <w:link w:val="899"/>
    <w:pPr>
      <w:jc w:val="both"/>
      <w:spacing w:before="60" w:after="240" w:line="0" w:lineRule="atLeast"/>
      <w:shd w:val="clear" w:color="auto" w:fill="ffffff"/>
      <w:widowControl w:val="off"/>
    </w:pPr>
    <w:rPr>
      <w:sz w:val="21"/>
      <w:szCs w:val="21"/>
    </w:rPr>
  </w:style>
  <w:style w:type="character" w:styleId="901" w:default="1">
    <w:name w:val="Default Paragraph Font"/>
    <w:uiPriority w:val="1"/>
    <w:semiHidden/>
    <w:unhideWhenUsed/>
  </w:style>
  <w:style w:type="numbering" w:styleId="902" w:default="1">
    <w:name w:val="No List"/>
    <w:uiPriority w:val="99"/>
    <w:semiHidden/>
    <w:unhideWhenUsed/>
  </w:style>
  <w:style w:type="table" w:styleId="903" w:default="1">
    <w:name w:val="Normal Table"/>
    <w:uiPriority w:val="99"/>
    <w:semiHidden/>
    <w:unhideWhenUsed/>
    <w:tblPr/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Relationship Id="rId9" Type="http://schemas.openxmlformats.org/officeDocument/2006/relationships/footer" Target="footer1.xml" /></Relationships>
</file>

<file path=word/_rels/endnotes.xml.rels><?xml version="1.0" encoding="UTF-8" standalone="yes"?><Relationships xmlns="http://schemas.openxmlformats.org/package/2006/relationships"></Relationships>
</file>

<file path=word/_rels/footer1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 name="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rgbClr val="000000"/>
        </a:solidFill>
        <a:solidFill>
          <a:srgbClr val="000000"/>
        </a:soli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Р7-Офис/2025.3.1.923</Application>
  <DocSecurity>0</DocSecurity>
  <HyperlinksChanged>false</HyperlinksChanged>
  <ScaleCrop>false</ScaleCrop>
  <SharedDoc>false</SharedDoc>
  <Template>Normal.dotm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</dc:title>
  <cp:lastModifiedBy>бодрова@ekb.uralnedra</cp:lastModifiedBy>
  <cp:revision>6</cp:revision>
  <dcterms:created xsi:type="dcterms:W3CDTF">2026-07-09T10:09:00Z</dcterms:created>
  <dcterms:modified xsi:type="dcterms:W3CDTF">2026-08-20T06:06:09Z</dcterms:modified>
  <cp:version>983040</cp:version>
</cp:coreProperties>
</file>