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625270">
        <w:rPr>
          <w:b/>
          <w:bCs/>
          <w:sz w:val="22"/>
          <w:szCs w:val="22"/>
        </w:rPr>
        <w:t>расходные лабораторные материалы</w:t>
      </w:r>
      <w:r w:rsidR="00737773">
        <w:rPr>
          <w:b/>
          <w:bCs/>
          <w:sz w:val="22"/>
          <w:szCs w:val="22"/>
        </w:rPr>
        <w:t>, согласно технического задания</w:t>
      </w:r>
      <w:r w:rsidR="00E60420" w:rsidRPr="006751B9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002F5A" w:rsidRPr="00945692">
        <w:rPr>
          <w:bCs/>
          <w:iCs/>
          <w:sz w:val="22"/>
          <w:szCs w:val="22"/>
        </w:rPr>
        <w:t xml:space="preserve">из средств </w:t>
      </w:r>
      <w:r w:rsidR="00942CF6" w:rsidRPr="00945692">
        <w:rPr>
          <w:bCs/>
          <w:iCs/>
          <w:sz w:val="22"/>
          <w:szCs w:val="22"/>
        </w:rPr>
        <w:t>Субсидии на финансовое обеспечение выполнения государственного задания на оказание государственных услуг (выполнение работ)</w:t>
      </w:r>
      <w:r w:rsidR="00945692" w:rsidRPr="00945692">
        <w:rPr>
          <w:bCs/>
          <w:iCs/>
          <w:sz w:val="22"/>
          <w:szCs w:val="22"/>
        </w:rPr>
        <w:t>, из средств от приносящей доход деятельности.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Товар поставляется одной партией не позднее </w:t>
      </w:r>
      <w:r w:rsidR="00625270">
        <w:rPr>
          <w:rFonts w:ascii="Times New Roman" w:hAnsi="Times New Roman"/>
          <w:b/>
        </w:rPr>
        <w:t>19.06.2026</w:t>
      </w:r>
      <w:r w:rsidR="00585555" w:rsidRPr="00945692">
        <w:rPr>
          <w:rFonts w:ascii="Times New Roman" w:hAnsi="Times New Roman"/>
          <w:b/>
        </w:rPr>
        <w:t>г.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lastRenderedPageBreak/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</w:t>
      </w:r>
      <w:bookmarkStart w:id="0" w:name="_GoBack"/>
      <w:r w:rsidRPr="00945692">
        <w:rPr>
          <w:sz w:val="22"/>
          <w:szCs w:val="22"/>
        </w:rPr>
        <w:t>25</w:t>
      </w:r>
      <w:bookmarkEnd w:id="0"/>
      <w:r w:rsidRPr="00945692">
        <w:rPr>
          <w:sz w:val="22"/>
          <w:szCs w:val="22"/>
        </w:rPr>
        <w:t xml:space="preserve">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625270">
        <w:rPr>
          <w:rFonts w:ascii="Times New Roman" w:hAnsi="Times New Roman"/>
          <w:b/>
          <w:i/>
        </w:rPr>
        <w:t>20.07.2026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</w:t>
      </w:r>
      <w:r w:rsidRPr="00945692">
        <w:rPr>
          <w:rFonts w:ascii="Times New Roman" w:hAnsi="Times New Roman"/>
        </w:rPr>
        <w:lastRenderedPageBreak/>
        <w:t>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lastRenderedPageBreak/>
              <w:t xml:space="preserve">Заказчик: 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Федеральное государственное бюджетное </w:t>
            </w:r>
            <w:r w:rsidRPr="00945692">
              <w:rPr>
                <w:sz w:val="22"/>
                <w:szCs w:val="22"/>
              </w:rPr>
              <w:lastRenderedPageBreak/>
              <w:t>научное учреждение «Федеральный аграрный научный центр Северо-Востока имени Н.В.Рудницкого» (ФГБНУ ФАНЦ Северо-Востока)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ИНН 4346008410, КПП 434501001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ОКПО 22940614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УФК по Кировской области, л/с 20406Ц16050</w:t>
            </w: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к/с 40102810345370000033, БИК 013304182</w:t>
            </w:r>
          </w:p>
          <w:p w:rsidR="00A023E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Казначейский счет (р/с) 03214643000000014000 </w:t>
            </w:r>
            <w:r w:rsidR="00625270" w:rsidRPr="00B11E35">
              <w:rPr>
                <w:sz w:val="22"/>
                <w:szCs w:val="22"/>
              </w:rPr>
              <w:t xml:space="preserve">03214643000000014000 </w:t>
            </w:r>
            <w:r w:rsidR="00625270" w:rsidRPr="00682DF4">
              <w:rPr>
                <w:sz w:val="22"/>
                <w:szCs w:val="22"/>
              </w:rPr>
              <w:t>03214643000000014000 в ОКЦ № 4 Волго-Вятского ГУ Банка России //УФК по Кировской области г. Киров</w:t>
            </w:r>
            <w:r w:rsidR="00625270" w:rsidRPr="00945692">
              <w:rPr>
                <w:sz w:val="22"/>
                <w:szCs w:val="22"/>
              </w:rPr>
              <w:t xml:space="preserve"> </w:t>
            </w:r>
          </w:p>
          <w:p w:rsidR="00625270" w:rsidRPr="00945692" w:rsidRDefault="00625270" w:rsidP="00A023E2">
            <w:pPr>
              <w:jc w:val="both"/>
              <w:rPr>
                <w:sz w:val="22"/>
                <w:szCs w:val="22"/>
              </w:rPr>
            </w:pPr>
          </w:p>
          <w:p w:rsidR="00A023E2" w:rsidRPr="00945692" w:rsidRDefault="00A023E2" w:rsidP="00A023E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4027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274"/>
        <w:gridCol w:w="1047"/>
        <w:gridCol w:w="1046"/>
        <w:gridCol w:w="1939"/>
        <w:gridCol w:w="2092"/>
        <w:gridCol w:w="1308"/>
      </w:tblGrid>
      <w:tr w:rsidR="00C22B42" w:rsidRPr="00945692" w:rsidTr="00C22B42">
        <w:trPr>
          <w:trHeight w:val="76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N 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п./п.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Пробирка вакуумная с К2ЭДТА для гем. исследований. Размер 16*100 мм. Объем 8 мл. (фиолетовая крышка)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Пробирка вакуумная с активатором свёртывания и гелем объем 8,5 мл. 16*100 мм (желтая крышка)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Игла двусторонняя 1,2 х 38 мм (18Gх 1 1/2") /HEBEI XINLE SCI&amp;TECH CO., LTD/ 100/5000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определения концентрации общего белка в сыворотке или плазме крови животных и птиц биуретовым методом (ОБЩИЙ БЕЛОК-ОЛЬВЕКС), (1000 мл (конеч. объём реагента))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количественного определения содержания альбумина в сыворотке и плазме крови животных и птиц колориметрическим методом с бромкрезоловым зелёным (АЛЬБУМИН-ОЛЬВЕКС), (200 мл)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количественного определения содержания неорганического фосфора в сыворотке крови животных и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птиц cпектрофотометрическим (UV) методом без депротеинизации (ФН-ОЛЬВЕКС), (200 мл.) РУ № ФСР 2009/06390 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предназначен для количественного определения содержания кальция в сыворотке или плазме крови животных и птиц колориметрическим методом (КАЛЬЦИЙ-ОЛЬВЕКС), (200 мл.),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количественного определения активности щелочной фосфатазы в сыворотке и плазме крови животных и птиц оптимизированным кинетическим методом (ЩЕЛОЧНАЯ ФОСФАТАЗА-4-ОЛЬВЕКС), (250 мл), РУ № ФСР 2010/07048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определения активности аланинаминотрансферазы в сыворотке крови (метод Райтмана-Френкеля) (АЛТ-РФ-ОЛЬВЕК С). (400 проб),  РУ № ФСР 011/11681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определения активности аспартатаминотрансферазы в сыворотке крови (метод Райтмана-Френкеля) (АСТ-РФ-ОЛЬВЕКС), (400 проб), РУ № ФСР 2011/11683  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Калий едкий хч ГОСТ 24363-80 (упак. 1 кг)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Калий фк 2-зам. 3-водный ч ГОСТ 2493-75 (упак. 1 кг)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  <w:tr w:rsidR="009E6EB9" w:rsidRPr="00945692" w:rsidTr="00C22B42">
        <w:trPr>
          <w:trHeight w:val="433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Натрий сернистокислый б/в ЧДА ГОСТ 195-77 (упак 1,4 кг)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Default="009E6EB9" w:rsidP="009E6E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9" w:rsidRPr="00945692" w:rsidRDefault="009E6EB9" w:rsidP="009E6E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651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  <w:sectPr w:rsidR="007A1AA1" w:rsidRPr="00945692" w:rsidSect="00ED2519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94222" w:rsidRDefault="00E94222" w:rsidP="007A1AA1">
      <w:pPr>
        <w:jc w:val="center"/>
      </w:pPr>
    </w:p>
    <w:p w:rsidR="00571230" w:rsidRPr="00FA63A2" w:rsidRDefault="00571230" w:rsidP="0057123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A63A2">
        <w:rPr>
          <w:b/>
          <w:sz w:val="22"/>
          <w:szCs w:val="22"/>
        </w:rPr>
        <w:t>Техническое задание</w:t>
      </w:r>
    </w:p>
    <w:p w:rsidR="00571230" w:rsidRPr="00FA63A2" w:rsidRDefault="00571230" w:rsidP="0057123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FA63A2">
        <w:rPr>
          <w:rFonts w:eastAsia="Calibri"/>
          <w:b/>
          <w:sz w:val="22"/>
          <w:szCs w:val="22"/>
        </w:rPr>
        <w:t>(Описание объекта закупки)</w:t>
      </w:r>
    </w:p>
    <w:p w:rsidR="00571230" w:rsidRPr="00FA63A2" w:rsidRDefault="00571230" w:rsidP="00571230">
      <w:pPr>
        <w:tabs>
          <w:tab w:val="left" w:pos="3938"/>
        </w:tabs>
        <w:jc w:val="center"/>
        <w:rPr>
          <w:b/>
          <w:bCs/>
          <w:sz w:val="22"/>
          <w:szCs w:val="22"/>
        </w:rPr>
      </w:pPr>
    </w:p>
    <w:p w:rsidR="00571230" w:rsidRPr="00FA63A2" w:rsidRDefault="00571230" w:rsidP="00571230">
      <w:pPr>
        <w:tabs>
          <w:tab w:val="left" w:pos="3938"/>
        </w:tabs>
        <w:jc w:val="center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9"/>
        <w:gridCol w:w="5585"/>
        <w:gridCol w:w="3139"/>
      </w:tblGrid>
      <w:tr w:rsidR="00571230" w:rsidRPr="00FA63A2" w:rsidTr="00D94CB3">
        <w:tc>
          <w:tcPr>
            <w:tcW w:w="519" w:type="dxa"/>
          </w:tcPr>
          <w:p w:rsidR="00571230" w:rsidRPr="00FA63A2" w:rsidRDefault="00571230" w:rsidP="00D94CB3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A63A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585" w:type="dxa"/>
          </w:tcPr>
          <w:p w:rsidR="00571230" w:rsidRPr="00FA63A2" w:rsidRDefault="00571230" w:rsidP="00571230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A63A2">
              <w:rPr>
                <w:b/>
                <w:bCs/>
                <w:sz w:val="22"/>
                <w:szCs w:val="22"/>
              </w:rPr>
              <w:t>Ре</w:t>
            </w:r>
            <w:r>
              <w:rPr>
                <w:b/>
                <w:bCs/>
                <w:sz w:val="22"/>
                <w:szCs w:val="22"/>
              </w:rPr>
              <w:t>агенты</w:t>
            </w:r>
          </w:p>
        </w:tc>
        <w:tc>
          <w:tcPr>
            <w:tcW w:w="3139" w:type="dxa"/>
          </w:tcPr>
          <w:p w:rsidR="00571230" w:rsidRPr="00FA63A2" w:rsidRDefault="00571230" w:rsidP="00D94CB3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A63A2">
              <w:rPr>
                <w:b/>
                <w:bCs/>
                <w:sz w:val="22"/>
                <w:szCs w:val="22"/>
              </w:rPr>
              <w:t>Количество/единицы</w:t>
            </w:r>
          </w:p>
        </w:tc>
      </w:tr>
      <w:tr w:rsidR="00E74338" w:rsidRPr="00FA63A2" w:rsidTr="00D94CB3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A63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Пробирка вакуумная с К2ЭДТА для гем. исследований. Размер 16*100 мм. Объем 8 мл. (фиолетовая крышка) </w:t>
            </w:r>
          </w:p>
        </w:tc>
        <w:tc>
          <w:tcPr>
            <w:tcW w:w="3139" w:type="dxa"/>
            <w:vAlign w:val="center"/>
          </w:tcPr>
          <w:p w:rsidR="00E74338" w:rsidRPr="00FA63A2" w:rsidRDefault="00E74338" w:rsidP="00E74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шт.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Пробирка вакуумная с активатором свёртывания и гелем объем 8,5 мл. 16*100 мм (желтая крышка) 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200 шт.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Игла двусторонняя 1,2 х 38 мм (18Gх 1 1/2") /HEBEI XINLE SCI&amp;TECH CO., LTD/ 100/5000 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200 шт.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определения концентрации общего белка в сыворотке или плазме крови животных и птиц биуретовым методом (ОБЩИЙ БЕЛОК-ОЛЬВЕКС), (1000 мл (конеч. объём реагента))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1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количественного определения содержания альбумина в сыворотке и плазме крови животных и птиц колориметрическим методом с бромкрезоловым зелёным (АЛЬБУМИН-ОЛЬВЕКС), (200 мл)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2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количественного определения содержания неорганического фосфора в сыворотке крови животных и птиц cпектрофотометрическим (UV) методом без депротеинизации (ФН-ОЛЬВЕКС), (200 мл.) РУ № ФСР 2009/06390  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2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Pr="00FA63A2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предназначен для количественного определения содержания кальция в сыворотке или плазме крови животных и птиц колориметрическим методом (КАЛЬЦИЙ-ОЛЬВЕКС), (200 мл.),</w:t>
            </w:r>
          </w:p>
        </w:tc>
        <w:tc>
          <w:tcPr>
            <w:tcW w:w="3139" w:type="dxa"/>
            <w:vAlign w:val="center"/>
          </w:tcPr>
          <w:p w:rsidR="00E74338" w:rsidRDefault="00E74338" w:rsidP="00E74338">
            <w:pPr>
              <w:jc w:val="center"/>
            </w:pPr>
            <w:r>
              <w:t>2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количественного определения активности щелочной фосфатазы в сыворотке и плазме крови животных и птиц оптимизированным кинетическим методом (ЩЕЛОЧНАЯ ФОСФАТАЗА-4-ОЛЬВЕКС), (250 мл), РУ № ФСР 2010/07048 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1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реагентов для определения активности аланинаминотрансферазы в сыворотке крови (метод Райтмана-Френкеля) (АЛТ-РФ-ОЛЬВЕК С). (400 проб),  РУ № ФСР 011/11681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1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реагентов для определения активности аспартатаминотрансферазы в сыворотке крови (метод Райтмана-Френкеля) (АСТ-РФ-ОЛЬВЕКС), (400 проб), РУ № ФСР 2011/11683  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1 набор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Калий едкий хч ГОСТ 24363-80 (упак. 1 кг)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1 упак.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Калий фк 2-зам. 3-водный ч ГОСТ 2493-75 (упак. 1 кг)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2 упак.</w:t>
            </w:r>
          </w:p>
        </w:tc>
      </w:tr>
      <w:tr w:rsidR="00E74338" w:rsidRPr="00FA63A2" w:rsidTr="00571230">
        <w:trPr>
          <w:trHeight w:val="61"/>
        </w:trPr>
        <w:tc>
          <w:tcPr>
            <w:tcW w:w="519" w:type="dxa"/>
          </w:tcPr>
          <w:p w:rsidR="00E74338" w:rsidRDefault="00E74338" w:rsidP="00E74338">
            <w:pPr>
              <w:tabs>
                <w:tab w:val="left" w:pos="393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585" w:type="dxa"/>
            <w:vAlign w:val="center"/>
          </w:tcPr>
          <w:p w:rsidR="00E74338" w:rsidRDefault="00E74338" w:rsidP="00E7433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Натрий сернистокислый б/в ЧДА ГОСТ 195-77 (упак 1,4 кг)</w:t>
            </w:r>
          </w:p>
        </w:tc>
        <w:tc>
          <w:tcPr>
            <w:tcW w:w="3139" w:type="dxa"/>
            <w:vAlign w:val="center"/>
          </w:tcPr>
          <w:p w:rsidR="00E74338" w:rsidRDefault="00C93707" w:rsidP="00E74338">
            <w:pPr>
              <w:jc w:val="center"/>
            </w:pPr>
            <w:r>
              <w:t>1 упак.</w:t>
            </w:r>
          </w:p>
        </w:tc>
      </w:tr>
    </w:tbl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3E010D" w:rsidRDefault="003E010D" w:rsidP="007A1AA1">
      <w:pPr>
        <w:jc w:val="center"/>
      </w:pPr>
    </w:p>
    <w:p w:rsidR="003E010D" w:rsidRDefault="003E010D" w:rsidP="007A1AA1">
      <w:pPr>
        <w:jc w:val="center"/>
      </w:pPr>
    </w:p>
    <w:p w:rsidR="003E010D" w:rsidRDefault="003E010D" w:rsidP="007A1AA1">
      <w:pPr>
        <w:jc w:val="center"/>
      </w:pPr>
    </w:p>
    <w:p w:rsidR="00E94222" w:rsidRDefault="00E94222" w:rsidP="007A1AA1">
      <w:pPr>
        <w:jc w:val="center"/>
      </w:pPr>
    </w:p>
    <w:p w:rsidR="00E94222" w:rsidRDefault="00E94222" w:rsidP="007A1AA1">
      <w:pPr>
        <w:jc w:val="center"/>
      </w:pPr>
    </w:p>
    <w:p w:rsidR="007A1AA1" w:rsidRPr="00945692" w:rsidRDefault="007A1AA1" w:rsidP="007A1AA1">
      <w:pPr>
        <w:jc w:val="center"/>
      </w:pPr>
      <w:r w:rsidRPr="00945692"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lastRenderedPageBreak/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7A1A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BD" w:rsidRDefault="002318BD" w:rsidP="001C5648">
      <w:r>
        <w:separator/>
      </w:r>
    </w:p>
  </w:endnote>
  <w:endnote w:type="continuationSeparator" w:id="0">
    <w:p w:rsidR="002318BD" w:rsidRDefault="002318BD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1B0F90">
      <w:rPr>
        <w:rStyle w:val="a5"/>
        <w:noProof/>
        <w:sz w:val="22"/>
        <w:szCs w:val="22"/>
      </w:rPr>
      <w:t>4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2318BD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BD" w:rsidRDefault="002318BD" w:rsidP="001C5648">
      <w:r>
        <w:separator/>
      </w:r>
    </w:p>
  </w:footnote>
  <w:footnote w:type="continuationSeparator" w:id="0">
    <w:p w:rsidR="002318BD" w:rsidRDefault="002318BD" w:rsidP="001C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1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8"/>
  </w:num>
  <w:num w:numId="17">
    <w:abstractNumId w:val="11"/>
  </w:num>
  <w:num w:numId="18">
    <w:abstractNumId w:val="22"/>
  </w:num>
  <w:num w:numId="19">
    <w:abstractNumId w:val="21"/>
  </w:num>
  <w:num w:numId="20">
    <w:abstractNumId w:val="20"/>
  </w:num>
  <w:num w:numId="21">
    <w:abstractNumId w:val="15"/>
  </w:num>
  <w:num w:numId="22">
    <w:abstractNumId w:val="16"/>
  </w:num>
  <w:num w:numId="23">
    <w:abstractNumId w:val="25"/>
  </w:num>
  <w:num w:numId="24">
    <w:abstractNumId w:val="19"/>
  </w:num>
  <w:num w:numId="25">
    <w:abstractNumId w:val="14"/>
  </w:num>
  <w:num w:numId="26">
    <w:abstractNumId w:val="28"/>
  </w:num>
  <w:num w:numId="27">
    <w:abstractNumId w:val="13"/>
  </w:num>
  <w:num w:numId="28">
    <w:abstractNumId w:val="23"/>
  </w:num>
  <w:num w:numId="29">
    <w:abstractNumId w:val="27"/>
  </w:num>
  <w:num w:numId="30">
    <w:abstractNumId w:val="24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E241B"/>
    <w:rsid w:val="002318BD"/>
    <w:rsid w:val="00265FA8"/>
    <w:rsid w:val="002663E4"/>
    <w:rsid w:val="002A5846"/>
    <w:rsid w:val="002C6626"/>
    <w:rsid w:val="002E1640"/>
    <w:rsid w:val="003148D1"/>
    <w:rsid w:val="00380FD9"/>
    <w:rsid w:val="003870E0"/>
    <w:rsid w:val="00387148"/>
    <w:rsid w:val="003C4D1B"/>
    <w:rsid w:val="003E010D"/>
    <w:rsid w:val="003E64AE"/>
    <w:rsid w:val="003F49B3"/>
    <w:rsid w:val="00480FD2"/>
    <w:rsid w:val="004A3ED3"/>
    <w:rsid w:val="004A685A"/>
    <w:rsid w:val="004C7AFC"/>
    <w:rsid w:val="00525DDF"/>
    <w:rsid w:val="00525E3B"/>
    <w:rsid w:val="00545B3D"/>
    <w:rsid w:val="00571230"/>
    <w:rsid w:val="00585555"/>
    <w:rsid w:val="005B4D3D"/>
    <w:rsid w:val="005B5F60"/>
    <w:rsid w:val="005C6548"/>
    <w:rsid w:val="005D505C"/>
    <w:rsid w:val="00625270"/>
    <w:rsid w:val="00666048"/>
    <w:rsid w:val="006751B9"/>
    <w:rsid w:val="006A5507"/>
    <w:rsid w:val="006D74F1"/>
    <w:rsid w:val="006E188B"/>
    <w:rsid w:val="007161F8"/>
    <w:rsid w:val="00737773"/>
    <w:rsid w:val="007A1AA1"/>
    <w:rsid w:val="007B23EC"/>
    <w:rsid w:val="00811206"/>
    <w:rsid w:val="00817F31"/>
    <w:rsid w:val="00831BBD"/>
    <w:rsid w:val="008367C2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B1300"/>
    <w:rsid w:val="00AC120B"/>
    <w:rsid w:val="00AC3581"/>
    <w:rsid w:val="00AC41DF"/>
    <w:rsid w:val="00AD19A4"/>
    <w:rsid w:val="00AD24D6"/>
    <w:rsid w:val="00B02168"/>
    <w:rsid w:val="00B06F01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47D8"/>
    <w:rsid w:val="00C93707"/>
    <w:rsid w:val="00CA62BD"/>
    <w:rsid w:val="00CD4D31"/>
    <w:rsid w:val="00CE057A"/>
    <w:rsid w:val="00D31D72"/>
    <w:rsid w:val="00D65D33"/>
    <w:rsid w:val="00D67A6D"/>
    <w:rsid w:val="00DC751D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D2519"/>
    <w:rsid w:val="00ED2B3F"/>
    <w:rsid w:val="00EE4EF4"/>
    <w:rsid w:val="00EF0D62"/>
    <w:rsid w:val="00F02987"/>
    <w:rsid w:val="00F05E35"/>
    <w:rsid w:val="00F17FF5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8E75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iPriority w:val="99"/>
    <w:semiHidden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52</TotalTime>
  <Pages>1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18</cp:revision>
  <dcterms:created xsi:type="dcterms:W3CDTF">2025-03-04T07:27:00Z</dcterms:created>
  <dcterms:modified xsi:type="dcterms:W3CDTF">2026-05-21T07:13:00Z</dcterms:modified>
</cp:coreProperties>
</file>