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№________</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«_____» ______ 2026 г.</w:t>
      </w:r>
      <w:bookmarkEnd w:id="0"/>
    </w:p>
    <w:p>
      <w:pPr>
        <w:pStyle w:val="Normal"/>
        <w:spacing w:before="0" w:after="60"/>
        <w:jc w:val="both"/>
        <w:rPr/>
      </w:pPr>
      <w:r>
        <w:rPr/>
      </w:r>
    </w:p>
    <w:p>
      <w:pPr>
        <w:pStyle w:val="Normal"/>
        <w:jc w:val="both"/>
        <w:rPr/>
      </w:pPr>
      <w:r>
        <w:rPr>
          <w:b/>
          <w:bCs/>
        </w:rPr>
        <w:tab/>
      </w: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Устава, именуемое в дальнейшем «Заказчик», с одной стороны, и ________________________,</w:t>
      </w:r>
      <w:r>
        <w:rPr>
          <w:b/>
          <w:bCs/>
        </w:rPr>
        <w:t xml:space="preserve"> </w:t>
      </w:r>
      <w:r>
        <w:rPr>
          <w:b w:val="false"/>
          <w:bCs w:val="false"/>
        </w:rPr>
        <w:t>в лице ___________________, действующего на основании ______________________,</w:t>
      </w:r>
      <w:r>
        <w:rPr/>
        <w:t xml:space="preserve"> именуемый в дальнейшем «Поставщик», с другой стороны, на</w:t>
      </w:r>
      <w:r>
        <w:rPr>
          <w:shd w:fill="auto" w:val="clear"/>
        </w:rPr>
        <w:t xml:space="preserve"> </w:t>
      </w:r>
      <w:r>
        <w:rPr>
          <w:rFonts w:eastAsia="Times New Roman" w:cs="Times New Roman"/>
          <w:color w:val="auto"/>
          <w:kern w:val="0"/>
          <w:sz w:val="20"/>
          <w:szCs w:val="20"/>
          <w:shd w:fill="auto" w:val="clear"/>
          <w:lang w:val="ru-RU" w:eastAsia="ru-RU" w:bidi="ar-SA"/>
        </w:rPr>
        <w:t>основании п. 4 ч. 1 ст. 93 Федерального Закона № 44-ФЗ «О контрактной системе в сфере закупок товаров, работ, услуг для обеспечения государственных и муниципальных нужд» от 05.04.2013 г., заключили настоящий контракт о нижеследующем:</w:t>
      </w:r>
    </w:p>
    <w:p>
      <w:pPr>
        <w:pStyle w:val="Normal"/>
        <w:jc w:val="both"/>
        <w:rPr/>
      </w:pPr>
      <w:r>
        <w:rPr/>
      </w:r>
    </w:p>
    <w:p>
      <w:pPr>
        <w:pStyle w:val="Normal"/>
        <w:spacing w:before="0" w:after="60"/>
        <w:jc w:val="center"/>
        <w:rPr>
          <w:b/>
          <w:bCs/>
        </w:rPr>
      </w:pPr>
      <w:r>
        <w:rPr>
          <w:b/>
        </w:rPr>
        <w:t>1. Предмет к</w:t>
      </w:r>
      <w:r>
        <w:rPr>
          <w:b/>
          <w:bCs/>
        </w:rPr>
        <w:t>онтракта</w:t>
      </w:r>
    </w:p>
    <w:p>
      <w:pPr>
        <w:pStyle w:val="Normal"/>
        <w:numPr>
          <w:ilvl w:val="0"/>
          <w:numId w:val="0"/>
        </w:numPr>
        <w:ind w:hanging="0" w:left="0"/>
        <w:jc w:val="both"/>
        <w:outlineLvl w:val="0"/>
        <w:rPr>
          <w:b/>
          <w:bCs/>
        </w:rPr>
      </w:pPr>
      <w:r>
        <w:rPr/>
        <w:t xml:space="preserve">1.1. Поставщик по настоящему </w:t>
      </w:r>
      <w:r>
        <w:rPr>
          <w:rFonts w:eastAsia="Times New Roman" w:cs="Times New Roman"/>
          <w:color w:val="auto"/>
          <w:kern w:val="0"/>
          <w:sz w:val="20"/>
          <w:szCs w:val="20"/>
          <w:shd w:fill="auto" w:val="clear"/>
          <w:lang w:val="ru-RU" w:eastAsia="ru-RU" w:bidi="ar-SA"/>
        </w:rPr>
        <w:t>контракт</w:t>
      </w:r>
      <w:r>
        <w:rPr>
          <w:bCs/>
        </w:rPr>
        <w:t>у</w:t>
      </w:r>
      <w:r>
        <w:rPr/>
        <w:t xml:space="preserve"> обязуется поставить товар: бланки строгой отчетности и передать его Заказчику, а Заказчик по настоящему </w:t>
      </w:r>
      <w:r>
        <w:rPr>
          <w:rFonts w:eastAsia="Times New Roman" w:cs="Times New Roman"/>
          <w:color w:val="auto"/>
          <w:kern w:val="0"/>
          <w:sz w:val="20"/>
          <w:szCs w:val="20"/>
          <w:shd w:fill="auto" w:val="clear"/>
          <w:lang w:val="ru-RU" w:eastAsia="ru-RU" w:bidi="ar-SA"/>
        </w:rPr>
        <w:t>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rFonts w:eastAsia="Times New Roman" w:cs="Times New Roman"/>
          <w:color w:val="auto"/>
          <w:kern w:val="0"/>
          <w:sz w:val="20"/>
          <w:szCs w:val="20"/>
          <w:shd w:fill="auto" w:val="clear"/>
          <w:lang w:val="ru-RU" w:eastAsia="ru-RU" w:bidi="ar-SA"/>
        </w:rPr>
        <w:t>контракт</w:t>
      </w:r>
      <w:r>
        <w:rPr>
          <w:bCs/>
        </w:rPr>
        <w:t xml:space="preserve">ом </w:t>
      </w:r>
      <w:r>
        <w:rPr/>
        <w:t xml:space="preserve">и спецификацией (Приложение № 1 к настоящему </w:t>
      </w:r>
      <w:r>
        <w:rPr>
          <w:rFonts w:eastAsia="Times New Roman" w:cs="Times New Roman"/>
          <w:color w:val="auto"/>
          <w:kern w:val="0"/>
          <w:sz w:val="20"/>
          <w:szCs w:val="20"/>
          <w:shd w:fill="auto" w:val="clear"/>
          <w:lang w:val="ru-RU" w:eastAsia="ru-RU" w:bidi="ar-SA"/>
        </w:rPr>
        <w:t>контракт</w:t>
      </w:r>
      <w:r>
        <w:rPr/>
        <w:t>у),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 xml:space="preserve">2. Цена </w:t>
      </w:r>
      <w:r>
        <w:rPr>
          <w:rFonts w:eastAsia="Times New Roman" w:cs="Times New Roman"/>
          <w:b/>
          <w:color w:val="auto"/>
          <w:kern w:val="0"/>
          <w:sz w:val="20"/>
          <w:szCs w:val="20"/>
          <w:shd w:fill="auto" w:val="clear"/>
          <w:lang w:val="ru-RU" w:eastAsia="ru-RU" w:bidi="ar-SA"/>
        </w:rPr>
        <w:t>контракт</w:t>
      </w:r>
      <w:r>
        <w:rPr>
          <w:b/>
          <w:lang w:val="ru-RU"/>
        </w:rPr>
        <w:t>а и порядок расчетов</w:t>
      </w:r>
    </w:p>
    <w:p>
      <w:pPr>
        <w:pStyle w:val="CommentText"/>
        <w:jc w:val="both"/>
        <w:rPr/>
      </w:pPr>
      <w:r>
        <w:rPr/>
        <w:t xml:space="preserve">2.1. Цена контракта составляет </w:t>
      </w:r>
      <w:r>
        <w:rPr>
          <w:b/>
          <w:bCs/>
        </w:rPr>
        <w:t>_______________</w:t>
      </w:r>
      <w:r>
        <w:rPr/>
        <w:t xml:space="preserve"> (____________) рублей _____ копеек,  </w:t>
      </w:r>
      <w:r>
        <w:rPr>
          <w:bCs/>
        </w:rPr>
        <w:t xml:space="preserve">в том числе НДС ____% ___________________ рублей _____ коп.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531"/>
          <w:tab w:val="left" w:pos="540" w:leader="none"/>
        </w:tabs>
        <w:ind w:hanging="0"/>
        <w:jc w:val="both"/>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jc w:val="both"/>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Догооворе счет Поставщика, несет Поставщик.</w:t>
      </w:r>
      <w:bookmarkStart w:id="2" w:name="_Hlk178155259"/>
      <w:bookmarkEnd w:id="2"/>
    </w:p>
    <w:p>
      <w:pPr>
        <w:pStyle w:val="Normal"/>
        <w:jc w:val="both"/>
        <w:rPr/>
      </w:pPr>
      <w:r>
        <w:rPr/>
        <w:t>2.5. Источник финансирования:</w:t>
      </w:r>
      <w:bookmarkStart w:id="3" w:name="_Hlk174882174"/>
      <w:r>
        <w:rPr/>
        <w:t xml:space="preserve"> </w:t>
      </w:r>
      <w:bookmarkEnd w:id="3"/>
      <w:r>
        <w:rPr>
          <w:rFonts w:eastAsia="Calibri"/>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531"/>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 н) (далее -ф. 0510452) в порядке и сроки, предусмотренные контрактом.  3.2.4 Требовать уплаты неустойки (штрафа, пени) в соответствии с разделом 8 контракта.</w:t>
      </w:r>
      <w:bookmarkStart w:id="4" w:name="_Hlk178155480"/>
      <w:bookmarkEnd w:id="4"/>
    </w:p>
    <w:p>
      <w:pPr>
        <w:pStyle w:val="BodyTextIndent"/>
        <w:tabs>
          <w:tab w:val="clear" w:pos="531"/>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rPr>
          <w:lang w:val="ru-RU"/>
        </w:rPr>
      </w:pPr>
      <w:r>
        <w:rPr>
          <w:lang w:val="ru-RU"/>
        </w:rPr>
      </w:r>
    </w:p>
    <w:p>
      <w:pPr>
        <w:pStyle w:val="Normal"/>
        <w:shd w:val="clear" w:color="auto" w:fill="FFFFFF"/>
        <w:tabs>
          <w:tab w:val="clear" w:pos="531"/>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531"/>
          <w:tab w:val="left" w:pos="0" w:leader="none"/>
          <w:tab w:val="left" w:pos="900" w:leader="none"/>
        </w:tabs>
        <w:jc w:val="both"/>
        <w:rPr/>
      </w:pPr>
      <w:r>
        <w:rPr/>
        <w:t xml:space="preserve">4.1. Поставка товара осуществляется </w:t>
      </w:r>
      <w:r>
        <w:rPr>
          <w:b/>
          <w:bCs/>
        </w:rPr>
        <w:t>с даты заключения контракта в течении 30 дней.</w:t>
      </w:r>
      <w:r>
        <w:rPr>
          <w:highlight w:val="yellow"/>
        </w:rPr>
        <w:t xml:space="preserve"> </w:t>
      </w:r>
    </w:p>
    <w:p>
      <w:pPr>
        <w:pStyle w:val="Normal"/>
        <w:shd w:val="clear" w:color="auto" w:fill="FFFFFF"/>
        <w:tabs>
          <w:tab w:val="clear" w:pos="531"/>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531"/>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531"/>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lef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 xml:space="preserve">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Догоовром,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__________руб.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hanging="0"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9.1. Настоящий контракт вступает в силу с момента заключения и действует до</w:t>
      </w:r>
      <w:r>
        <w:rPr>
          <w:rFonts w:ascii="Times New Roman" w:hAnsi="Times New Roman"/>
          <w:b/>
          <w:bCs/>
          <w:sz w:val="20"/>
          <w:szCs w:val="20"/>
        </w:rPr>
        <w:t xml:space="preserve"> 30.09.2026 </w:t>
      </w:r>
      <w:r>
        <w:rPr>
          <w:rFonts w:ascii="Times New Roman" w:hAnsi="Times New Roman"/>
          <w:b/>
          <w:bCs/>
          <w:color w:val="000000"/>
          <w:sz w:val="20"/>
          <w:szCs w:val="20"/>
        </w:rPr>
        <w:t>г.</w:t>
      </w:r>
      <w:r>
        <w:rPr>
          <w:rFonts w:ascii="Times New Roman" w:hAnsi="Times New Roman"/>
          <w:sz w:val="20"/>
          <w:szCs w:val="20"/>
        </w:rPr>
        <w:t>, а в части оплаты – до исполнения обязатель</w:t>
      </w:r>
      <w:bookmarkStart w:id="7" w:name="_Hlk177570138"/>
      <w:bookmarkEnd w:id="7"/>
      <w:r>
        <w:rPr>
          <w:rFonts w:ascii="Times New Roman" w:hAnsi="Times New Roman"/>
          <w:sz w:val="20"/>
          <w:szCs w:val="20"/>
        </w:rPr>
        <w:t>ств.</w:t>
      </w:r>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531"/>
          <w:tab w:val="left" w:pos="540" w:leader="none"/>
          <w:tab w:val="left" w:pos="1248" w:leader="none"/>
        </w:tabs>
        <w:jc w:val="both"/>
        <w:rPr/>
      </w:pPr>
      <w:r>
        <w:rPr/>
      </w:r>
    </w:p>
    <w:p>
      <w:pPr>
        <w:pStyle w:val="Normal"/>
        <w:shd w:val="clear" w:color="auto" w:fill="FFFFFF"/>
        <w:tabs>
          <w:tab w:val="clear" w:pos="531"/>
          <w:tab w:val="left" w:pos="540" w:leader="none"/>
          <w:tab w:val="left" w:pos="1248" w:leader="none"/>
        </w:tabs>
        <w:jc w:val="center"/>
        <w:rPr>
          <w:b/>
        </w:rPr>
      </w:pPr>
      <w:r>
        <w:rPr>
          <w:b/>
        </w:rPr>
        <w:t>11. Противодействие коррупции</w:t>
      </w:r>
    </w:p>
    <w:p>
      <w:pPr>
        <w:pStyle w:val="Normal"/>
        <w:shd w:val="clear" w:color="auto"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531"/>
          <w:tab w:val="left" w:pos="540" w:leader="none"/>
          <w:tab w:val="left" w:pos="1248" w:leader="none"/>
        </w:tabs>
        <w:jc w:val="center"/>
        <w:rPr/>
      </w:pPr>
      <w:r>
        <w:rPr/>
      </w:r>
    </w:p>
    <w:p>
      <w:pPr>
        <w:pStyle w:val="Normal"/>
        <w:shd w:val="clear" w:color="auto"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531"/>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531"/>
          <w:tab w:val="left" w:pos="540" w:leader="none"/>
        </w:tabs>
        <w:ind w:hanging="0"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hanging="0"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hanging="0"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hanging="0" w:right="-142"/>
        <w:rPr/>
      </w:pPr>
      <w:r>
        <w:rPr/>
        <w:t>Любые приложения, изменения и дополнения к настоящему контракту действительны и являются неотъемлемой частью настоящего Догоовра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hanging="0"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hanging="0"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hanging="0"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hanging="0"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hanging="0"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hanging="0"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hanging="0"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88" w:type="dxa"/>
        <w:jc w:val="left"/>
        <w:tblInd w:w="55" w:type="dxa"/>
        <w:tblLayout w:type="fixed"/>
        <w:tblCellMar>
          <w:top w:w="55" w:type="dxa"/>
          <w:left w:w="55" w:type="dxa"/>
          <w:bottom w:w="55" w:type="dxa"/>
          <w:right w:w="55" w:type="dxa"/>
        </w:tblCellMar>
      </w:tblPr>
      <w:tblGrid>
        <w:gridCol w:w="5246"/>
        <w:gridCol w:w="5242"/>
      </w:tblGrid>
      <w:tr>
        <w:trPr/>
        <w:tc>
          <w:tcPr>
            <w:tcW w:w="5246" w:type="dxa"/>
            <w:tcBorders/>
          </w:tcPr>
          <w:p>
            <w:pPr>
              <w:pStyle w:val="Normal"/>
              <w:numPr>
                <w:ilvl w:val="0"/>
                <w:numId w:val="0"/>
              </w:numPr>
              <w:ind w:hanging="0" w:left="0" w:right="0"/>
              <w:jc w:val="both"/>
              <w:rPr>
                <w:b/>
                <w:iCs/>
              </w:rPr>
            </w:pPr>
            <w:r>
              <w:rPr>
                <w:b/>
                <w:iCs/>
              </w:rPr>
              <w:t>Заказчик:</w:t>
            </w:r>
          </w:p>
          <w:p>
            <w:pPr>
              <w:pStyle w:val="Normal"/>
              <w:rPr>
                <w:b/>
                <w:bCs/>
              </w:rPr>
            </w:pPr>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b/>
                <w:iCs/>
              </w:rPr>
            </w:pPr>
            <w:r>
              <w:rPr>
                <w:b/>
                <w:iCs/>
              </w:rPr>
            </w:r>
          </w:p>
        </w:tc>
        <w:tc>
          <w:tcPr>
            <w:tcW w:w="5242" w:type="dxa"/>
            <w:tcBorders/>
          </w:tcPr>
          <w:p>
            <w:pPr>
              <w:pStyle w:val="Normal"/>
              <w:numPr>
                <w:ilvl w:val="0"/>
                <w:numId w:val="0"/>
              </w:numPr>
              <w:ind w:hanging="0" w:left="0"/>
              <w:jc w:val="both"/>
              <w:outlineLvl w:val="5"/>
              <w:rPr>
                <w:b w:val="false"/>
                <w:bCs w:val="false"/>
                <w:iCs/>
              </w:rPr>
            </w:pPr>
            <w:r>
              <w:rPr>
                <w:b/>
                <w:bCs/>
                <w:iCs/>
              </w:rPr>
              <w:t>Поставщик</w:t>
            </w:r>
            <w:r>
              <w:rPr>
                <w:b w:val="false"/>
                <w:bCs w:val="false"/>
                <w:iCs/>
              </w:rPr>
              <w:t>:</w:t>
            </w:r>
          </w:p>
          <w:p>
            <w:pPr>
              <w:pStyle w:val="Normal"/>
              <w:numPr>
                <w:ilvl w:val="0"/>
                <w:numId w:val="0"/>
              </w:numPr>
              <w:ind w:hanging="0" w:left="0"/>
              <w:jc w:val="left"/>
              <w:outlineLvl w:val="5"/>
              <w:rPr>
                <w:b w:val="false"/>
                <w:bCs w:val="false"/>
                <w:iCs/>
              </w:rPr>
            </w:pPr>
            <w:r>
              <w:rPr>
                <w:b w:val="false"/>
                <w:bCs w:val="false"/>
                <w:iCs/>
              </w:rPr>
            </w:r>
          </w:p>
        </w:tc>
      </w:tr>
      <w:tr>
        <w:trPr/>
        <w:tc>
          <w:tcPr>
            <w:tcW w:w="5246" w:type="dxa"/>
            <w:tcBorders/>
          </w:tcPr>
          <w:p>
            <w:pPr>
              <w:pStyle w:val="Normal"/>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Заказчик</w:t>
            </w:r>
          </w:p>
          <w:p>
            <w:pPr>
              <w:pStyle w:val="Normal"/>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r>
          </w:p>
          <w:p>
            <w:pPr>
              <w:pStyle w:val="Normal"/>
              <w:tabs>
                <w:tab w:val="clear" w:pos="531"/>
                <w:tab w:val="left" w:pos="7680" w:leader="none"/>
              </w:tabs>
              <w:rPr>
                <w:rFonts w:ascii="Times New Roman" w:hAnsi="Times New Roman" w:eastAsia="Times New Roman" w:cs="Times New Roman"/>
                <w:b w:val="false"/>
                <w:bCs w:val="false"/>
                <w:color w:val="auto"/>
                <w:kern w:val="0"/>
                <w:sz w:val="20"/>
                <w:szCs w:val="20"/>
                <w:lang w:val="ru-RU" w:eastAsia="ru-RU" w:bidi="ar-SA"/>
              </w:rPr>
            </w:pPr>
            <w:r>
              <w:rPr>
                <w:rFonts w:eastAsia="Times New Roman" w:cs="Times New Roman"/>
                <w:b w:val="false"/>
                <w:bCs w:val="false"/>
                <w:color w:val="auto"/>
                <w:kern w:val="0"/>
                <w:sz w:val="20"/>
                <w:szCs w:val="20"/>
                <w:lang w:val="ru-RU" w:eastAsia="ru-RU" w:bidi="ar-SA"/>
              </w:rPr>
            </w:r>
          </w:p>
          <w:p>
            <w:pPr>
              <w:pStyle w:val="Normal"/>
              <w:rPr>
                <w:rFonts w:ascii="Times New Roman" w:hAnsi="Times New Roman" w:eastAsia="Times New Roman" w:cs="Times New Roman"/>
                <w:b w:val="false"/>
                <w:bCs w:val="false"/>
                <w:color w:val="auto"/>
                <w:kern w:val="0"/>
                <w:sz w:val="20"/>
                <w:szCs w:val="20"/>
                <w:lang w:val="ru-RU" w:eastAsia="ru-RU" w:bidi="ar-SA"/>
              </w:rPr>
            </w:pPr>
            <w:r>
              <w:rPr>
                <w:rFonts w:eastAsia="Times New Roman" w:cs="Times New Roman"/>
                <w:b w:val="false"/>
                <w:bCs w:val="false"/>
                <w:color w:val="auto"/>
                <w:kern w:val="0"/>
                <w:sz w:val="20"/>
                <w:szCs w:val="20"/>
                <w:lang w:val="ru-RU" w:eastAsia="ru-RU" w:bidi="ar-SA"/>
              </w:rPr>
            </w:r>
          </w:p>
          <w:p>
            <w:pPr>
              <w:pStyle w:val="Normal"/>
              <w:jc w:val="left"/>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rFonts w:eastAsia="Times New Roman" w:cs="Times New Roman"/>
                <w:b w:val="false"/>
                <w:bCs w:val="false"/>
                <w:i w:val="false"/>
                <w:iCs w:val="false"/>
                <w:strike w:val="false"/>
                <w:dstrike w:val="false"/>
                <w:outline w:val="false"/>
                <w:shadow w:val="false"/>
                <w:color w:val="auto"/>
                <w:kern w:val="0"/>
                <w:sz w:val="20"/>
                <w:szCs w:val="20"/>
                <w:u w:val="none"/>
                <w:lang w:val="ru-RU" w:eastAsia="ru-RU" w:bidi="ar-SA"/>
              </w:rPr>
              <w:t>____________</w:t>
            </w:r>
          </w:p>
          <w:p>
            <w:pPr>
              <w:pStyle w:val="Normal"/>
              <w:jc w:val="left"/>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rFonts w:eastAsia="Times New Roman" w:cs="Times New Roman"/>
                <w:b/>
                <w:bCs/>
                <w:i w:val="false"/>
                <w:iCs w:val="false"/>
                <w:strike w:val="false"/>
                <w:dstrike w:val="false"/>
                <w:outline w:val="false"/>
                <w:shadow w:val="false"/>
                <w:color w:val="auto"/>
                <w:kern w:val="0"/>
                <w:sz w:val="20"/>
                <w:szCs w:val="20"/>
                <w:u w:val="none"/>
                <w:lang w:val="ru-RU" w:eastAsia="ru-RU" w:bidi="ar-SA"/>
              </w:rPr>
            </w:r>
          </w:p>
        </w:tc>
        <w:tc>
          <w:tcPr>
            <w:tcW w:w="5242" w:type="dxa"/>
            <w:tcBorders/>
          </w:tcPr>
          <w:p>
            <w:pPr>
              <w:pStyle w:val="Normal"/>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rFonts w:eastAsia="Times New Roman" w:cs="Times New Roman"/>
                <w:b/>
                <w:bCs/>
                <w:i w:val="false"/>
                <w:iCs w:val="false"/>
                <w:strike w:val="false"/>
                <w:dstrike w:val="false"/>
                <w:outline w:val="false"/>
                <w:shadow w:val="false"/>
                <w:color w:val="auto"/>
                <w:kern w:val="0"/>
                <w:sz w:val="20"/>
                <w:szCs w:val="20"/>
                <w:u w:val="none"/>
                <w:lang w:val="ru-RU" w:eastAsia="ru-RU" w:bidi="ar-SA"/>
              </w:rPr>
              <w:t>Поставщик:</w:t>
            </w:r>
          </w:p>
          <w:p>
            <w:pPr>
              <w:pStyle w:val="Normal"/>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rFonts w:eastAsia="Times New Roman" w:cs="Times New Roman"/>
                <w:b/>
                <w:bCs/>
                <w:i w:val="false"/>
                <w:iCs w:val="false"/>
                <w:strike w:val="false"/>
                <w:dstrike w:val="false"/>
                <w:outline w:val="false"/>
                <w:shadow w:val="false"/>
                <w:color w:val="auto"/>
                <w:kern w:val="0"/>
                <w:sz w:val="20"/>
                <w:szCs w:val="20"/>
                <w:u w:val="none"/>
                <w:lang w:val="ru-RU" w:eastAsia="ru-RU" w:bidi="ar-SA"/>
              </w:rPr>
            </w:r>
          </w:p>
          <w:p>
            <w:pPr>
              <w:pStyle w:val="Normal"/>
              <w:jc w:val="both"/>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rFonts w:eastAsia="Times New Roman" w:cs="Times New Roman"/>
                <w:b/>
                <w:bCs/>
                <w:i w:val="false"/>
                <w:iCs w:val="false"/>
                <w:strike w:val="false"/>
                <w:dstrike w:val="false"/>
                <w:outline w:val="false"/>
                <w:shadow w:val="false"/>
                <w:color w:val="auto"/>
                <w:kern w:val="0"/>
                <w:sz w:val="20"/>
                <w:szCs w:val="20"/>
                <w:u w:val="none"/>
                <w:lang w:val="ru-RU" w:eastAsia="ru-RU" w:bidi="ar-SA"/>
              </w:rPr>
            </w:r>
          </w:p>
          <w:p>
            <w:pPr>
              <w:pStyle w:val="Normal"/>
              <w:rPr>
                <w:rFonts w:ascii="Times New Roman" w:hAnsi="Times New Roman" w:eastAsia="Times New Roman" w:cs="Times New Roman"/>
                <w:b w:val="false"/>
                <w:bCs w:val="false"/>
                <w:color w:val="auto"/>
                <w:kern w:val="0"/>
                <w:sz w:val="20"/>
                <w:szCs w:val="20"/>
                <w:lang w:val="ru-RU" w:eastAsia="ru-RU" w:bidi="ar-SA"/>
              </w:rPr>
            </w:pPr>
            <w:r>
              <w:rPr>
                <w:rFonts w:eastAsia="Times New Roman" w:cs="Times New Roman"/>
                <w:b w:val="false"/>
                <w:bCs w:val="false"/>
                <w:color w:val="auto"/>
                <w:kern w:val="0"/>
                <w:sz w:val="20"/>
                <w:szCs w:val="20"/>
                <w:lang w:val="ru-RU" w:eastAsia="ru-RU" w:bidi="ar-SA"/>
              </w:rPr>
            </w:r>
          </w:p>
          <w:p>
            <w:pPr>
              <w:pStyle w:val="Normal"/>
              <w:jc w:val="left"/>
              <w:rPr>
                <w:rFonts w:ascii="Times New Roman" w:hAnsi="Times New Roman" w:eastAsia="Times New Roman" w:cs="Times New Roman"/>
                <w:b/>
                <w:bCs/>
                <w:i w:val="false"/>
                <w:i w:val="false"/>
                <w:iCs w:val="false"/>
                <w:strike w:val="false"/>
                <w:dstrike w:val="false"/>
                <w:outline w:val="false"/>
                <w:shadow w:val="false"/>
                <w:color w:val="auto"/>
                <w:kern w:val="0"/>
                <w:sz w:val="20"/>
                <w:szCs w:val="20"/>
                <w:u w:val="none"/>
                <w:lang w:val="ru-RU" w:eastAsia="ru-RU" w:bidi="ar-SA"/>
              </w:rPr>
            </w:pPr>
            <w:r>
              <w:rPr>
                <w:b w:val="false"/>
                <w:bCs w:val="false"/>
              </w:rPr>
              <w:t>____________</w:t>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val="false"/>
          <w:bCs w:val="false"/>
        </w:rPr>
        <w:t>№______________</w:t>
      </w:r>
      <w:r>
        <w:rPr/>
        <w:t xml:space="preserve">                                                                                                                                </w:t>
      </w:r>
    </w:p>
    <w:p>
      <w:pPr>
        <w:pStyle w:val="Normal"/>
        <w:spacing w:before="0" w:after="60"/>
        <w:jc w:val="right"/>
        <w:rPr>
          <w:rFonts w:eastAsia="Calibri"/>
          <w:lang w:eastAsia="en-US"/>
        </w:rPr>
      </w:pPr>
      <w:r>
        <w:rPr>
          <w:rFonts w:eastAsia="Calibri"/>
          <w:lang w:eastAsia="en-US"/>
        </w:rPr>
        <w:t>«» _____________ 2026 г.</w:t>
      </w:r>
    </w:p>
    <w:p>
      <w:pPr>
        <w:pStyle w:val="Normal"/>
        <w:spacing w:before="0" w:after="60"/>
        <w:jc w:val="center"/>
        <w:rPr>
          <w:b/>
          <w:bCs/>
          <w:color w:val="000000"/>
        </w:rPr>
      </w:pPr>
      <w:r>
        <w:rPr>
          <w:b/>
          <w:bCs/>
          <w:color w:val="000000"/>
        </w:rPr>
        <w:t>Спецификация</w:t>
      </w:r>
    </w:p>
    <w:tbl>
      <w:tblPr>
        <w:tblW w:w="15360" w:type="dxa"/>
        <w:jc w:val="left"/>
        <w:tblInd w:w="108" w:type="dxa"/>
        <w:tblLayout w:type="fixed"/>
        <w:tblCellMar>
          <w:top w:w="55" w:type="dxa"/>
          <w:left w:w="108" w:type="dxa"/>
          <w:bottom w:w="55" w:type="dxa"/>
          <w:right w:w="108" w:type="dxa"/>
        </w:tblCellMar>
        <w:tblLook w:val="01e0" w:noHBand="0" w:noVBand="0" w:firstColumn="1" w:lastRow="1" w:lastColumn="1" w:firstRow="1"/>
      </w:tblPr>
      <w:tblGrid>
        <w:gridCol w:w="777"/>
        <w:gridCol w:w="6649"/>
        <w:gridCol w:w="63"/>
        <w:gridCol w:w="1238"/>
        <w:gridCol w:w="1023"/>
        <w:gridCol w:w="1138"/>
        <w:gridCol w:w="1372"/>
        <w:gridCol w:w="1195"/>
        <w:gridCol w:w="1905"/>
      </w:tblGrid>
      <w:tr>
        <w:trPr>
          <w:trHeight w:val="572" w:hRule="atLeast"/>
        </w:trPr>
        <w:tc>
          <w:tcPr>
            <w:tcW w:w="777" w:type="dxa"/>
            <w:tcBorders>
              <w:top w:val="single" w:sz="4" w:space="0" w:color="000000"/>
              <w:left w:val="single" w:sz="4" w:space="0" w:color="000000"/>
              <w:bottom w:val="single" w:sz="4" w:space="0" w:color="000000"/>
            </w:tcBorders>
            <w:vAlign w:val="center"/>
          </w:tcPr>
          <w:p>
            <w:pPr>
              <w:pStyle w:val="Normal"/>
              <w:widowControl w:val="false"/>
              <w:jc w:val="center"/>
              <w:rPr>
                <w:sz w:val="18"/>
                <w:szCs w:val="18"/>
              </w:rPr>
            </w:pPr>
            <w:r>
              <w:rPr>
                <w:sz w:val="18"/>
                <w:szCs w:val="18"/>
              </w:rPr>
              <w:t>№</w:t>
            </w:r>
          </w:p>
          <w:p>
            <w:pPr>
              <w:pStyle w:val="Normal"/>
              <w:widowControl w:val="false"/>
              <w:jc w:val="center"/>
              <w:rPr>
                <w:sz w:val="18"/>
                <w:szCs w:val="18"/>
              </w:rPr>
            </w:pPr>
            <w:r>
              <w:rPr>
                <w:sz w:val="18"/>
                <w:szCs w:val="18"/>
              </w:rPr>
              <w:t>п/п</w:t>
            </w:r>
          </w:p>
        </w:tc>
        <w:tc>
          <w:tcPr>
            <w:tcW w:w="6649" w:type="dxa"/>
            <w:tcBorders>
              <w:top w:val="single" w:sz="4" w:space="0" w:color="000000"/>
              <w:left w:val="single" w:sz="4" w:space="0" w:color="000000"/>
              <w:bottom w:val="single" w:sz="4" w:space="0" w:color="000000"/>
            </w:tcBorders>
            <w:vAlign w:val="center"/>
          </w:tcPr>
          <w:p>
            <w:pPr>
              <w:pStyle w:val="Normal"/>
              <w:widowControl w:val="false"/>
              <w:jc w:val="center"/>
              <w:rPr>
                <w:sz w:val="18"/>
                <w:szCs w:val="18"/>
              </w:rPr>
            </w:pPr>
            <w:r>
              <w:rPr>
                <w:sz w:val="18"/>
                <w:szCs w:val="18"/>
              </w:rPr>
              <w:t>Наименование, минимальные технические (качественные) характеристики  товара</w:t>
            </w:r>
          </w:p>
        </w:tc>
        <w:tc>
          <w:tcPr>
            <w:tcW w:w="1301" w:type="dxa"/>
            <w:gridSpan w:val="2"/>
            <w:tcBorders>
              <w:top w:val="single" w:sz="4" w:space="0" w:color="000000"/>
              <w:left w:val="single" w:sz="4" w:space="0" w:color="000000"/>
              <w:bottom w:val="single" w:sz="4" w:space="0" w:color="000000"/>
            </w:tcBorders>
          </w:tcPr>
          <w:p>
            <w:pPr>
              <w:pStyle w:val="Normal"/>
              <w:widowControl w:val="false"/>
              <w:jc w:val="center"/>
              <w:rPr>
                <w:sz w:val="18"/>
                <w:szCs w:val="18"/>
              </w:rPr>
            </w:pPr>
            <w:r>
              <w:rPr>
                <w:sz w:val="18"/>
                <w:szCs w:val="18"/>
              </w:rPr>
              <w:t>Страна происхождения товара</w:t>
            </w:r>
          </w:p>
        </w:tc>
        <w:tc>
          <w:tcPr>
            <w:tcW w:w="1023" w:type="dxa"/>
            <w:tcBorders>
              <w:top w:val="single" w:sz="4" w:space="0" w:color="000000"/>
              <w:left w:val="single" w:sz="4" w:space="0" w:color="000000"/>
              <w:bottom w:val="single" w:sz="4" w:space="0" w:color="000000"/>
            </w:tcBorders>
            <w:vAlign w:val="center"/>
          </w:tcPr>
          <w:p>
            <w:pPr>
              <w:pStyle w:val="Normal"/>
              <w:widowControl w:val="false"/>
              <w:jc w:val="center"/>
              <w:rPr>
                <w:sz w:val="18"/>
                <w:szCs w:val="18"/>
              </w:rPr>
            </w:pPr>
            <w:r>
              <w:rPr>
                <w:sz w:val="18"/>
                <w:szCs w:val="18"/>
              </w:rPr>
              <w:t>Кол-во</w:t>
            </w:r>
          </w:p>
        </w:tc>
        <w:tc>
          <w:tcPr>
            <w:tcW w:w="1138" w:type="dxa"/>
            <w:tcBorders>
              <w:top w:val="single" w:sz="4" w:space="0" w:color="000000"/>
              <w:left w:val="single" w:sz="4" w:space="0" w:color="000000"/>
              <w:bottom w:val="single" w:sz="4" w:space="0" w:color="000000"/>
            </w:tcBorders>
            <w:vAlign w:val="center"/>
          </w:tcPr>
          <w:p>
            <w:pPr>
              <w:pStyle w:val="Normal"/>
              <w:widowControl w:val="false"/>
              <w:jc w:val="center"/>
              <w:rPr>
                <w:sz w:val="18"/>
                <w:szCs w:val="18"/>
              </w:rPr>
            </w:pPr>
            <w:r>
              <w:rPr>
                <w:sz w:val="18"/>
                <w:szCs w:val="18"/>
              </w:rPr>
              <w:t>Ед. изм.</w:t>
            </w:r>
          </w:p>
        </w:tc>
        <w:tc>
          <w:tcPr>
            <w:tcW w:w="1372" w:type="dxa"/>
            <w:tcBorders>
              <w:top w:val="single" w:sz="4" w:space="0" w:color="000000"/>
              <w:left w:val="single" w:sz="4" w:space="0" w:color="000000"/>
              <w:bottom w:val="single" w:sz="4" w:space="0" w:color="000000"/>
            </w:tcBorders>
            <w:vAlign w:val="center"/>
          </w:tcPr>
          <w:p>
            <w:pPr>
              <w:pStyle w:val="Normal"/>
              <w:widowControl w:val="false"/>
              <w:shd w:val="clear" w:color="auto" w:fill="FFFFFF"/>
              <w:jc w:val="center"/>
              <w:rPr>
                <w:sz w:val="18"/>
                <w:szCs w:val="18"/>
              </w:rPr>
            </w:pPr>
            <w:r>
              <w:rPr>
                <w:color w:val="000000"/>
                <w:spacing w:val="-11"/>
                <w:sz w:val="18"/>
                <w:szCs w:val="18"/>
              </w:rPr>
              <w:t>Стоимость единицы без НДС, рублей</w:t>
            </w:r>
          </w:p>
        </w:tc>
        <w:tc>
          <w:tcPr>
            <w:tcW w:w="1195" w:type="dxa"/>
            <w:tcBorders>
              <w:top w:val="single" w:sz="4" w:space="0" w:color="000000"/>
              <w:left w:val="single" w:sz="4" w:space="0" w:color="000000"/>
              <w:bottom w:val="single" w:sz="4" w:space="0" w:color="000000"/>
            </w:tcBorders>
            <w:vAlign w:val="center"/>
          </w:tcPr>
          <w:p>
            <w:pPr>
              <w:pStyle w:val="Normal"/>
              <w:widowControl w:val="false"/>
              <w:shd w:val="clear" w:color="auto" w:fill="FFFFFF"/>
              <w:jc w:val="center"/>
              <w:rPr>
                <w:sz w:val="18"/>
                <w:szCs w:val="18"/>
              </w:rPr>
            </w:pPr>
            <w:r>
              <w:rPr>
                <w:color w:val="000000"/>
                <w:spacing w:val="-11"/>
                <w:sz w:val="18"/>
                <w:szCs w:val="18"/>
              </w:rPr>
              <w:t>НДС, рублей</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sz w:val="18"/>
                <w:szCs w:val="18"/>
              </w:rPr>
            </w:pPr>
            <w:r>
              <w:rPr>
                <w:color w:val="000000"/>
                <w:spacing w:val="-11"/>
                <w:sz w:val="18"/>
                <w:szCs w:val="18"/>
              </w:rPr>
              <w:t>Общая стоимость с НДС, рублей</w:t>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1</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удостоверения о повышении квалификации без обложки (с флагом третьего вида)</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400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2</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диплома о ПП на право ведения нового вида профессиональной деятельности, без обложки (первого вида)</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3</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Обложка к бланку диплома о ПП (бордовая)</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4</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Приложение к диплому о ПП, форматА5 (второго вида)</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150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5</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диплома об окончании ординатуры, без обложки (Приказ МЗ РФ №148н от 25.03.25 г.)</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6</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приложения к диплому об окончании ординатуры, без обложки (Приказ МЗ РФ №148н от 25.03.25 г.)</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7</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Твердая обложка для диплома об окончании ординатуры (Приказ МЗ РФ №148н от 25.03.25 г.)</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60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8</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свидетельства об окончании аспирантуры (ФЗ 517 30.12.20 г.) (установленный образец)</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20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9</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Бланк приложения к свидетельству об окончании аспирантуры (установленный образец)</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20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10</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Твердая обложка для свидетельства об окончании аспирантуры (установленный образец, бордовая)</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20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5" w:hRule="atLeast"/>
        </w:trPr>
        <w:tc>
          <w:tcPr>
            <w:tcW w:w="777"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t>11</w:t>
            </w:r>
          </w:p>
        </w:tc>
        <w:tc>
          <w:tcPr>
            <w:tcW w:w="6649" w:type="dxa"/>
            <w:tcBorders>
              <w:left w:val="single" w:sz="4" w:space="0" w:color="000000"/>
              <w:bottom w:val="single" w:sz="4" w:space="0" w:color="000000"/>
            </w:tcBorders>
          </w:tcPr>
          <w:p>
            <w:pPr>
              <w:pStyle w:val="Normal"/>
              <w:widowControl w:val="false"/>
              <w:jc w:val="left"/>
              <w:rPr>
                <w:sz w:val="18"/>
                <w:szCs w:val="18"/>
              </w:rPr>
            </w:pPr>
            <w:r>
              <w:rPr>
                <w:sz w:val="18"/>
                <w:szCs w:val="18"/>
              </w:rPr>
              <w:t>Папка для приложения к диплому с отличием ВО (формат А3, установленный образец)</w:t>
            </w:r>
          </w:p>
        </w:tc>
        <w:tc>
          <w:tcPr>
            <w:tcW w:w="1301" w:type="dxa"/>
            <w:gridSpan w:val="2"/>
            <w:tcBorders>
              <w:left w:val="single" w:sz="4" w:space="0" w:color="000000"/>
              <w:bottom w:val="single" w:sz="4" w:space="0" w:color="000000"/>
            </w:tcBorders>
            <w:shd w:color="FFFFFF" w:fill="auto" w:val="clear"/>
          </w:tcPr>
          <w:p>
            <w:pPr>
              <w:pStyle w:val="Normal"/>
              <w:jc w:val="center"/>
              <w:rPr>
                <w:sz w:val="18"/>
                <w:szCs w:val="18"/>
              </w:rPr>
            </w:pPr>
            <w:r>
              <w:rPr>
                <w:sz w:val="18"/>
                <w:szCs w:val="18"/>
              </w:rPr>
            </w:r>
          </w:p>
        </w:tc>
        <w:tc>
          <w:tcPr>
            <w:tcW w:w="1023" w:type="dxa"/>
            <w:tcBorders>
              <w:left w:val="single" w:sz="4" w:space="0" w:color="000000"/>
              <w:bottom w:val="single" w:sz="4" w:space="0" w:color="000000"/>
            </w:tcBorders>
          </w:tcPr>
          <w:p>
            <w:pPr>
              <w:pStyle w:val="Normal"/>
              <w:widowControl w:val="false"/>
              <w:jc w:val="center"/>
              <w:rPr>
                <w:sz w:val="18"/>
                <w:szCs w:val="18"/>
              </w:rPr>
            </w:pPr>
            <w:r>
              <w:rPr>
                <w:sz w:val="18"/>
                <w:szCs w:val="18"/>
              </w:rPr>
              <w:t>100</w:t>
            </w:r>
          </w:p>
        </w:tc>
        <w:tc>
          <w:tcPr>
            <w:tcW w:w="1138" w:type="dxa"/>
            <w:tcBorders>
              <w:left w:val="single" w:sz="4" w:space="0" w:color="000000"/>
              <w:bottom w:val="single" w:sz="4" w:space="0" w:color="000000"/>
            </w:tcBorders>
          </w:tcPr>
          <w:p>
            <w:pPr>
              <w:pStyle w:val="Normal"/>
              <w:widowControl w:val="false"/>
              <w:jc w:val="center"/>
              <w:rPr>
                <w:sz w:val="18"/>
                <w:szCs w:val="18"/>
              </w:rPr>
            </w:pPr>
            <w:r>
              <w:rPr>
                <w:sz w:val="18"/>
                <w:szCs w:val="18"/>
              </w:rPr>
              <w:t>шт</w:t>
            </w:r>
          </w:p>
        </w:tc>
        <w:tc>
          <w:tcPr>
            <w:tcW w:w="1372"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195" w:type="dxa"/>
            <w:tcBorders>
              <w:left w:val="single" w:sz="4" w:space="0" w:color="000000"/>
              <w:bottom w:val="single" w:sz="4" w:space="0" w:color="000000"/>
            </w:tcBorders>
            <w:shd w:color="FFFFFF" w:fill="auto" w:val="clear"/>
            <w:vAlign w:val="center"/>
          </w:tcPr>
          <w:p>
            <w:pPr>
              <w:pStyle w:val="Normal"/>
              <w:jc w:val="center"/>
              <w:rPr>
                <w:sz w:val="18"/>
                <w:szCs w:val="18"/>
              </w:rPr>
            </w:pPr>
            <w:r>
              <w:rPr>
                <w:sz w:val="18"/>
                <w:szCs w:val="18"/>
              </w:rPr>
            </w:r>
          </w:p>
        </w:tc>
        <w:tc>
          <w:tcPr>
            <w:tcW w:w="1905" w:type="dxa"/>
            <w:tcBorders>
              <w:left w:val="single" w:sz="4" w:space="0" w:color="000000"/>
              <w:bottom w:val="single" w:sz="4" w:space="0" w:color="000000"/>
              <w:right w:val="single" w:sz="4" w:space="0" w:color="000000"/>
            </w:tcBorders>
            <w:shd w:color="FFFFFF" w:fill="auto" w:val="clear"/>
            <w:vAlign w:val="center"/>
          </w:tcPr>
          <w:p>
            <w:pPr>
              <w:pStyle w:val="Normal"/>
              <w:jc w:val="center"/>
              <w:rPr>
                <w:sz w:val="18"/>
                <w:szCs w:val="18"/>
              </w:rPr>
            </w:pPr>
            <w:r>
              <w:rPr>
                <w:sz w:val="18"/>
                <w:szCs w:val="18"/>
              </w:rPr>
            </w:r>
          </w:p>
        </w:tc>
      </w:tr>
      <w:tr>
        <w:trPr>
          <w:trHeight w:val="408" w:hRule="atLeast"/>
        </w:trPr>
        <w:tc>
          <w:tcPr>
            <w:tcW w:w="13455" w:type="dxa"/>
            <w:gridSpan w:val="8"/>
            <w:tcBorders>
              <w:left w:val="single" w:sz="4" w:space="0" w:color="000000"/>
              <w:bottom w:val="single" w:sz="4" w:space="0" w:color="000000"/>
            </w:tcBorders>
          </w:tcPr>
          <w:p>
            <w:pPr>
              <w:pStyle w:val="Normal"/>
              <w:jc w:val="center"/>
              <w:rPr>
                <w:highlight w:val="none"/>
                <w:shd w:fill="auto" w:val="clear"/>
              </w:rPr>
            </w:pPr>
            <w:r>
              <w:rPr>
                <w:b/>
                <w:bCs/>
                <w:sz w:val="18"/>
                <w:szCs w:val="18"/>
                <w:shd w:fill="auto" w:val="clear"/>
              </w:rPr>
              <w:t>ИТОГО:</w:t>
            </w:r>
          </w:p>
        </w:tc>
        <w:tc>
          <w:tcPr>
            <w:tcW w:w="1905" w:type="dxa"/>
            <w:tcBorders>
              <w:left w:val="single" w:sz="4" w:space="0" w:color="000000"/>
              <w:bottom w:val="single" w:sz="4" w:space="0" w:color="000000"/>
              <w:right w:val="single" w:sz="4" w:space="0" w:color="000000"/>
            </w:tcBorders>
          </w:tcPr>
          <w:p>
            <w:pPr>
              <w:pStyle w:val="Normal"/>
              <w:jc w:val="center"/>
              <w:rPr>
                <w:sz w:val="18"/>
                <w:szCs w:val="18"/>
              </w:rPr>
            </w:pPr>
            <w:r>
              <w:rPr>
                <w:sz w:val="18"/>
                <w:szCs w:val="18"/>
              </w:rPr>
            </w:r>
          </w:p>
        </w:tc>
      </w:tr>
      <w:tr>
        <w:trPr>
          <w:trHeight w:val="1138" w:hRule="atLeast"/>
        </w:trPr>
        <w:tc>
          <w:tcPr>
            <w:tcW w:w="7489" w:type="dxa"/>
            <w:gridSpan w:val="3"/>
            <w:tcBorders>
              <w:left w:val="single" w:sz="4" w:space="0" w:color="000000"/>
              <w:bottom w:val="single" w:sz="4" w:space="0" w:color="000000"/>
            </w:tcBorders>
            <w:shd w:color="auto" w:fill="auto" w:val="clear"/>
          </w:tcPr>
          <w:p>
            <w:pPr>
              <w:pStyle w:val="Normal"/>
              <w:tabs>
                <w:tab w:val="clear" w:pos="531"/>
                <w:tab w:val="left" w:pos="7680" w:leader="none"/>
              </w:tabs>
              <w:rPr>
                <w:sz w:val="18"/>
                <w:szCs w:val="18"/>
              </w:rPr>
            </w:pPr>
            <w:r>
              <w:rPr>
                <w:b/>
                <w:color w:val="000000"/>
                <w:sz w:val="18"/>
                <w:szCs w:val="18"/>
              </w:rPr>
              <w:t>Заказчик:</w:t>
            </w:r>
          </w:p>
          <w:p>
            <w:pPr>
              <w:pStyle w:val="Normal"/>
              <w:tabs>
                <w:tab w:val="clear" w:pos="531"/>
                <w:tab w:val="left" w:pos="7680" w:leader="none"/>
              </w:tabs>
              <w:rPr>
                <w:sz w:val="18"/>
                <w:szCs w:val="18"/>
              </w:rPr>
            </w:pPr>
            <w:r>
              <w:rPr>
                <w:sz w:val="18"/>
                <w:szCs w:val="18"/>
              </w:rPr>
            </w:r>
          </w:p>
          <w:p>
            <w:pPr>
              <w:pStyle w:val="Normal"/>
              <w:tabs>
                <w:tab w:val="clear" w:pos="531"/>
                <w:tab w:val="left" w:pos="7680" w:leader="none"/>
              </w:tabs>
              <w:rPr>
                <w:sz w:val="18"/>
                <w:szCs w:val="18"/>
              </w:rPr>
            </w:pPr>
            <w:r>
              <w:rPr>
                <w:sz w:val="18"/>
                <w:szCs w:val="18"/>
              </w:rPr>
            </w:r>
          </w:p>
          <w:p>
            <w:pPr>
              <w:pStyle w:val="Normal"/>
              <w:rPr>
                <w:sz w:val="18"/>
                <w:szCs w:val="18"/>
              </w:rPr>
            </w:pPr>
            <w:r>
              <w:rPr>
                <w:sz w:val="18"/>
                <w:szCs w:val="18"/>
              </w:rPr>
              <w:t>____________</w:t>
            </w:r>
          </w:p>
          <w:p>
            <w:pPr>
              <w:pStyle w:val="Normal"/>
              <w:tabs>
                <w:tab w:val="clear" w:pos="531"/>
                <w:tab w:val="left" w:pos="7680" w:leader="none"/>
              </w:tabs>
              <w:rPr>
                <w:sz w:val="18"/>
                <w:szCs w:val="18"/>
              </w:rPr>
            </w:pPr>
            <w:r>
              <w:rPr>
                <w:sz w:val="18"/>
                <w:szCs w:val="18"/>
              </w:rPr>
              <w:t>м.п</w:t>
            </w:r>
          </w:p>
        </w:tc>
        <w:tc>
          <w:tcPr>
            <w:tcW w:w="7871" w:type="dxa"/>
            <w:gridSpan w:val="6"/>
            <w:tcBorders>
              <w:left w:val="single" w:sz="4" w:space="0" w:color="000000"/>
              <w:bottom w:val="single" w:sz="4" w:space="0" w:color="000000"/>
              <w:right w:val="single" w:sz="4" w:space="0" w:color="000000"/>
            </w:tcBorders>
          </w:tcPr>
          <w:p>
            <w:pPr>
              <w:pStyle w:val="Normal"/>
              <w:tabs>
                <w:tab w:val="clear" w:pos="531"/>
                <w:tab w:val="left" w:pos="7680" w:leader="none"/>
              </w:tabs>
              <w:rPr>
                <w:sz w:val="18"/>
                <w:szCs w:val="18"/>
              </w:rPr>
            </w:pPr>
            <w:r>
              <w:rPr>
                <w:b/>
                <w:color w:val="000000"/>
                <w:sz w:val="18"/>
                <w:szCs w:val="18"/>
              </w:rPr>
              <w:t>Поставщик:</w:t>
            </w:r>
          </w:p>
          <w:p>
            <w:pPr>
              <w:pStyle w:val="Normal"/>
              <w:jc w:val="both"/>
              <w:rPr>
                <w:b w:val="false"/>
                <w:bCs w:val="false"/>
              </w:rPr>
            </w:pPr>
            <w:r>
              <w:rPr>
                <w:b w:val="false"/>
                <w:bCs w:val="false"/>
              </w:rPr>
            </w:r>
          </w:p>
          <w:p>
            <w:pPr>
              <w:pStyle w:val="Normal"/>
              <w:jc w:val="both"/>
              <w:rPr>
                <w:b w:val="false"/>
                <w:bCs w:val="false"/>
              </w:rPr>
            </w:pPr>
            <w:r>
              <w:rPr>
                <w:b w:val="false"/>
                <w:bCs w:val="false"/>
                <w:sz w:val="18"/>
                <w:szCs w:val="18"/>
              </w:rPr>
              <w:t>________________</w:t>
            </w:r>
          </w:p>
          <w:p>
            <w:pPr>
              <w:pStyle w:val="Normal"/>
              <w:rPr>
                <w:sz w:val="18"/>
                <w:szCs w:val="18"/>
              </w:rPr>
            </w:pPr>
            <w:r>
              <w:rPr>
                <w:sz w:val="18"/>
                <w:szCs w:val="18"/>
              </w:rPr>
              <w:t>м.п.</w:t>
            </w:r>
          </w:p>
        </w:tc>
      </w:tr>
    </w:tbl>
    <w:p>
      <w:pPr>
        <w:pStyle w:val="Normal"/>
        <w:spacing w:before="0" w:after="60"/>
        <w:jc w:val="center"/>
        <w:rPr>
          <w:b/>
          <w:bCs/>
        </w:rPr>
      </w:pPr>
      <w:r>
        <w:rPr>
          <w:b/>
          <w:bCs/>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531"/>
  <w:autoHyphenation w:val="true"/>
  <w:hyphenationZone w:val="360"/>
  <w:compat>
    <w:doNotBreakWrappedTables/>
    <w:compatSetting w:name="compatibilityMode" w:uri="http://schemas.microsoft.com/office/word" w:val="12"/>
  </w:compat>
  <w:themeFontLang w:val="" w:eastAsia="" w:bidi=""/>
  <w:docVars>
    <w:docVar w:name="СтрокаТЧ.НаименованиеДляПечати" w:val="Бланк диплома о профессиональной переподготовке на право ведения нового вида профессиональной деятельности, без обложки ( ФЗ № 273 от 29.12.12, установленный образец, первого вида)"/>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customStyle="1">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customStyle="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uiPriority w:val="99"/>
    <w:qFormat/>
    <w:rPr>
      <w:rFonts w:ascii="Arial" w:hAnsi="Arial"/>
      <w:sz w:val="22"/>
      <w:lang w:eastAsia="ru-RU"/>
    </w:rPr>
  </w:style>
  <w:style w:type="character" w:styleId="Style13">
    <w:name w:val="Выделение"/>
    <w:uiPriority w:val="99"/>
    <w:qFormat/>
    <w:rPr>
      <w:rFonts w:cs="Times New Roman"/>
      <w:i/>
    </w:rPr>
  </w:style>
  <w:style w:type="character" w:styleId="Style14" w:customStyle="1">
    <w:name w:val="Верхний колонтитул Знак"/>
    <w:uiPriority w:val="99"/>
    <w:qFormat/>
    <w:rPr>
      <w:rFonts w:ascii="Times New Roman" w:hAnsi="Times New Roman" w:eastAsia="Times New Roman"/>
      <w:sz w:val="20"/>
      <w:szCs w:val="20"/>
    </w:rPr>
  </w:style>
  <w:style w:type="character" w:styleId="Style15"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6" w:customStyle="1">
    <w:name w:val="Текст примечания Знак"/>
    <w:basedOn w:val="DefaultParagraphFont"/>
    <w:uiPriority w:val="99"/>
    <w:qFormat/>
    <w:rPr>
      <w:rFonts w:ascii="Times New Roman" w:hAnsi="Times New Roman" w:eastAsia="Times New Roman"/>
    </w:rPr>
  </w:style>
  <w:style w:type="character" w:styleId="Style17" w:customStyle="1">
    <w:name w:val="Тема примечания Знак"/>
    <w:basedOn w:val="Style16"/>
    <w:uiPriority w:val="99"/>
    <w:semiHidden/>
    <w:qFormat/>
    <w:rPr>
      <w:rFonts w:ascii="Times New Roman" w:hAnsi="Times New Roman" w:eastAsia="Times New Roman"/>
      <w:b/>
      <w:bCs/>
    </w:rPr>
  </w:style>
  <w:style w:type="character" w:styleId="Style18"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9" w:customStyle="1">
    <w:name w:val="Без интервала Знак"/>
    <w:uiPriority w:val="99"/>
    <w:qFormat/>
    <w:rPr>
      <w:sz w:val="24"/>
      <w:szCs w:val="24"/>
    </w:rPr>
  </w:style>
  <w:style w:type="character" w:styleId="Hyperlink" w:customStyle="1">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2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hanging="0"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uiPriority w:val="29"/>
    <w:qFormat/>
    <w:pPr>
      <w:ind w:hanging="0"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hanging="0"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hanging="0" w:left="283"/>
    </w:pPr>
    <w:rPr/>
  </w:style>
  <w:style w:type="paragraph" w:styleId="TOC3">
    <w:name w:val="toc 3"/>
    <w:basedOn w:val="Normal"/>
    <w:next w:val="Normal"/>
    <w:uiPriority w:val="39"/>
    <w:unhideWhenUsed/>
    <w:pPr>
      <w:spacing w:before="0" w:after="57"/>
      <w:ind w:hanging="0" w:left="567"/>
    </w:pPr>
    <w:rPr/>
  </w:style>
  <w:style w:type="paragraph" w:styleId="TOC4">
    <w:name w:val="toc 4"/>
    <w:basedOn w:val="Normal"/>
    <w:next w:val="Normal"/>
    <w:uiPriority w:val="39"/>
    <w:unhideWhenUsed/>
    <w:pPr>
      <w:spacing w:before="0" w:after="57"/>
      <w:ind w:hanging="0" w:left="850"/>
    </w:pPr>
    <w:rPr/>
  </w:style>
  <w:style w:type="paragraph" w:styleId="TOC5">
    <w:name w:val="toc 5"/>
    <w:basedOn w:val="Normal"/>
    <w:next w:val="Normal"/>
    <w:uiPriority w:val="39"/>
    <w:unhideWhenUsed/>
    <w:pPr>
      <w:spacing w:before="0" w:after="57"/>
      <w:ind w:hanging="0" w:left="1134"/>
    </w:pPr>
    <w:rPr/>
  </w:style>
  <w:style w:type="paragraph" w:styleId="TOC6">
    <w:name w:val="toc 6"/>
    <w:basedOn w:val="Normal"/>
    <w:next w:val="Normal"/>
    <w:uiPriority w:val="39"/>
    <w:unhideWhenUsed/>
    <w:pPr>
      <w:spacing w:before="0" w:after="57"/>
      <w:ind w:hanging="0" w:left="1417"/>
    </w:pPr>
    <w:rPr/>
  </w:style>
  <w:style w:type="paragraph" w:styleId="TOC7">
    <w:name w:val="toc 7"/>
    <w:basedOn w:val="Normal"/>
    <w:next w:val="Normal"/>
    <w:uiPriority w:val="39"/>
    <w:unhideWhenUsed/>
    <w:pPr>
      <w:spacing w:before="0" w:after="57"/>
      <w:ind w:hanging="0" w:left="1701"/>
    </w:pPr>
    <w:rPr/>
  </w:style>
  <w:style w:type="paragraph" w:styleId="TOC8">
    <w:name w:val="toc 8"/>
    <w:basedOn w:val="Normal"/>
    <w:next w:val="Normal"/>
    <w:uiPriority w:val="39"/>
    <w:unhideWhenUsed/>
    <w:pPr>
      <w:spacing w:before="0" w:after="57"/>
      <w:ind w:hanging="0" w:left="1984"/>
    </w:pPr>
    <w:rPr/>
  </w:style>
  <w:style w:type="paragraph" w:styleId="TOC9">
    <w:name w:val="toc 9"/>
    <w:basedOn w:val="Normal"/>
    <w:next w:val="Normal"/>
    <w:uiPriority w:val="39"/>
    <w:unhideWhenUsed/>
    <w:pPr>
      <w:spacing w:before="0" w:after="57"/>
      <w:ind w:hanging="0"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Верхний и нижний колонтитулы"/>
    <w:basedOn w:val="Normal"/>
    <w:qFormat/>
    <w:pPr/>
    <w:rPr/>
  </w:style>
  <w:style w:type="paragraph" w:styleId="user4">
    <w:name w:val="Колонтитулы (user)"/>
    <w:basedOn w:val="Normal"/>
    <w:qFormat/>
    <w:pPr/>
    <w:rPr/>
  </w:style>
  <w:style w:type="paragraph" w:styleId="Style23">
    <w:name w:val="Колонтитулы"/>
    <w:basedOn w:val="Normal"/>
    <w:qFormat/>
    <w:pPr/>
    <w:rPr/>
  </w:style>
  <w:style w:type="paragraph" w:styleId="Header">
    <w:name w:val="header"/>
    <w:basedOn w:val="Normal"/>
    <w:uiPriority w:val="99"/>
    <w:unhideWhenUsed/>
    <w:pPr>
      <w:tabs>
        <w:tab w:val="clear" w:pos="531"/>
        <w:tab w:val="center" w:pos="4677" w:leader="none"/>
        <w:tab w:val="right" w:pos="9355" w:leader="none"/>
      </w:tabs>
    </w:pPr>
    <w:rPr/>
  </w:style>
  <w:style w:type="paragraph" w:styleId="Footer">
    <w:name w:val="footer"/>
    <w:basedOn w:val="Normal"/>
    <w:uiPriority w:val="99"/>
    <w:unhideWhenUsed/>
    <w:pPr>
      <w:tabs>
        <w:tab w:val="clear" w:pos="531"/>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4">
    <w:name w:val="Содержимое таблицы"/>
    <w:basedOn w:val="Normal"/>
    <w:qFormat/>
    <w:pPr>
      <w:suppressLineNumbers/>
    </w:pPr>
    <w:rPr/>
  </w:style>
  <w:style w:type="paragraph" w:styleId="Style25">
    <w:name w:val="Содержимое врезки"/>
    <w:basedOn w:val="Normal"/>
    <w:qFormat/>
    <w:pPr/>
    <w:rPr/>
  </w:style>
  <w:style w:type="paragraph" w:styleId="Style26">
    <w:name w:val="Заголовок таблицы"/>
    <w:basedOn w:val="Style24"/>
    <w:qFormat/>
    <w:pPr>
      <w:suppressLineNumbers/>
      <w:jc w:val="center"/>
    </w:pPr>
    <w:rPr>
      <w:b/>
      <w:bCs/>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numbering" w:styleId="Style2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3">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4">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2">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2">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2">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270</TotalTime>
  <Application>LibreOffice/25.8.3.2$Linux_X86_64 LibreOffice_project/580$Build-2</Application>
  <AppVersion>15.0000</AppVersion>
  <Pages>7</Pages>
  <Words>3117</Words>
  <Characters>22258</Characters>
  <CharactersWithSpaces>25884</CharactersWithSpaces>
  <Paragraphs>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2026-07-21T11:06:27Z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