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983"/>
        <w:ind w:firstLine="709"/>
        <w:jc w:val="center"/>
        <w:keepLines/>
        <w:keepNext/>
        <w:spacing w:after="0" w:line="240" w:lineRule="auto"/>
        <w:shd w:val="clear" w:color="auto" w:fill="auto"/>
        <w:tabs>
          <w:tab w:val="right" w:pos="9639" w:leader="none"/>
        </w:tabs>
        <w:rPr>
          <w:rStyle w:val="991"/>
          <w:b/>
          <w:color w:val="000000" w:themeColor="text1"/>
          <w:sz w:val="22"/>
          <w:szCs w:val="22"/>
        </w:rPr>
        <w:outlineLvl w:val="9"/>
      </w:pPr>
      <w:r>
        <w:rPr>
          <w:b/>
          <w:color w:val="000000" w:themeColor="text1"/>
          <w:sz w:val="22"/>
          <w:szCs w:val="22"/>
        </w:rPr>
      </w:r>
      <w:r>
        <w:rPr>
          <w:rStyle w:val="991"/>
          <w:b/>
          <w:color w:val="000000" w:themeColor="text1"/>
          <w:sz w:val="22"/>
          <w:szCs w:val="22"/>
        </w:rPr>
      </w:r>
    </w:p>
    <w:p>
      <w:pPr>
        <w:pStyle w:val="987"/>
        <w:numPr>
          <w:ilvl w:val="0"/>
          <w:numId w:val="9"/>
        </w:numPr>
        <w:jc w:val="both"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Предмет </w:t>
      </w:r>
      <w:r>
        <w:rPr>
          <w:b/>
          <w:color w:val="000000" w:themeColor="text1"/>
          <w:sz w:val="22"/>
          <w:szCs w:val="22"/>
        </w:rPr>
        <w:t xml:space="preserve">Д</w:t>
      </w:r>
      <w:r>
        <w:rPr>
          <w:b/>
          <w:color w:val="000000" w:themeColor="text1"/>
          <w:sz w:val="22"/>
          <w:szCs w:val="22"/>
        </w:rPr>
        <w:t xml:space="preserve">оговора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bCs/>
          <w:color w:val="000000" w:themeColor="text1"/>
          <w:sz w:val="22"/>
          <w:szCs w:val="22"/>
          <w:highlight w:val="white"/>
        </w:rPr>
        <w:t xml:space="preserve">1.1. По настоящему Договору Заказчик поручает, а Исполнитель принимает на себя обязанность </w:t>
      </w:r>
      <w:r>
        <w:rPr>
          <w:bCs/>
          <w:color w:val="000000" w:themeColor="text1"/>
          <w:sz w:val="22"/>
          <w:szCs w:val="22"/>
          <w:highlight w:val="white"/>
        </w:rPr>
        <w:t xml:space="preserve">по</w:t>
      </w:r>
      <w:r>
        <w:rPr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b/>
          <w:color w:val="000000" w:themeColor="text1"/>
          <w:sz w:val="22"/>
          <w:szCs w:val="22"/>
          <w:highlight w:val="white"/>
        </w:rPr>
        <w:t xml:space="preserve">выполнени</w:t>
      </w:r>
      <w:r>
        <w:rPr>
          <w:b/>
          <w:color w:val="000000" w:themeColor="text1"/>
          <w:sz w:val="22"/>
          <w:szCs w:val="22"/>
          <w:highlight w:val="white"/>
        </w:rPr>
        <w:t xml:space="preserve">ю</w:t>
      </w:r>
      <w:r>
        <w:rPr>
          <w:b/>
          <w:color w:val="000000" w:themeColor="text1"/>
          <w:sz w:val="22"/>
          <w:szCs w:val="22"/>
          <w:highlight w:val="white"/>
        </w:rPr>
        <w:t xml:space="preserve"> работ по монтажу и пусконаладке светодиодных экранов и видеопроцессоров в рамках проекта по дооснащению Системой отображения и Системой коммутации мультимедийной системы конференц-зала</w:t>
      </w:r>
      <w:r>
        <w:rPr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(далее –</w:t>
      </w:r>
      <w:r>
        <w:rPr>
          <w:sz w:val="22"/>
          <w:szCs w:val="22"/>
          <w:highlight w:val="white"/>
        </w:rPr>
        <w:t xml:space="preserve">Работы</w:t>
      </w:r>
      <w:r>
        <w:rPr>
          <w:sz w:val="22"/>
          <w:szCs w:val="22"/>
          <w:highlight w:val="white"/>
        </w:rPr>
        <w:t xml:space="preserve">) в соответствии с </w:t>
      </w:r>
      <w:r>
        <w:rPr>
          <w:sz w:val="22"/>
          <w:szCs w:val="22"/>
          <w:highlight w:val="white"/>
        </w:rPr>
        <w:t xml:space="preserve">Техническим заданием</w:t>
      </w:r>
      <w:r>
        <w:rPr>
          <w:sz w:val="22"/>
          <w:szCs w:val="22"/>
          <w:highlight w:val="white"/>
        </w:rPr>
        <w:t xml:space="preserve"> (Приложение № 1 к Договору), являющимся неотъемлемой частью Договора.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>
        <w:rPr>
          <w:sz w:val="22"/>
          <w:szCs w:val="22"/>
        </w:rPr>
        <w:t xml:space="preserve">Работы выполняются</w:t>
      </w:r>
      <w:r>
        <w:rPr>
          <w:sz w:val="22"/>
          <w:szCs w:val="22"/>
        </w:rPr>
        <w:t xml:space="preserve"> по адресу: г. Москва, Волоколамское ш., д. 80, стр. 2.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7"/>
        <w:ind w:firstLine="0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85"/>
        <w:ind w:firstLine="709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85"/>
        <w:ind w:left="709" w:firstLine="0"/>
        <w:jc w:val="center"/>
        <w:spacing w:before="0" w:after="0" w:line="240" w:lineRule="auto"/>
        <w:shd w:val="clear" w:color="auto" w:fill="auto"/>
        <w:tabs>
          <w:tab w:val="left" w:pos="1134" w:leader="none"/>
        </w:tabs>
        <w:rPr>
          <w:rStyle w:val="992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2. Обязанности </w:t>
      </w:r>
      <w:r>
        <w:rPr>
          <w:b/>
          <w:color w:val="000000" w:themeColor="text1"/>
          <w:sz w:val="22"/>
          <w:szCs w:val="22"/>
        </w:rPr>
        <w:t xml:space="preserve">С</w:t>
      </w:r>
      <w:r>
        <w:rPr>
          <w:b/>
          <w:color w:val="000000" w:themeColor="text1"/>
          <w:sz w:val="22"/>
          <w:szCs w:val="22"/>
        </w:rPr>
        <w:t xml:space="preserve">торон</w:t>
      </w:r>
      <w:r>
        <w:rPr>
          <w:rStyle w:val="992"/>
          <w:color w:val="000000" w:themeColor="text1"/>
          <w:sz w:val="22"/>
          <w:szCs w:val="22"/>
        </w:rPr>
      </w:r>
      <w:r>
        <w:rPr>
          <w:rStyle w:val="992"/>
          <w:color w:val="000000" w:themeColor="text1"/>
          <w:sz w:val="22"/>
          <w:szCs w:val="22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2.1.  </w:t>
      </w:r>
      <w:r>
        <w:rPr>
          <w:color w:val="000000"/>
          <w:sz w:val="22"/>
          <w:szCs w:val="22"/>
        </w:rPr>
        <w:t xml:space="preserve">Исполнитель обязуется качественно </w:t>
      </w:r>
      <w:r>
        <w:rPr>
          <w:color w:val="000000"/>
          <w:sz w:val="22"/>
          <w:szCs w:val="22"/>
        </w:rPr>
        <w:t xml:space="preserve">выполнить Работы</w:t>
      </w:r>
      <w:r>
        <w:rPr>
          <w:color w:val="000000"/>
          <w:sz w:val="22"/>
          <w:szCs w:val="22"/>
        </w:rPr>
        <w:t xml:space="preserve">, в соответствии</w:t>
      </w:r>
      <w:r>
        <w:rPr>
          <w:color w:val="000000"/>
          <w:sz w:val="22"/>
          <w:szCs w:val="22"/>
        </w:rPr>
        <w:t xml:space="preserve"> с требованиями Заказчика, в сроки, предусмотренные настоящим Договором. Исполнитель гарантирует наличие у него всех необходимых разрешений</w:t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  <w:highlight w:val="white"/>
        </w:rPr>
        <w:t xml:space="preserve">, сертификатов качества продукции и иных документов, справок необходимых для </w:t>
      </w:r>
      <w:r>
        <w:rPr>
          <w:color w:val="000000"/>
          <w:sz w:val="22"/>
          <w:szCs w:val="22"/>
          <w:highlight w:val="white"/>
        </w:rPr>
        <w:t xml:space="preserve">выполнения Работ</w:t>
      </w:r>
      <w:r>
        <w:rPr>
          <w:color w:val="000000"/>
          <w:sz w:val="22"/>
          <w:szCs w:val="22"/>
          <w:highlight w:val="white"/>
        </w:rPr>
        <w:t xml:space="preserve">, предусмотренных настоящим Договором</w:t>
      </w:r>
      <w:r>
        <w:rPr>
          <w:sz w:val="22"/>
          <w:szCs w:val="22"/>
          <w:highlight w:val="white"/>
        </w:rPr>
        <w:t xml:space="preserve">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2.2   </w:t>
      </w:r>
      <w:r>
        <w:rPr>
          <w:sz w:val="22"/>
          <w:szCs w:val="22"/>
          <w:highlight w:val="white"/>
        </w:rPr>
        <w:t xml:space="preserve">Исполнитель обязуется </w:t>
      </w:r>
      <w:r>
        <w:rPr>
          <w:sz w:val="22"/>
          <w:szCs w:val="22"/>
          <w:highlight w:val="white"/>
        </w:rPr>
        <w:t xml:space="preserve">выполни</w:t>
      </w:r>
      <w:r>
        <w:rPr>
          <w:sz w:val="22"/>
          <w:szCs w:val="22"/>
          <w:highlight w:val="white"/>
        </w:rPr>
        <w:t xml:space="preserve">ть</w:t>
      </w:r>
      <w:r>
        <w:rPr>
          <w:sz w:val="22"/>
          <w:szCs w:val="22"/>
          <w:highlight w:val="white"/>
        </w:rPr>
        <w:t xml:space="preserve"> Работ</w:t>
      </w:r>
      <w:r>
        <w:rPr>
          <w:sz w:val="22"/>
          <w:szCs w:val="22"/>
          <w:highlight w:val="white"/>
        </w:rPr>
        <w:t xml:space="preserve">ы </w:t>
      </w:r>
      <w:r>
        <w:rPr>
          <w:sz w:val="22"/>
          <w:szCs w:val="22"/>
          <w:highlight w:val="white"/>
        </w:rPr>
        <w:t xml:space="preserve">с даты заключения Договора и по 30 марта 2026 г. включительно.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2.4.  Заказчик обязуется оплатить предоставляемые Исполнителем услуги по настоящему Договору.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2.5.  Исполнитель обязуется в течение 5(Пяти) рабочих дней с момента окончания </w:t>
      </w:r>
      <w:r>
        <w:rPr>
          <w:sz w:val="22"/>
          <w:szCs w:val="22"/>
          <w:highlight w:val="white"/>
        </w:rPr>
        <w:t xml:space="preserve">Р</w:t>
      </w:r>
      <w:r>
        <w:rPr>
          <w:sz w:val="22"/>
          <w:szCs w:val="22"/>
          <w:highlight w:val="white"/>
        </w:rPr>
        <w:t xml:space="preserve">абот по настоящему Договору  составить и </w:t>
      </w:r>
      <w:commentRangeStart w:id="0"/>
      <w:r>
        <w:rPr>
          <w:sz w:val="22"/>
          <w:szCs w:val="22"/>
          <w:highlight w:val="white"/>
        </w:rPr>
        <w:t xml:space="preserve">направить Заказчику </w:t>
      </w:r>
      <w:commentRangeEnd w:id="0"/>
      <w:r>
        <w:commentReference w:id="0"/>
      </w:r>
      <w:r>
        <w:rPr>
          <w:sz w:val="22"/>
          <w:szCs w:val="22"/>
          <w:highlight w:val="white"/>
        </w:rPr>
      </w:r>
      <w:bookmarkStart w:id="26" w:name="_Hlk224045164"/>
      <w:r>
        <w:rPr>
          <w:sz w:val="22"/>
          <w:szCs w:val="22"/>
          <w:highlight w:val="white"/>
        </w:rPr>
        <w:t xml:space="preserve">Акт выполненных работ</w:t>
      </w:r>
      <w:bookmarkEnd w:id="26"/>
      <w:r>
        <w:rPr>
          <w:sz w:val="22"/>
          <w:szCs w:val="22"/>
          <w:highlight w:val="white"/>
        </w:rPr>
        <w:t xml:space="preserve">, а Заказчик обязуется в течение 5 (Пяти) рабочих дней после получения рассмотреть и при отсутствии претензий подписать </w:t>
      </w:r>
      <w:r>
        <w:rPr>
          <w:sz w:val="22"/>
          <w:szCs w:val="22"/>
          <w:highlight w:val="white"/>
        </w:rPr>
        <w:t xml:space="preserve">Акт выполненных работ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2.6. В случае неисполн</w:t>
      </w:r>
      <w:r>
        <w:rPr>
          <w:sz w:val="22"/>
          <w:szCs w:val="22"/>
        </w:rPr>
        <w:t xml:space="preserve">ения или ненадлежащего исполнения принятых на себя обязательств Стороны несут ответственность, предусмотренную гражданским законодательством РФ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5"/>
        <w:ind w:firstLine="709"/>
        <w:spacing w:before="0" w:after="0" w:line="240" w:lineRule="auto"/>
        <w:shd w:val="clear" w:color="auto" w:fil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89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3. Стоимость </w:t>
      </w:r>
      <w:r>
        <w:rPr>
          <w:b/>
          <w:bCs/>
          <w:sz w:val="22"/>
          <w:szCs w:val="22"/>
        </w:rPr>
        <w:t xml:space="preserve">Работ </w:t>
      </w:r>
      <w:r>
        <w:rPr>
          <w:b/>
          <w:bCs/>
          <w:sz w:val="22"/>
          <w:szCs w:val="22"/>
        </w:rPr>
        <w:t xml:space="preserve">и порядок расчетов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Style w:val="985"/>
        <w:numPr>
          <w:ilvl w:val="0"/>
          <w:numId w:val="5"/>
        </w:numPr>
        <w:ind w:firstLine="709"/>
        <w:spacing w:before="0" w:after="0" w:line="240" w:lineRule="auto"/>
        <w:shd w:val="clear" w:color="auto" w:fill="auto"/>
        <w:tabs>
          <w:tab w:val="left" w:pos="1274" w:leader="none"/>
        </w:tabs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Договора включает в себя все затраты, из</w:t>
      </w:r>
      <w:r>
        <w:rPr>
          <w:sz w:val="22"/>
          <w:szCs w:val="22"/>
        </w:rPr>
        <w:t xml:space="preserve">держки и иные расходы Исполнителя, в том числе сопутствующие, связанные с исполнением настоящего Договора, страхование, все налоги, таможенные пошлины, сборы, отчисления и другие обязательные платежи, предусмотренные законодательством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9"/>
        <w:rPr>
          <w:rFonts w:ascii="Times New Roman" w:hAnsi="Times New Roman" w:eastAsia="MS Minch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 w:eastAsia="MS Mincho"/>
          <w:sz w:val="22"/>
          <w:szCs w:val="22"/>
        </w:rPr>
        <w:t xml:space="preserve">Цена настоящего Договора может быть снижена по соглашению Сторон без изменения, предусмотренного Договором объема </w:t>
      </w:r>
      <w:r>
        <w:rPr>
          <w:rFonts w:ascii="Times New Roman" w:hAnsi="Times New Roman" w:eastAsia="MS Mincho"/>
          <w:sz w:val="22"/>
          <w:szCs w:val="22"/>
        </w:rPr>
        <w:t xml:space="preserve">Работ </w:t>
      </w:r>
      <w:r>
        <w:rPr>
          <w:rFonts w:ascii="Times New Roman" w:hAnsi="Times New Roman" w:eastAsia="MS Mincho"/>
          <w:sz w:val="22"/>
          <w:szCs w:val="22"/>
        </w:rPr>
        <w:t xml:space="preserve">и иных условий исполнения Договора. </w:t>
      </w:r>
      <w:r>
        <w:rPr>
          <w:rFonts w:ascii="Times New Roman" w:hAnsi="Times New Roman" w:eastAsia="MS Mincho"/>
          <w:sz w:val="22"/>
          <w:szCs w:val="22"/>
        </w:rPr>
      </w:r>
      <w:r>
        <w:rPr>
          <w:rFonts w:ascii="Times New Roman" w:hAnsi="Times New Roman" w:eastAsia="MS Mincho"/>
          <w:sz w:val="22"/>
          <w:szCs w:val="22"/>
        </w:rPr>
      </w:r>
    </w:p>
    <w:p>
      <w:pPr>
        <w:jc w:val="both"/>
        <w:widowControl w:val="o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3.2. </w:t>
      </w:r>
      <w:r>
        <w:rPr>
          <w:color w:val="000000"/>
          <w:sz w:val="22"/>
          <w:szCs w:val="22"/>
        </w:rPr>
        <w:t xml:space="preserve">Оплата за </w:t>
      </w:r>
      <w:r>
        <w:rPr>
          <w:color w:val="000000"/>
          <w:sz w:val="22"/>
          <w:szCs w:val="22"/>
        </w:rPr>
        <w:t xml:space="preserve">в</w:t>
      </w:r>
      <w:r>
        <w:rPr>
          <w:color w:val="000000"/>
          <w:sz w:val="22"/>
          <w:szCs w:val="22"/>
        </w:rPr>
        <w:t xml:space="preserve">ыполненны</w:t>
      </w:r>
      <w:r>
        <w:rPr>
          <w:color w:val="000000"/>
          <w:sz w:val="22"/>
          <w:szCs w:val="22"/>
        </w:rPr>
        <w:t xml:space="preserve">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</w:t>
      </w:r>
      <w:r>
        <w:rPr>
          <w:color w:val="000000"/>
          <w:sz w:val="22"/>
          <w:szCs w:val="22"/>
        </w:rPr>
        <w:t xml:space="preserve">абот</w:t>
      </w:r>
      <w:r>
        <w:rPr>
          <w:color w:val="000000"/>
          <w:sz w:val="22"/>
          <w:szCs w:val="22"/>
        </w:rPr>
        <w:t xml:space="preserve">ы</w:t>
      </w:r>
      <w:r>
        <w:rPr>
          <w:color w:val="000000"/>
          <w:sz w:val="22"/>
          <w:szCs w:val="22"/>
        </w:rPr>
        <w:t xml:space="preserve"> производится в следующем порядке: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9638" w:leader="none"/>
        </w:tabs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предоп</w:t>
      </w:r>
      <w:r>
        <w:rPr>
          <w:color w:val="000000" w:themeColor="text1"/>
          <w:sz w:val="22"/>
          <w:szCs w:val="22"/>
        </w:rPr>
        <w:t xml:space="preserve">лата  в</w:t>
      </w:r>
      <w:r>
        <w:rPr>
          <w:color w:val="000000" w:themeColor="text1"/>
          <w:sz w:val="22"/>
          <w:szCs w:val="22"/>
        </w:rPr>
        <w:t xml:space="preserve"> размере 30% от общей цены </w:t>
      </w:r>
      <w:r>
        <w:rPr>
          <w:color w:val="000000" w:themeColor="text1"/>
          <w:sz w:val="22"/>
          <w:szCs w:val="22"/>
        </w:rPr>
        <w:t xml:space="preserve">Д</w:t>
      </w:r>
      <w:r>
        <w:rPr>
          <w:color w:val="000000" w:themeColor="text1"/>
          <w:sz w:val="22"/>
          <w:szCs w:val="22"/>
        </w:rPr>
        <w:t xml:space="preserve">оговора - в течение 7 (Семи) рабочих дней с момента получения Заказчиком счета на оплату;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окончательный расчет (70%) – в течение 7 (Семи) рабочих дней с момента получения </w:t>
      </w:r>
      <w:r>
        <w:rPr>
          <w:color w:val="000000" w:themeColor="text1"/>
          <w:sz w:val="22"/>
          <w:szCs w:val="22"/>
        </w:rPr>
        <w:t xml:space="preserve">Заказчиком  </w:t>
      </w:r>
      <w:r>
        <w:rPr>
          <w:color w:val="000000" w:themeColor="text1"/>
          <w:sz w:val="22"/>
          <w:szCs w:val="22"/>
        </w:rPr>
        <w:t xml:space="preserve">Акта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выполненных работ</w:t>
      </w:r>
      <w:r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3.3.</w:t>
      </w:r>
      <w:r>
        <w:rPr>
          <w:rFonts w:eastAsia="MS Mincho"/>
          <w:color w:val="000000" w:themeColor="text1"/>
          <w:sz w:val="22"/>
          <w:szCs w:val="22"/>
        </w:rPr>
        <w:t xml:space="preserve"> </w:t>
      </w:r>
      <w:commentRangeStart w:id="1"/>
      <w:r>
        <w:rPr>
          <w:rFonts w:eastAsia="MS Mincho"/>
          <w:color w:val="000000" w:themeColor="text1"/>
          <w:sz w:val="22"/>
          <w:szCs w:val="22"/>
        </w:rPr>
        <w:t xml:space="preserve">Сумма, подлежащая уплате </w:t>
      </w:r>
      <w:r>
        <w:rPr>
          <w:rFonts w:eastAsia="MS Mincho"/>
          <w:color w:val="000000" w:themeColor="text1"/>
          <w:sz w:val="22"/>
          <w:szCs w:val="22"/>
        </w:rPr>
        <w:t xml:space="preserve">З</w:t>
      </w:r>
      <w:r>
        <w:rPr>
          <w:rFonts w:eastAsia="MS Mincho"/>
          <w:color w:val="000000" w:themeColor="text1"/>
          <w:sz w:val="22"/>
          <w:szCs w:val="22"/>
        </w:rPr>
        <w:t xml:space="preserve">аказчиком в соответствии с п. 3.1 настоящего Договора </w:t>
      </w:r>
      <w:r>
        <w:rPr>
          <w:rFonts w:eastAsia="MS Mincho"/>
          <w:color w:val="000000" w:themeColor="text1"/>
          <w:sz w:val="22"/>
          <w:szCs w:val="22"/>
        </w:rPr>
        <w:t xml:space="preserve"> Исполнителю</w:t>
      </w:r>
      <w:r>
        <w:rPr>
          <w:rFonts w:eastAsia="MS Mincho"/>
          <w:color w:val="000000" w:themeColor="text1"/>
          <w:sz w:val="22"/>
          <w:szCs w:val="22"/>
        </w:rPr>
        <w:t xml:space="preserve"> уменьшается на размер налогов, </w:t>
      </w:r>
      <w:r>
        <w:rPr>
          <w:rFonts w:eastAsia="MS Mincho"/>
          <w:color w:val="000000" w:themeColor="text1"/>
          <w:sz w:val="22"/>
          <w:szCs w:val="22"/>
        </w:rPr>
        <w:t xml:space="preserve">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</w:t>
      </w:r>
      <w:r>
        <w:rPr>
          <w:rFonts w:eastAsia="MS Mincho"/>
          <w:color w:val="000000" w:themeColor="text1"/>
          <w:sz w:val="22"/>
          <w:szCs w:val="22"/>
        </w:rPr>
        <w:t xml:space="preserve">З</w:t>
      </w:r>
      <w:r>
        <w:rPr>
          <w:rFonts w:eastAsia="MS Mincho"/>
          <w:color w:val="000000" w:themeColor="text1"/>
          <w:sz w:val="22"/>
          <w:szCs w:val="22"/>
        </w:rPr>
        <w:t xml:space="preserve">аказчиком.</w:t>
      </w:r>
      <w:commentRangeEnd w:id="1"/>
      <w:r>
        <w:commentReference w:id="1"/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commentRangeStart w:id="2"/>
      <w:r>
        <w:rPr>
          <w:color w:val="000000" w:themeColor="text1"/>
          <w:sz w:val="22"/>
          <w:szCs w:val="22"/>
        </w:rPr>
      </w:r>
      <w:commentRangeEnd w:id="2"/>
      <w:r>
        <w:commentReference w:id="2"/>
      </w:r>
      <w:r>
        <w:rPr>
          <w:rFonts w:eastAsia="MS Mincho"/>
          <w:color w:val="000000" w:themeColor="text1"/>
          <w:sz w:val="22"/>
          <w:szCs w:val="22"/>
        </w:rPr>
        <w:t xml:space="preserve">3.5. </w:t>
      </w:r>
      <w:r>
        <w:rPr>
          <w:color w:val="000000" w:themeColor="text1"/>
          <w:sz w:val="22"/>
          <w:szCs w:val="22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color w:val="000000" w:themeColor="text1"/>
          <w:sz w:val="22"/>
          <w:szCs w:val="22"/>
        </w:rPr>
        <w:t xml:space="preserve">И</w:t>
      </w:r>
      <w:r>
        <w:rPr>
          <w:color w:val="000000" w:themeColor="text1"/>
          <w:sz w:val="22"/>
          <w:szCs w:val="22"/>
        </w:rPr>
        <w:t xml:space="preserve">сполнителя.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color w:val="000000" w:themeColor="text1"/>
          <w:sz w:val="22"/>
          <w:szCs w:val="22"/>
        </w:rPr>
        <w:t xml:space="preserve">В случае из</w:t>
      </w:r>
      <w:r>
        <w:rPr>
          <w:rFonts w:eastAsia="MS Mincho"/>
          <w:sz w:val="22"/>
          <w:szCs w:val="22"/>
        </w:rPr>
        <w:t xml:space="preserve">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3.6. </w:t>
      </w:r>
      <w:r>
        <w:rPr>
          <w:sz w:val="22"/>
          <w:szCs w:val="22"/>
        </w:rPr>
        <w:t xml:space="preserve">Обязанности Заказчика по оплате считаются исполненными после </w:t>
      </w:r>
      <w:r>
        <w:rPr>
          <w:sz w:val="22"/>
          <w:szCs w:val="22"/>
        </w:rPr>
        <w:t xml:space="preserve">поступления </w:t>
      </w:r>
      <w:r>
        <w:rPr>
          <w:sz w:val="22"/>
          <w:szCs w:val="22"/>
        </w:rPr>
        <w:t xml:space="preserve">денежных средств </w:t>
      </w:r>
      <w:r>
        <w:rPr>
          <w:sz w:val="22"/>
          <w:szCs w:val="22"/>
        </w:rPr>
        <w:t xml:space="preserve">на корреспондентский счет Исполнителя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5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3.7. В случае ненадлежащего исполнения Исполнителем обязательств, предусмотренных Договором, в том числе нарушения срока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 по Договору (этапу), Заказчик вправе произвести оплату </w:t>
      </w:r>
      <w:r>
        <w:rPr>
          <w:sz w:val="22"/>
          <w:szCs w:val="22"/>
        </w:rPr>
        <w:t xml:space="preserve">выполненных Работ </w:t>
      </w:r>
      <w:r>
        <w:rPr>
          <w:sz w:val="22"/>
          <w:szCs w:val="22"/>
        </w:rPr>
        <w:t xml:space="preserve">по Договору (этапу) </w:t>
      </w:r>
      <w:r>
        <w:rPr>
          <w:sz w:val="22"/>
          <w:szCs w:val="22"/>
        </w:rPr>
        <w:t xml:space="preserve">с учетом вычета рассчитанного в установленном законодательством Российской Фед</w:t>
      </w:r>
      <w:r>
        <w:rPr>
          <w:sz w:val="22"/>
          <w:szCs w:val="22"/>
          <w:highlight w:val="white"/>
        </w:rPr>
        <w:t xml:space="preserve">ерации порядке размера неустойки (пени, штрафа).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89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4.  Качество </w:t>
      </w:r>
      <w:r>
        <w:rPr>
          <w:b/>
          <w:color w:val="000000" w:themeColor="text1"/>
          <w:sz w:val="22"/>
          <w:szCs w:val="22"/>
          <w:highlight w:val="white"/>
        </w:rPr>
        <w:t xml:space="preserve">Работ</w:t>
      </w:r>
      <w:r>
        <w:rPr>
          <w:b/>
          <w:color w:val="000000" w:themeColor="text1"/>
          <w:sz w:val="22"/>
          <w:szCs w:val="22"/>
          <w:highlight w:val="white"/>
        </w:rPr>
      </w:r>
      <w:r>
        <w:rPr>
          <w:b/>
          <w:color w:val="000000" w:themeColor="text1"/>
          <w:sz w:val="22"/>
          <w:szCs w:val="22"/>
          <w:highlight w:val="white"/>
        </w:rPr>
      </w:r>
    </w:p>
    <w:p>
      <w:pPr>
        <w:pStyle w:val="985"/>
        <w:numPr>
          <w:ilvl w:val="0"/>
          <w:numId w:val="6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Исполнитель гарантирует качество оказываемых услуг в соответствии с требованиями действующего законодательства РФ.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85"/>
        <w:numPr>
          <w:ilvl w:val="0"/>
          <w:numId w:val="6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</w:r>
      <w:r>
        <w:rPr>
          <w:sz w:val="22"/>
          <w:szCs w:val="22"/>
        </w:rPr>
        <w:t xml:space="preserve">Применяемые материалы, изделия и устанавливаемое оборудование должны быть новыми, не бывшими в употреблении, не восстановленными и не бывшими в эксплуатации</w:t>
      </w:r>
      <w:r>
        <w:rPr>
          <w:color w:val="000000" w:themeColor="text1"/>
          <w:sz w:val="22"/>
          <w:szCs w:val="22"/>
          <w:highlight w:val="white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85"/>
        <w:numPr>
          <w:ilvl w:val="0"/>
          <w:numId w:val="6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none"/>
        </w:rPr>
      </w:r>
      <w:r>
        <w:rPr>
          <w:sz w:val="22"/>
          <w:szCs w:val="22"/>
        </w:rPr>
        <w:t xml:space="preserve">Если в течение гарантийного периода выявится, что отдельные части работ, при условии их нормальной эксплуатации Заказчиком, имеют дефекты или недостатки, которые являются следствием ненадлежащего выполнения Исполнителем принятых на себя обязательств, </w:t>
      </w:r>
      <w:r>
        <w:rPr>
          <w:sz w:val="22"/>
          <w:szCs w:val="22"/>
        </w:rPr>
        <w:t xml:space="preserve">то Заказчик совместно с Исполнителем составляет акт, где фиксируются дата обнаружения дефекта и предполагаемая дата его устранения. Срок гарантии на неисправные материалы, констру</w:t>
      </w:r>
      <w:r>
        <w:rPr>
          <w:sz w:val="22"/>
          <w:szCs w:val="22"/>
        </w:rPr>
        <w:t xml:space="preserve">кции и оборудование, если такие дефекты препятствуют их надлежащей эксплуатации, продлевается на срок, исчисляемый с момента (даты) обнаружения дефекта до даты его фактического устранения. исполнитель обязан устранить любой такой дефект своими силами и за </w:t>
      </w:r>
      <w:r>
        <w:rPr>
          <w:sz w:val="22"/>
          <w:szCs w:val="22"/>
        </w:rPr>
        <w:t xml:space="preserve">свой счет в срок, указанный в акте, либо заменить дефектные материалы, конструкции, оборудование или их части, а также отдельные виды работ новыми. При такой замене гарантийный период возобновляется с момента окончания работ по замене и сдачи их Заказчику</w:t>
      </w:r>
      <w:r>
        <w:rPr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jc w:val="both"/>
        <w:tabs>
          <w:tab w:val="num" w:pos="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5. Порядок приемки </w:t>
      </w:r>
      <w:r>
        <w:rPr>
          <w:b/>
          <w:sz w:val="22"/>
          <w:szCs w:val="22"/>
        </w:rPr>
        <w:t xml:space="preserve">выполненных Работ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commentRangeStart w:id="3"/>
      <w:r>
        <w:rPr>
          <w:sz w:val="22"/>
          <w:szCs w:val="22"/>
        </w:rPr>
      </w:r>
      <w:commentRangeEnd w:id="3"/>
      <w:r>
        <w:commentReference w:id="3"/>
      </w:r>
      <w:r>
        <w:rPr>
          <w:sz w:val="22"/>
          <w:szCs w:val="22"/>
        </w:rPr>
        <w:t xml:space="preserve">5.2. После завершения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, предусмотренных Договором, Исполнитель письменно уведомляет Заказчика о факте завершения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Не позднее рабочего дня, следующего за днем получения Заказчиком уведомления, указанного в п. 5.2. Договора, Исполнитель представляет Заказчику Акт </w:t>
      </w:r>
      <w:bookmarkStart w:id="78" w:name="_Hlk224045877"/>
      <w:r>
        <w:rPr>
          <w:sz w:val="22"/>
          <w:szCs w:val="22"/>
        </w:rPr>
        <w:t xml:space="preserve">выполненных Работ</w:t>
      </w:r>
      <w:bookmarkEnd w:id="78"/>
      <w:r>
        <w:rPr>
          <w:sz w:val="22"/>
          <w:szCs w:val="22"/>
        </w:rPr>
        <w:t xml:space="preserve">, подписанный Исполнителем, в 2 (двух) экземплярах с приложением к нему соответствующих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Не позднее 3 (трех) рабочих дней после получения от Исполнителя документов, указанных в п. 5.3 Договора, Заказчик рассматривает результаты и осуществляет приемку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по настоящему Договору на предмет соответствия их объема, качества требованиям, изложенным в настоящем Договоре, и направляет Исполнителю подписанный Заказчиком 1 (один) экземпляр Акта </w:t>
      </w:r>
      <w:r>
        <w:rPr>
          <w:sz w:val="22"/>
          <w:szCs w:val="22"/>
        </w:rPr>
        <w:t xml:space="preserve">выполненн</w:t>
      </w:r>
      <w:r>
        <w:rPr>
          <w:sz w:val="22"/>
          <w:szCs w:val="22"/>
        </w:rPr>
        <w:t xml:space="preserve">ых работ</w:t>
      </w:r>
      <w:r>
        <w:rPr>
          <w:sz w:val="22"/>
          <w:szCs w:val="22"/>
        </w:rPr>
        <w:t xml:space="preserve"> либо запрос о предоставлении разъяснений касательно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или мотивированный отказ от принятия таких результатов или акт с перечнем выявленных недостатков, необходимых доработок и сроком их устранения. В случае отказа Заказчика от принятия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в связи с необходимостью устранения недостатков и/или доработки результатов </w:t>
      </w:r>
      <w:r>
        <w:rPr>
          <w:sz w:val="22"/>
          <w:szCs w:val="22"/>
        </w:rPr>
        <w:t xml:space="preserve">выполненных Работ </w:t>
      </w:r>
      <w:r>
        <w:rPr>
          <w:sz w:val="22"/>
          <w:szCs w:val="22"/>
        </w:rPr>
        <w:t xml:space="preserve">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Заказчик может провести проверку соответствия качества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требованиям, установленным настоящим Договором, своими силами или с привлечением экспертов или экспертных организаций.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В случае получения от Заказчика запроса о предоставлении разъяснений касательно результатов о</w:t>
      </w:r>
      <w:r>
        <w:rPr>
          <w:sz w:val="22"/>
          <w:szCs w:val="22"/>
        </w:rPr>
        <w:t xml:space="preserve"> выполненных Работ</w:t>
      </w:r>
      <w:r>
        <w:rPr>
          <w:sz w:val="22"/>
          <w:szCs w:val="22"/>
        </w:rPr>
        <w:t xml:space="preserve">, или</w:t>
      </w:r>
      <w:r>
        <w:rPr>
          <w:sz w:val="22"/>
          <w:szCs w:val="22"/>
        </w:rPr>
        <w:t xml:space="preserve"> мотивированного отказа от принятия таких результатов или акта с перечнем выявленных недостатков, необходимых доработок и сроком их устранения Исполнитель  в течение 3 (трех) рабочих дней обязан предоставить Заказчику запрашиваемые разъяснения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или в срок, установленный в указанном акте, содержащем перечень выявленных недостатков и необходимых доработ</w:t>
      </w:r>
      <w:r>
        <w:rPr>
          <w:sz w:val="22"/>
          <w:szCs w:val="22"/>
        </w:rPr>
        <w:t xml:space="preserve">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отчет об устранении таких недостатков, а также повторный подписанный Исполнителем Акт </w:t>
      </w:r>
      <w:r>
        <w:rPr>
          <w:sz w:val="22"/>
          <w:szCs w:val="22"/>
        </w:rPr>
        <w:t xml:space="preserve">выполненных рабо</w:t>
      </w:r>
      <w:r>
        <w:rPr>
          <w:sz w:val="22"/>
          <w:szCs w:val="22"/>
        </w:rPr>
        <w:t xml:space="preserve">т</w:t>
      </w:r>
      <w:r>
        <w:rPr>
          <w:sz w:val="22"/>
          <w:szCs w:val="22"/>
        </w:rPr>
        <w:t xml:space="preserve"> в 2 (двух) экземплярах для принятия Заказчиком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 </w:t>
      </w:r>
      <w:commentRangeStart w:id="4"/>
      <w:r>
        <w:rPr>
          <w:sz w:val="22"/>
          <w:szCs w:val="22"/>
        </w:rPr>
        <w:t xml:space="preserve">Также Заказчик формирует Акт по форме </w:t>
      </w:r>
      <w:commentRangeEnd w:id="4"/>
      <w:r>
        <w:commentReference w:id="4"/>
      </w:r>
      <w:r>
        <w:rPr>
          <w:sz w:val="22"/>
          <w:szCs w:val="22"/>
        </w:rPr>
        <w:t xml:space="preserve">ОКУД 0510452 (Приказ Минфина от 15.04.2021 г. № 61н). </w:t>
      </w:r>
      <w:commentRangeStart w:id="5"/>
      <w:r>
        <w:rPr>
          <w:sz w:val="22"/>
          <w:szCs w:val="22"/>
        </w:rPr>
        <w:t xml:space="preserve">При этом срок</w:t>
      </w:r>
      <w:r>
        <w:rPr>
          <w:sz w:val="22"/>
          <w:szCs w:val="22"/>
        </w:rPr>
        <w:t xml:space="preserve"> о</w:t>
      </w:r>
      <w:r>
        <w:rPr>
          <w:sz w:val="22"/>
          <w:szCs w:val="22"/>
        </w:rPr>
        <w:t xml:space="preserve">кончательной</w:t>
      </w:r>
      <w:r>
        <w:rPr>
          <w:sz w:val="22"/>
          <w:szCs w:val="22"/>
        </w:rPr>
        <w:t xml:space="preserve"> оплаты по настоящему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оговору исчисляется с даты приемки по Акту приемки по форме ОКУД 0510452. Заказчик вправе подписать Акт приемки по форме ОКУД 0510452</w:t>
      </w:r>
      <w:commentRangeEnd w:id="5"/>
      <w:r>
        <w:commentReference w:id="5"/>
      </w:r>
      <w:r>
        <w:rPr>
          <w:sz w:val="22"/>
          <w:szCs w:val="22"/>
        </w:rPr>
        <w:t xml:space="preserve"> в одностороннем порядке, за исключением случаев выявления качественных или количественных расхождений </w:t>
      </w:r>
      <w:r>
        <w:rPr>
          <w:sz w:val="22"/>
          <w:szCs w:val="22"/>
        </w:rPr>
        <w:t xml:space="preserve">выполненных Работ </w:t>
      </w:r>
      <w:r>
        <w:rPr>
          <w:sz w:val="22"/>
          <w:szCs w:val="22"/>
        </w:rPr>
        <w:t xml:space="preserve">с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оговора. В случае выявления качественных или количественных расхождений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с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оговора, приемка осуществляется с участием представителя Исполнителя, а при его отсутствии при приемке подписанный со стороны Заказчика Акт приемки по форме ОКУ</w:t>
      </w:r>
      <w:r>
        <w:rPr>
          <w:sz w:val="22"/>
          <w:szCs w:val="22"/>
        </w:rPr>
        <w:t xml:space="preserve">Д 0510452 направляется Исполнителю на подписание. Если Исполнитель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В случае если по результатам рассмотрения отчета, содержащего выявленные недостатки и не</w:t>
      </w:r>
      <w:r>
        <w:rPr>
          <w:sz w:val="22"/>
          <w:szCs w:val="22"/>
        </w:rPr>
        <w:t xml:space="preserve">обходимые доработки, Заказчиком будет принято решение об устранении Исполнителем недостатков/оказании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Заказчик принимает </w:t>
      </w:r>
      <w:r>
        <w:rPr>
          <w:sz w:val="22"/>
          <w:szCs w:val="22"/>
        </w:rPr>
        <w:t xml:space="preserve">выполненные Работ</w:t>
      </w:r>
      <w:r>
        <w:rPr>
          <w:sz w:val="22"/>
          <w:szCs w:val="22"/>
        </w:rPr>
        <w:t xml:space="preserve"> и подписывает 2 (два) экземпляра Акта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один из которых направляет Исполнителю в порядке, предусмотренном в п. 5.3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Подписанный Заказчиком и Исполнителем Акт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и предъявленные Исполнителем Заказчику счет на оплату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являются основанием для </w:t>
      </w:r>
      <w:r>
        <w:rPr>
          <w:sz w:val="22"/>
          <w:szCs w:val="22"/>
        </w:rPr>
        <w:t xml:space="preserve">окончательной </w:t>
      </w:r>
      <w:r>
        <w:rPr>
          <w:sz w:val="22"/>
          <w:szCs w:val="22"/>
        </w:rPr>
        <w:t xml:space="preserve">оплаты Исполнителю Цены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Ответственность Сторон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 случае просрочки исполнения,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6.2. Сторона, не исполнившая или исполнившая ненадлежащим образом обязательства по Договору, обязана в полном объеме возместить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zh-CN"/>
        </w:rPr>
        <w:t xml:space="preserve">документально доказанные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 xml:space="preserve">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Заказчик получает право требования уплаты штрафа в следующих случаях неисполнения (ненадлежащего исполнения) Договора: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 Исполнитель не </w:t>
      </w:r>
      <w:r>
        <w:rPr>
          <w:sz w:val="22"/>
          <w:szCs w:val="22"/>
        </w:rPr>
        <w:t xml:space="preserve">выполнил в полном объеме Работы</w:t>
      </w:r>
      <w:r>
        <w:rPr>
          <w:sz w:val="22"/>
          <w:szCs w:val="22"/>
        </w:rPr>
        <w:t xml:space="preserve">, являющиеся предметом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если Исполнитель </w:t>
      </w:r>
      <w:r>
        <w:rPr>
          <w:sz w:val="22"/>
          <w:szCs w:val="22"/>
        </w:rPr>
        <w:t xml:space="preserve">выполнил Работы</w:t>
      </w:r>
      <w:r>
        <w:rPr>
          <w:sz w:val="22"/>
          <w:szCs w:val="22"/>
        </w:rPr>
        <w:t xml:space="preserve">, не соответствующие требования Договора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6.5.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</w:t>
      </w:r>
      <w:r>
        <w:rPr>
          <w:sz w:val="22"/>
          <w:szCs w:val="22"/>
        </w:rPr>
        <w:t xml:space="preserve">следующем порядке: 1000 рублей, если цена Договора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</w:t>
      </w:r>
      <w:r>
        <w:rPr>
          <w:sz w:val="22"/>
          <w:szCs w:val="22"/>
        </w:rPr>
        <w:t xml:space="preserve">определяется в следующем порядке: 1000 рублей, если цена Договора не превышает 3 млн. рублей (включительно);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6.7.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1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6.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8.Общая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6.9. Уплата штрафных санкций не освобождает </w:t>
      </w:r>
      <w:r>
        <w:rPr>
          <w:sz w:val="22"/>
          <w:szCs w:val="22"/>
          <w:lang w:eastAsia="zh-CN"/>
        </w:rPr>
        <w:t xml:space="preserve">С</w:t>
      </w:r>
      <w:r>
        <w:rPr>
          <w:sz w:val="22"/>
          <w:szCs w:val="22"/>
          <w:lang w:eastAsia="zh-CN"/>
        </w:rPr>
        <w:t xml:space="preserve">тороны от выполнения обязательств по настоящему Договору.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6.10.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</w:t>
      </w:r>
      <w:r>
        <w:rPr>
          <w:sz w:val="22"/>
          <w:szCs w:val="22"/>
          <w:shd w:val="clear" w:color="auto" w:fill="ffffff"/>
        </w:rPr>
        <w:t xml:space="preserve">йки</w:t>
      </w:r>
      <w:r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 xml:space="preserve">пен</w:t>
      </w:r>
      <w:r>
        <w:rPr>
          <w:sz w:val="22"/>
          <w:szCs w:val="22"/>
          <w:shd w:val="clear" w:color="auto" w:fill="ffffff"/>
        </w:rPr>
        <w:t xml:space="preserve">и</w:t>
      </w:r>
      <w:r>
        <w:rPr>
          <w:sz w:val="22"/>
          <w:szCs w:val="22"/>
          <w:shd w:val="clear" w:color="auto" w:fill="ffffff"/>
        </w:rPr>
        <w:t xml:space="preserve">).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sz w:val="22"/>
          <w:szCs w:val="22"/>
          <w:shd w:val="clear" w:color="auto" w:fill="ffffff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6.11.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</w:t>
      </w:r>
      <w:r>
        <w:rPr>
          <w:sz w:val="22"/>
          <w:szCs w:val="22"/>
          <w:shd w:val="clear" w:color="auto" w:fill="ffffff"/>
        </w:rPr>
        <w:t xml:space="preserve"> или ненадлежащего исполнения исполнителем обязательств, предусмотренных оговором, Заказчик направляет исполнителю требование об уплате неустоек (штрафов, пеней).Пеня начисляется за каждый день просрочки исполнения исполнителем обязательства, предусмотренн</w:t>
      </w:r>
      <w:r>
        <w:rPr>
          <w:sz w:val="22"/>
          <w:szCs w:val="22"/>
          <w:shd w:val="clear" w:color="auto" w:fill="ffffff"/>
        </w:rPr>
        <w:t xml:space="preserve">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</w:t>
      </w:r>
      <w:r>
        <w:rPr>
          <w:sz w:val="22"/>
          <w:szCs w:val="22"/>
          <w:shd w:val="clear" w:color="auto" w:fill="ffffff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4"/>
        <w:ind w:left="0" w:firstLine="709"/>
        <w:jc w:val="both"/>
        <w:keepNext w:val="0"/>
        <w:rPr>
          <w:rStyle w:val="981"/>
          <w:bCs w:val="0"/>
          <w:i w:val="0"/>
          <w:color w:val="000000" w:themeColor="text1"/>
          <w:sz w:val="22"/>
          <w:szCs w:val="22"/>
        </w:rPr>
      </w:pPr>
      <w:r>
        <w:rPr>
          <w:bCs w:val="0"/>
          <w:i w:val="0"/>
          <w:color w:val="000000" w:themeColor="text1"/>
          <w:sz w:val="22"/>
          <w:szCs w:val="22"/>
        </w:rPr>
      </w:r>
      <w:r>
        <w:rPr>
          <w:rStyle w:val="981"/>
          <w:bCs w:val="0"/>
          <w:i w:val="0"/>
          <w:color w:val="000000" w:themeColor="text1"/>
          <w:sz w:val="22"/>
          <w:szCs w:val="22"/>
        </w:rPr>
      </w:r>
      <w:r>
        <w:rPr>
          <w:rStyle w:val="981"/>
          <w:bCs w:val="0"/>
          <w:i w:val="0"/>
          <w:color w:val="000000" w:themeColor="text1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Действие обстоятельств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72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7.1. Стороны освобождаются от ответственности за ч</w:t>
      </w:r>
      <w:r>
        <w:rPr>
          <w:rFonts w:eastAsia="MS Mincho"/>
          <w:sz w:val="22"/>
          <w:szCs w:val="22"/>
        </w:rPr>
        <w:t xml:space="preserve">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</w:t>
      </w:r>
      <w:r>
        <w:rPr>
          <w:rFonts w:eastAsia="MS Mincho"/>
          <w:sz w:val="22"/>
          <w:szCs w:val="22"/>
        </w:rPr>
        <w:t xml:space="preserve">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Договору.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Данное уведомление должно быть подтверждено компетентным органом территории, где данное </w:t>
      </w:r>
      <w:r>
        <w:rPr>
          <w:sz w:val="22"/>
          <w:szCs w:val="22"/>
        </w:rPr>
        <w:t xml:space="preserve">обстоя-</w:t>
      </w:r>
      <w:r>
        <w:rPr>
          <w:sz w:val="22"/>
          <w:szCs w:val="22"/>
        </w:rPr>
        <w:t xml:space="preserve">тельство</w:t>
      </w:r>
      <w:r>
        <w:rPr>
          <w:sz w:val="22"/>
          <w:szCs w:val="22"/>
        </w:rPr>
        <w:t xml:space="preserve"> имело место.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2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7.3. В случае, когда обстоятельства</w:t>
      </w:r>
      <w:r>
        <w:rPr>
          <w:rFonts w:eastAsia="MS Mincho"/>
          <w:sz w:val="22"/>
          <w:szCs w:val="22"/>
        </w:rPr>
        <w:t xml:space="preserve">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972"/>
        <w:jc w:val="left"/>
        <w:rPr>
          <w:rFonts w:eastAsia="MS Mincho"/>
          <w:b/>
          <w:bCs/>
          <w:sz w:val="22"/>
          <w:szCs w:val="22"/>
        </w:rPr>
      </w:pPr>
      <w:r>
        <w:rPr>
          <w:sz w:val="22"/>
          <w:szCs w:val="22"/>
        </w:rPr>
      </w:r>
      <w:bookmarkStart w:id="143" w:name="undefined"/>
      <w:r>
        <w:rPr>
          <w:sz w:val="22"/>
          <w:szCs w:val="22"/>
        </w:rPr>
      </w:r>
      <w:bookmarkEnd w:id="143"/>
      <w:r>
        <w:rPr>
          <w:rFonts w:eastAsia="MS Mincho"/>
          <w:b/>
          <w:bCs/>
          <w:sz w:val="22"/>
          <w:szCs w:val="22"/>
        </w:rPr>
        <w:t xml:space="preserve">8. Порядок урегулирования споров</w:t>
      </w:r>
      <w:r>
        <w:rPr>
          <w:rFonts w:eastAsia="MS Mincho"/>
          <w:b/>
          <w:bCs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Договора </w:t>
      </w:r>
      <w:r>
        <w:rPr>
          <w:rFonts w:eastAsia="MS Mincho"/>
          <w:sz w:val="22"/>
          <w:szCs w:val="22"/>
        </w:rPr>
        <w:t xml:space="preserve">или в связи с ним, были урегулированы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наличия претензий, споров, разногласий относительно исполнения одной из сторон своих обязательств другая сторона мо</w:t>
      </w:r>
      <w:r>
        <w:rPr>
          <w:sz w:val="22"/>
          <w:szCs w:val="22"/>
        </w:rPr>
        <w:t xml:space="preserve">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Любые споры, не урегулированные во внесудебном порядке, разрешаются Арбитражным судом города Москвы.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 9. Порядок обмена документами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 Все уведомления Сторон, связ</w:t>
      </w:r>
      <w:r>
        <w:rPr>
          <w:rFonts w:eastAsia="Calibri"/>
          <w:sz w:val="22"/>
          <w:szCs w:val="22"/>
          <w:lang w:eastAsia="en-US"/>
        </w:rPr>
        <w:t xml:space="preserve">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12 настоящего Договора, или с использованием электронной почты с последующим предоставлением оригинала.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9.1.1.В случае направления уведомлени</w:t>
      </w:r>
      <w:r>
        <w:rPr>
          <w:rFonts w:eastAsia="Calibri"/>
          <w:sz w:val="22"/>
          <w:szCs w:val="22"/>
          <w:lang w:eastAsia="en-US"/>
        </w:rPr>
        <w:t xml:space="preserve">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9.2. Сто</w:t>
      </w:r>
      <w:r>
        <w:rPr>
          <w:sz w:val="22"/>
          <w:szCs w:val="22"/>
          <w:highlight w:val="white"/>
        </w:rPr>
        <w:t xml:space="preserve">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9.3. Стороны соглашаются с возможностью использования в ходе электронного документооборота усиленной квалифицированной электронной подписи.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9.4. Стороны признают, что усиленная квалифицированная электронная подпись документа признается равнозначной собственноручной</w:t>
      </w:r>
      <w:r>
        <w:rPr>
          <w:sz w:val="22"/>
          <w:szCs w:val="22"/>
          <w:highlight w:val="white"/>
        </w:rPr>
        <w:t xml:space="preserve">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9.5. 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9.6 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– систему СБИС/Контур. </w:t>
      </w:r>
      <w:r>
        <w:rPr>
          <w:sz w:val="22"/>
          <w:szCs w:val="22"/>
          <w:highlight w:val="white"/>
        </w:rPr>
        <w:t xml:space="preserve">Диадок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8"/>
        <w:jc w:val="both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9.7 При соблюдении условий, приведенных выше, электронный документ, содержание и порядок обмена которого соответствует треб</w:t>
      </w:r>
      <w:r>
        <w:rPr>
          <w:sz w:val="22"/>
          <w:szCs w:val="22"/>
          <w:highlight w:val="white"/>
        </w:rPr>
        <w:t xml:space="preserve">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10.1. 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</w:t>
      </w:r>
      <w:r>
        <w:rPr>
          <w:rFonts w:eastAsia="MS Mincho"/>
          <w:sz w:val="22"/>
          <w:szCs w:val="22"/>
        </w:rPr>
        <w:t xml:space="preserve">тветствии с гражданским законодательством Российской Федерации, в том числе в соответствии со статьей 450.1. ГК РФ. При этом факт подписания Сторонами соглашения о расторжении Договора не освобождает Стороны от обязанности урегулирования взаимных расчетов.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10.2. Изменение существенных условий Договора при его исполнении допускается в следующих случаях: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1) при снижении Цены Договора без изменения предусмотренных Договором объема </w:t>
      </w:r>
      <w:bookmarkStart w:id="145" w:name="_Hlk224046354"/>
      <w:r>
        <w:rPr>
          <w:rFonts w:eastAsia="MS Mincho"/>
          <w:sz w:val="22"/>
          <w:szCs w:val="22"/>
        </w:rPr>
        <w:t xml:space="preserve">выполняемых </w:t>
      </w:r>
      <w:r>
        <w:rPr>
          <w:rFonts w:eastAsia="MS Mincho"/>
          <w:sz w:val="22"/>
          <w:szCs w:val="22"/>
        </w:rPr>
        <w:t xml:space="preserve">Работ</w:t>
      </w:r>
      <w:r>
        <w:rPr>
          <w:rFonts w:eastAsia="MS Mincho"/>
          <w:sz w:val="22"/>
          <w:szCs w:val="22"/>
        </w:rPr>
        <w:t xml:space="preserve"> </w:t>
      </w:r>
      <w:bookmarkEnd w:id="145"/>
      <w:r>
        <w:rPr>
          <w:rFonts w:eastAsia="MS Mincho"/>
          <w:sz w:val="22"/>
          <w:szCs w:val="22"/>
        </w:rPr>
        <w:t xml:space="preserve">и иных условий Договора;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2) если по предложению Заказчика предусмотренный Договором объем </w:t>
      </w:r>
      <w:r>
        <w:rPr>
          <w:rFonts w:eastAsia="MS Mincho"/>
          <w:sz w:val="22"/>
          <w:szCs w:val="22"/>
        </w:rPr>
        <w:t xml:space="preserve">выполняемых Работ</w:t>
      </w:r>
      <w:r>
        <w:rPr>
          <w:rFonts w:eastAsia="MS Mincho"/>
          <w:sz w:val="22"/>
          <w:szCs w:val="22"/>
        </w:rPr>
        <w:t xml:space="preserve"> увеличивается или уменьшается не более чем на тридцать процентов. При увеличении количества товара (объема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по соглашению сторон допускается изменение цены Договора пропорционально дополнительному количеству товара (дополнительному объему </w:t>
      </w:r>
      <w:r>
        <w:rPr>
          <w:rFonts w:eastAsia="MS Mincho"/>
          <w:sz w:val="22"/>
          <w:szCs w:val="22"/>
        </w:rPr>
        <w:t xml:space="preserve">Р</w:t>
      </w:r>
      <w:r>
        <w:rPr>
          <w:rFonts w:eastAsia="MS Mincho"/>
          <w:sz w:val="22"/>
          <w:szCs w:val="22"/>
        </w:rPr>
        <w:t xml:space="preserve">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 исходя из установленной в Договоре цены единицы товара (работ,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слуги), но не более чем на тридцать процентов цены Договора. При уменьшении предусмотренных Договором количества товара (объема </w:t>
      </w:r>
      <w:r>
        <w:rPr>
          <w:rFonts w:eastAsia="MS Mincho"/>
          <w:sz w:val="22"/>
          <w:szCs w:val="22"/>
        </w:rPr>
        <w:t xml:space="preserve">Р</w:t>
      </w:r>
      <w:r>
        <w:rPr>
          <w:rFonts w:eastAsia="MS Mincho"/>
          <w:sz w:val="22"/>
          <w:szCs w:val="22"/>
        </w:rPr>
        <w:t xml:space="preserve">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Стороны обязаны уменьшить цену Договора исходя из цены единицы товара (</w:t>
      </w:r>
      <w:r>
        <w:rPr>
          <w:rFonts w:eastAsia="MS Mincho"/>
          <w:sz w:val="22"/>
          <w:szCs w:val="22"/>
        </w:rPr>
        <w:t xml:space="preserve">Р</w:t>
      </w:r>
      <w:r>
        <w:rPr>
          <w:rFonts w:eastAsia="MS Mincho"/>
          <w:sz w:val="22"/>
          <w:szCs w:val="22"/>
        </w:rPr>
        <w:t xml:space="preserve">абот</w:t>
      </w:r>
      <w:r>
        <w:rPr>
          <w:rFonts w:eastAsia="MS Mincho"/>
          <w:sz w:val="22"/>
          <w:szCs w:val="22"/>
        </w:rPr>
        <w:t xml:space="preserve"> или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10.3. Исполнитель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10.4. Любое уведомление, которое одна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торона направляет другой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тороне в соответствии с Договором, направляется в письменной форме почтой </w:t>
      </w:r>
      <w:r>
        <w:rPr>
          <w:rFonts w:eastAsia="MS Mincho"/>
          <w:sz w:val="22"/>
          <w:szCs w:val="22"/>
        </w:rPr>
        <w:t xml:space="preserve">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10.5. Любые изменения и дополнения к настоящему Договору, не противоречащие действующему законодательству РФ, оформляются дополнительными соглашениями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в письменной форме. Дополнительные соглашения к Договору являются его неотъемлемой частью и вступают в силу с момента их подписания Сторонами.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10.6. Во всем, что не предусмотрено настоящим Договором,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тороны руководствуются действующим законодательством РФ.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10.7. Срок действия настоящего Договора устанавливается с момента его подписания </w:t>
      </w:r>
      <w:commentRangeStart w:id="6"/>
      <w:r>
        <w:rPr>
          <w:rFonts w:eastAsia="MS Mincho"/>
          <w:sz w:val="22"/>
          <w:szCs w:val="22"/>
        </w:rPr>
        <w:t xml:space="preserve">по 28.08.202</w:t>
      </w:r>
      <w:r>
        <w:rPr>
          <w:rFonts w:eastAsia="MS Mincho"/>
          <w:sz w:val="22"/>
          <w:szCs w:val="22"/>
        </w:rPr>
        <w:t xml:space="preserve">6</w:t>
      </w:r>
      <w:r>
        <w:rPr>
          <w:rFonts w:eastAsia="MS Mincho"/>
          <w:sz w:val="22"/>
          <w:szCs w:val="22"/>
        </w:rPr>
        <w:t xml:space="preserve"> г. </w:t>
      </w:r>
      <w:commentRangeEnd w:id="6"/>
      <w:r>
        <w:commentReference w:id="6"/>
      </w:r>
      <w:r>
        <w:rPr>
          <w:rFonts w:eastAsia="MS Mincho"/>
          <w:sz w:val="22"/>
          <w:szCs w:val="22"/>
        </w:rPr>
        <w:t xml:space="preserve">Окончание срока действия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оговора влечет прекращение обязательств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по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оговору, за исключением оплаты за </w:t>
      </w:r>
      <w:r>
        <w:rPr>
          <w:rFonts w:eastAsia="MS Mincho"/>
          <w:sz w:val="22"/>
          <w:szCs w:val="22"/>
        </w:rPr>
        <w:t xml:space="preserve">выполненные Работы</w:t>
      </w:r>
      <w:r>
        <w:rPr>
          <w:rFonts w:eastAsia="MS Mincho"/>
          <w:sz w:val="22"/>
          <w:szCs w:val="22"/>
        </w:rPr>
        <w:t xml:space="preserve"> и ответственности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за его нарушение.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10.8. Приложения, указанные в настоящем Договоре, являются его неотъемлемой частью: 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10.8.1. Приложение № 1 – </w:t>
      </w:r>
      <w:r>
        <w:rPr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7"/>
        <w:ind w:firstLine="0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987"/>
        <w:ind w:left="709" w:firstLine="0"/>
        <w:jc w:val="left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11. Адрес и реквизиты 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keepNext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6"/>
        <w:gridCol w:w="5533"/>
      </w:tblGrid>
      <w:tr>
        <w:tblPrEx/>
        <w:trPr/>
        <w:tc>
          <w:tcPr>
            <w:tcW w:w="2500" w:type="pct"/>
            <w:textDirection w:val="lrTb"/>
            <w:noWrap/>
          </w:tcPr>
          <w:p>
            <w:r/>
            <w:r/>
          </w:p>
        </w:tc>
        <w:tc>
          <w:tcPr>
            <w:tcW w:w="2500" w:type="pct"/>
            <w:textDirection w:val="lrTb"/>
            <w:noWrap/>
          </w:tcPr>
          <w:p>
            <w:pPr>
              <w:pStyle w:val="985"/>
              <w:ind w:firstLine="34"/>
              <w:jc w:val="left"/>
              <w:spacing w:before="0" w:after="0" w:line="240" w:lineRule="auto"/>
              <w:shd w:val="clear" w:color="auto" w:fill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Заказчик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Федеральное государственное бюджетное научное учреждение «Российский центр неврологии и </w:t>
            </w:r>
            <w:r>
              <w:rPr>
                <w:b/>
                <w:sz w:val="22"/>
                <w:szCs w:val="22"/>
              </w:rPr>
              <w:t xml:space="preserve">нейронаук</w:t>
            </w:r>
            <w:r>
              <w:rPr>
                <w:b/>
                <w:sz w:val="22"/>
                <w:szCs w:val="22"/>
              </w:rPr>
              <w:t xml:space="preserve">» (ФГБНУ РЦНН)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125367, г. Москва,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Волоколамское шоссе, д. 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(495) 4902230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1027739766812 от 16.04.1993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7733012151, КПП 773301001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01897653, ОКТМО 45368000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ОКОПФ 75103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г. Москве (ФГБНУ РЦНН л/с 20736У94110) Единый казначейский счет (счет банка получателя) 40102810545370000003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Казначейский счет (р/с) 03214643000000017300 в 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ОКЦ № 1 ГУ БАНКА РОССИИ ПО ЦФО//УФК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ПО Г. МОСКВЕ </w:t>
            </w:r>
            <w:r>
              <w:rPr>
                <w:color w:val="000000"/>
                <w:spacing w:val="5"/>
                <w:sz w:val="22"/>
                <w:szCs w:val="22"/>
              </w:rPr>
            </w:r>
            <w:r>
              <w:rPr>
                <w:color w:val="000000"/>
                <w:spacing w:val="5"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БИК 004525988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85"/>
              <w:ind w:firstLine="34"/>
              <w:jc w:val="left"/>
              <w:spacing w:before="0" w:after="0" w:line="240" w:lineRule="auto"/>
              <w:shd w:val="clear" w:color="auto" w:fill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985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985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880"/>
        </w:trPr>
        <w:tc>
          <w:tcPr>
            <w:tcW w:w="2500" w:type="pct"/>
            <w:textDirection w:val="lrTb"/>
            <w:noWrap/>
          </w:tcPr>
          <w:p>
            <w:r/>
            <w:r/>
          </w:p>
        </w:tc>
        <w:tc>
          <w:tcPr>
            <w:tcW w:w="2500" w:type="pct"/>
            <w:textDirection w:val="lrTb"/>
            <w:noWrap/>
          </w:tcPr>
          <w:p>
            <w:r/>
            <w:r/>
          </w:p>
        </w:tc>
      </w:tr>
    </w:tbl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widowControl w:val="off"/>
        <w:rPr>
          <w:rFonts w:eastAsia="MS Mincho"/>
          <w:b/>
          <w:bCs/>
          <w:i/>
          <w:sz w:val="22"/>
          <w:szCs w:val="22"/>
        </w:rPr>
        <w:outlineLvl w:val="0"/>
      </w:pP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</w:rPr>
        <w:t xml:space="preserve">Приложение № 1</w:t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Техническое задание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на выполнение работ по монтажу и пусконаладке светодиодных экранов и видеопроцессоров в рамках проекта по дооснащению Системой отображения и Системой коммутации мультимедийной системы конференц-зала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Общие данные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lang w:eastAsia="ru-RU"/>
        </w:rPr>
        <w:t xml:space="preserve">Настоящее техническое задание определяет требования к выпол</w:t>
      </w:r>
      <w:r>
        <w:rPr>
          <w:bCs/>
          <w:sz w:val="22"/>
          <w:szCs w:val="22"/>
          <w:lang w:eastAsia="ru-RU"/>
        </w:rPr>
        <w:t xml:space="preserve">нению работ по монтажу и пусконаладке светодиодных экранов и видеопроцессоров в рамках проекта по дооснащению Системой отображения и Системой коммутации мультимедийной системы конференц-зала, расположенного по адресу: г. Москва, Волоколамское ш</w:t>
      </w:r>
      <w:r>
        <w:rPr>
          <w:bCs/>
          <w:sz w:val="22"/>
          <w:szCs w:val="22"/>
          <w:highlight w:val="white"/>
          <w:lang w:eastAsia="ru-RU"/>
        </w:rPr>
        <w:t xml:space="preserve">оссе, д. 80.</w:t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contextualSpacing/>
        <w:rPr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  <w:lang w:eastAsia="ru-RU"/>
        </w:rPr>
      </w:r>
      <w:r>
        <w:rPr>
          <w:b/>
          <w:color w:val="000000" w:themeColor="text1"/>
          <w:sz w:val="22"/>
          <w:szCs w:val="22"/>
          <w:highlight w:val="white"/>
        </w:rPr>
      </w:r>
      <w:r>
        <w:rPr>
          <w:b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Сроки выполнения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  <w:highlight w:val="white"/>
        </w:rPr>
      </w:pPr>
      <w:r>
        <w:rPr>
          <w:bCs/>
          <w:color w:val="000000" w:themeColor="text1"/>
          <w:sz w:val="22"/>
          <w:szCs w:val="22"/>
          <w:highlight w:val="white"/>
          <w:lang w:eastAsia="ru-RU"/>
        </w:rPr>
      </w:r>
      <w:r>
        <w:rPr>
          <w:sz w:val="22"/>
          <w:szCs w:val="22"/>
          <w:highlight w:val="white"/>
        </w:rPr>
        <w:t xml:space="preserve">С</w:t>
      </w:r>
      <w:r>
        <w:rPr>
          <w:sz w:val="22"/>
          <w:szCs w:val="22"/>
          <w:highlight w:val="white"/>
        </w:rPr>
        <w:t xml:space="preserve"> даты заключения Договора и по 30 марта 2026 г. включительно.</w:t>
      </w:r>
      <w:r>
        <w:rPr>
          <w:bCs/>
          <w:color w:val="000000" w:themeColor="text1"/>
          <w:sz w:val="22"/>
          <w:szCs w:val="22"/>
          <w:highlight w:val="white"/>
        </w:rPr>
      </w:r>
      <w:r>
        <w:rPr>
          <w:bCs/>
          <w:color w:val="000000" w:themeColor="text1"/>
          <w:sz w:val="22"/>
          <w:szCs w:val="22"/>
          <w:highlight w:val="white"/>
        </w:rPr>
      </w:r>
    </w:p>
    <w:p>
      <w:pPr>
        <w:contextualSpacing/>
        <w:rPr>
          <w:bCs/>
          <w:color w:val="000000" w:themeColor="text1"/>
          <w:sz w:val="22"/>
          <w:szCs w:val="22"/>
          <w:highlight w:val="white"/>
        </w:rPr>
      </w:pPr>
      <w:r>
        <w:rPr>
          <w:bCs/>
          <w:color w:val="000000" w:themeColor="text1"/>
          <w:sz w:val="22"/>
          <w:szCs w:val="22"/>
          <w:highlight w:val="white"/>
          <w:lang w:eastAsia="ru-RU"/>
        </w:rPr>
      </w:r>
      <w:r>
        <w:rPr>
          <w:bCs/>
          <w:color w:val="000000" w:themeColor="text1"/>
          <w:sz w:val="22"/>
          <w:szCs w:val="22"/>
          <w:highlight w:val="white"/>
        </w:rPr>
      </w:r>
      <w:r>
        <w:rPr>
          <w:bCs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Перечень выполняемых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  <w:t xml:space="preserve">Работы выполняются в объеме, определенном перечнем работ (см. 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_Ref222411277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1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) с использованием материалов, характеристики и требования к которым устанавливаются 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_Ref222411287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2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.</w:t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Требования к работам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highlight w:val="white"/>
          <w:lang w:eastAsia="ru-RU"/>
        </w:rPr>
        <w:t xml:space="preserve">Исполнител</w:t>
      </w:r>
      <w:r>
        <w:rPr>
          <w:bCs/>
          <w:color w:val="000000" w:themeColor="text1"/>
          <w:sz w:val="22"/>
          <w:szCs w:val="22"/>
          <w:lang w:eastAsia="ru-RU"/>
        </w:rPr>
        <w:t xml:space="preserve">ь должен иметь необходимый опыт работы, квалифицированный персонал и техническую оснащённость, позволяющую оказать услуги надлежащего качества в установленные сроки.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При выполнении работ Исполнитель должен: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997"/>
        <w:numPr>
          <w:ilvl w:val="0"/>
          <w:numId w:val="17"/>
        </w:numPr>
        <w:jc w:val="both"/>
        <w:rPr>
          <w:sz w:val="22"/>
          <w:szCs w:val="22"/>
        </w:rPr>
        <w:outlineLvl w:val="0"/>
      </w:pPr>
      <w:r>
        <w:rPr>
          <w:sz w:val="22"/>
          <w:szCs w:val="22"/>
        </w:rPr>
        <w:t xml:space="preserve">обеспечить сохранность имущества Заказчика, а также не допускать ухудшения или порчи существующих конструкций, загрязнения помещений, территорий;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7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своевременно письменно информировать Заказчика о возможных неблагоприятных последствиях выполнения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Для защиты напольного покрытия в зоне проведения работ использовать плиты ДВП, а также укрывную пленку.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Маркировку всех кабелей выполнить с использованием ленточного принтера нейлоновой лентой (цвет фона – белый, цвет шрифта - чёрный).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Для выполнения работ Заказчик предоставляет следующее оборудование: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Комплект сборного настенного крепления для видеостены – 2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Набор комплектующих для сборного светодиодного экрана – 2 шт. в составе: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997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Модуль светодиодного экрана – 216 шт.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7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Кабинет светодиодного экрана – 27 шт.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7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Комплект интерфейсных и силовых кабелей – 1 шт.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7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Магнитный инструмент – 1 шт.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Видеопроцессор – 2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ПК оператора с платой </w:t>
      </w:r>
      <w:r>
        <w:rPr>
          <w:bCs/>
          <w:color w:val="000000" w:themeColor="text1"/>
          <w:sz w:val="22"/>
          <w:szCs w:val="22"/>
          <w:lang w:eastAsia="ru-RU"/>
        </w:rPr>
        <w:t xml:space="preserve">видеозахвата</w:t>
      </w:r>
      <w:r>
        <w:rPr>
          <w:bCs/>
          <w:color w:val="000000" w:themeColor="text1"/>
          <w:sz w:val="22"/>
          <w:szCs w:val="22"/>
          <w:lang w:eastAsia="ru-RU"/>
        </w:rPr>
        <w:t xml:space="preserve"> – 1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Монитор оператора – 2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Кронштейн для мониторов оператора – 1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Комплект клавиатура + мышь – 1 шт.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Гарантийный срок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</w:rPr>
      </w:pPr>
      <w:r>
        <w:rPr>
          <w:sz w:val="22"/>
          <w:szCs w:val="22"/>
        </w:rPr>
      </w:r>
      <w:commentRangeStart w:id="7"/>
      <w:r>
        <w:rPr>
          <w:bCs/>
          <w:color w:val="000000" w:themeColor="text1"/>
          <w:sz w:val="22"/>
          <w:szCs w:val="22"/>
          <w:lang w:eastAsia="ru-RU"/>
        </w:rPr>
        <w:t xml:space="preserve">Гарантийный срок на выполненные работы – не менее </w:t>
      </w:r>
      <w:r>
        <w:rPr>
          <w:bCs/>
          <w:sz w:val="22"/>
          <w:szCs w:val="22"/>
          <w:lang w:eastAsia="ru-RU"/>
        </w:rPr>
        <w:t xml:space="preserve">12 месяцев с момента подписания Заказчиком документа о приемке.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sz w:val="22"/>
          <w:szCs w:val="22"/>
          <w:lang w:eastAsia="ru-RU"/>
        </w:rPr>
        <w:t xml:space="preserve">Гарантийный срок на материалы – не менее 12 месяцев </w:t>
      </w:r>
      <w:r>
        <w:rPr>
          <w:bCs/>
          <w:color w:val="000000" w:themeColor="text1"/>
          <w:sz w:val="22"/>
          <w:szCs w:val="22"/>
          <w:lang w:eastAsia="ru-RU"/>
        </w:rPr>
        <w:t xml:space="preserve">с момента подписания Заказчиком документа о приемке.</w:t>
      </w:r>
      <w:commentRangeEnd w:id="7"/>
      <w:r>
        <w:commentReference w:id="7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Если в период гарантийного срока обнаружатся недостатки работ или ненадлежащее качество материалов, Заказчик составляет акт с перечнем выявленных недостатков и направляет Исполнителю требование об их устранении. Исполнитель (в случае, если не докажет</w:t>
      </w:r>
      <w:r>
        <w:rPr>
          <w:bCs/>
          <w:color w:val="000000" w:themeColor="text1"/>
          <w:sz w:val="22"/>
          <w:szCs w:val="22"/>
          <w:lang w:eastAsia="ru-RU"/>
        </w:rPr>
        <w:t xml:space="preserve"> отсутствие своей вины) обязан устранить выявленные недостатки в течение срока, установленного в требовании Заказчика своими силами и за свой счет. Гарантийный срок в этом случае соответственно продлевается на период устранения недостатков работ и изделий.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Условия поставки материалов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Поставка материалов производится за счет Исполнителя любым видом транспорта, включая упаковку, тару, маркировку, все расходы по страхованию, доставке, включая погрузку-разгрузку, перегрузку, подъем на этаж, хранение, транспортировку. Адрес поставки </w:t>
      </w:r>
      <w:r>
        <w:rPr>
          <w:bCs/>
          <w:color w:val="000000" w:themeColor="text1"/>
          <w:sz w:val="22"/>
          <w:szCs w:val="22"/>
          <w:lang w:eastAsia="ru-RU"/>
        </w:rPr>
        <w:t xml:space="preserve">материалов</w:t>
      </w:r>
      <w:r>
        <w:rPr>
          <w:bCs/>
          <w:color w:val="000000" w:themeColor="text1"/>
          <w:sz w:val="22"/>
          <w:szCs w:val="22"/>
          <w:lang w:eastAsia="ru-RU"/>
        </w:rPr>
        <w:t xml:space="preserve">: </w:t>
      </w:r>
      <w:r>
        <w:rPr>
          <w:color w:val="000000" w:themeColor="text1"/>
          <w:sz w:val="22"/>
          <w:szCs w:val="22"/>
          <w:lang w:eastAsia="ru-RU"/>
        </w:rPr>
        <w:t xml:space="preserve">г. Москва, Волоколамское шоссе, д. 80.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  <w:t xml:space="preserve">Вывоз упаковки и строительного мусора, образовавшегося в результате выполнения работ, производится силами Исполнителя.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Общие требования к материалам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Материалы должны быть новыми. Н</w:t>
      </w:r>
      <w:r>
        <w:rPr>
          <w:bCs/>
          <w:color w:val="000000" w:themeColor="text1"/>
          <w:sz w:val="22"/>
          <w:szCs w:val="22"/>
          <w:lang w:eastAsia="ru-RU"/>
        </w:rPr>
        <w:t xml:space="preserve">е допускается поставка материалов, бывших в эксплуатации или имеющих в своем составе части и компоненты, бывшие в эксплуатации. Материалы поставляются без внешних дефектов, царапин и других повреждений, ухудшающих его внешний вид и функциональные свойства.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right="-108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Приложения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_Ref222411277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1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- Перечень выполняемых работ.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_Ref222411287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2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 - Качественные характеристики.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4"/>
        <w:gridCol w:w="5105"/>
      </w:tblGrid>
      <w:tr>
        <w:tblPrEx/>
        <w:trPr>
          <w:trHeight w:val="1880"/>
        </w:trPr>
        <w:tc>
          <w:tcPr>
            <w:tcW w:w="4534" w:type="dxa"/>
            <w:textDirection w:val="lrTb"/>
            <w:noWrap/>
          </w:tcPr>
          <w:p>
            <w:r/>
            <w:r/>
          </w:p>
        </w:tc>
        <w:tc>
          <w:tcPr>
            <w:tcW w:w="5105" w:type="dxa"/>
            <w:textDirection w:val="lrTb"/>
            <w:noWrap/>
          </w:tcPr>
          <w:p>
            <w:r/>
            <w:r/>
          </w:p>
        </w:tc>
      </w:tr>
    </w:tbl>
    <w:p>
      <w:pPr>
        <w:rPr>
          <w:color w:val="000000" w:themeColor="text1"/>
          <w:highlight w:val="none"/>
          <w:lang w:eastAsia="ru-RU"/>
        </w:rPr>
      </w:pPr>
      <w:r>
        <w:rPr>
          <w:bCs/>
          <w:color w:val="000000" w:themeColor="text1"/>
          <w:sz w:val="22"/>
          <w:szCs w:val="22"/>
          <w:lang w:eastAsia="ru-RU"/>
        </w:rPr>
        <w:br w:type="page" w:clear="all"/>
      </w:r>
      <w:r>
        <w:rPr>
          <w:color w:val="000000" w:themeColor="text1"/>
          <w:highlight w:val="none"/>
          <w:lang w:eastAsia="ru-RU"/>
        </w:rPr>
      </w:r>
      <w:r>
        <w:rPr>
          <w:color w:val="000000" w:themeColor="text1"/>
          <w:highlight w:val="none"/>
          <w:lang w:eastAsia="ru-RU"/>
        </w:rPr>
      </w:r>
    </w:p>
    <w:p>
      <w:pPr>
        <w:contextualSpacing/>
        <w:ind w:firstLine="567"/>
        <w:jc w:val="right"/>
        <w:keepNext/>
        <w:rPr>
          <w:bCs/>
          <w:color w:val="000000" w:themeColor="text1"/>
          <w:lang w:eastAsia="ru-RU"/>
        </w:rPr>
        <w:outlineLvl w:val="0"/>
      </w:pPr>
      <w:r/>
      <w:bookmarkStart w:id="200" w:name="_Ref222411277"/>
      <w:r>
        <w:rPr>
          <w:bCs/>
          <w:color w:val="000000" w:themeColor="text1"/>
          <w:lang w:eastAsia="ru-RU"/>
        </w:rPr>
        <w:t xml:space="preserve">Приложение 1</w:t>
      </w:r>
      <w:r>
        <w:rPr>
          <w:bCs/>
          <w:color w:val="000000" w:themeColor="text1"/>
          <w:lang w:eastAsia="ru-RU"/>
        </w:rPr>
        <w:t xml:space="preserve"> </w:t>
      </w:r>
      <w:r>
        <w:rPr>
          <w:bCs/>
          <w:color w:val="000000" w:themeColor="text1"/>
          <w:lang w:eastAsia="ru-RU"/>
        </w:rPr>
      </w:r>
    </w:p>
    <w:p>
      <w:pPr>
        <w:contextualSpacing/>
        <w:ind w:firstLine="567"/>
        <w:jc w:val="center"/>
        <w:rPr>
          <w:b/>
          <w:color w:val="000000" w:themeColor="text1"/>
          <w:lang w:eastAsia="ru-RU"/>
        </w:rPr>
      </w:pPr>
      <w:r>
        <w:rPr>
          <w:b/>
          <w:color w:val="000000" w:themeColor="text1"/>
          <w:lang w:eastAsia="ru-RU"/>
        </w:rPr>
      </w:r>
      <w:r>
        <w:rPr>
          <w:b/>
          <w:color w:val="000000" w:themeColor="text1"/>
          <w:lang w:eastAsia="ru-RU"/>
        </w:rPr>
      </w:r>
      <w:r>
        <w:rPr>
          <w:b/>
          <w:color w:val="000000" w:themeColor="text1"/>
          <w:lang w:eastAsia="ru-RU"/>
        </w:rPr>
      </w:r>
    </w:p>
    <w:p>
      <w:pPr>
        <w:contextualSpacing/>
        <w:ind w:firstLine="567"/>
        <w:jc w:val="center"/>
        <w:rPr>
          <w:b/>
          <w:color w:val="000000" w:themeColor="text1"/>
          <w:lang w:eastAsia="ru-RU"/>
        </w:rPr>
      </w:pPr>
      <w:r>
        <w:rPr>
          <w:b/>
          <w:color w:val="000000" w:themeColor="text1"/>
          <w:lang w:eastAsia="ru-RU"/>
        </w:rPr>
        <w:t xml:space="preserve">Перечень выполняемых работ</w:t>
      </w:r>
      <w:r>
        <w:rPr>
          <w:b/>
          <w:color w:val="000000" w:themeColor="text1"/>
          <w:lang w:eastAsia="ru-RU"/>
        </w:rPr>
      </w:r>
      <w:r>
        <w:rPr>
          <w:b/>
          <w:color w:val="000000" w:themeColor="text1"/>
          <w:lang w:eastAsia="ru-RU"/>
        </w:rPr>
      </w:r>
    </w:p>
    <w:tbl>
      <w:tblPr>
        <w:tblStyle w:val="99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671"/>
        <w:gridCol w:w="5860"/>
        <w:gridCol w:w="701"/>
        <w:gridCol w:w="693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70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67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86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70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704" w:type="dxa"/>
            <w:textDirection w:val="lrTb"/>
            <w:noWrap w:val="false"/>
          </w:tcPr>
          <w:p>
            <w:pPr>
              <w:pStyle w:val="997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671" w:type="dxa"/>
            <w:textDirection w:val="lrTb"/>
            <w:noWrap w:val="false"/>
          </w:tcPr>
          <w:p>
            <w:pPr>
              <w:contextualSpacing/>
              <w:shd w:val="clear" w:color="auto" w:fill="ffffff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Работы по монтажу и пусконаладке светодиодных экранов и видеопроцессоров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5860" w:type="dxa"/>
            <w:textDirection w:val="lrTb"/>
            <w:noWrap w:val="false"/>
          </w:tcPr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Разработка и согласование с Заказчиком Рабочей документации.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Состав Рабочей документации, разрабатываемой Исполнителем: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Обложка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Титульный лист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Общие данные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Структурная схема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Схема соединений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Схема расположения оборудования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Схема прокладки кабельных трасс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Схема размещения оборудования в телекоммуникационном шкафу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Чертёж настенного крепления для размещения светодиодных экранов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Таблица соединений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Спецификация оборудования и материалов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Задание смежным системам на подключение к сети СКС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Задание смежным системам на подключение к сети электропитания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Задание смежным системам на удаление избыточного тепла от оборудования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Документация передается Заказчику в 2-х экземплярах на бумажном носителе и в 1-х экземпляре на электронном носителе.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Сборка конструктивов настенных креплений для светодиодных экранов.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ind w:left="52"/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настенных креплений для размещения светодиодных экранов в помещении конференц-зала.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Крепление настенных креплений к кирпичной стене осуществить с использованием резьбовых шпилек с применением химических анкеров.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Крепление настенных креплений к пирогу стены выполнить с использованием дюбелей МОЛЛИ.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кабинетов модулей и светодиодных экранов на настенные крепления.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ind w:left="52"/>
              <w:jc w:val="both"/>
              <w:tabs>
                <w:tab w:val="left" w:pos="619" w:leader="none"/>
              </w:tabs>
              <w:rPr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Межблочная коммутация светодиодных экранов в помещении конференц-зала.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20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телекоммуникационного шкафа в помещении конференц-зала.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jc w:val="both"/>
              <w:tabs>
                <w:tab w:val="left" w:pos="620" w:leader="none"/>
              </w:tabs>
              <w:rPr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20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в телекоммуникационный шкаф блоков розеток, органайзеров, полок, шины заземления с комплектом кабелей заземления.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видеопроцессоров светодиодных экранов в телекоммуникационный шкаф, подключение и настройка.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Для подключения сетевых кабелей использовать экранированные патч-корды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 категории 5Е.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крепления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кабелей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использовать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ленты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– «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липучки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».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Подключение видеопроцессоров светодиодных экранов к существующей системе </w:t>
            </w:r>
            <w:r>
              <w:rPr>
                <w:sz w:val="20"/>
                <w:szCs w:val="20"/>
                <w:lang w:val="ru-RU"/>
              </w:rPr>
              <w:t xml:space="preserve">видеокоммутации</w:t>
            </w:r>
            <w:r>
              <w:rPr>
                <w:sz w:val="20"/>
                <w:szCs w:val="20"/>
                <w:lang w:val="ru-RU"/>
              </w:rPr>
              <w:t xml:space="preserve">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Предусмотреть наличие входных и выходных интерфейсов на существующем матричном коммутаторе для подключения нового оборудования.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ind w:left="52"/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Монтаж ПК оператора и мониторов оператора в помещении конференц-зала, подключение и настройка.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Для подключения сетевых кабелей использовать экранированные патч-корды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 категории 5Е.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Подключение ПК оператора и мониторов оператора существующей системе </w:t>
            </w:r>
            <w:r>
              <w:rPr>
                <w:sz w:val="20"/>
                <w:szCs w:val="20"/>
                <w:lang w:val="ru-RU"/>
              </w:rPr>
              <w:t xml:space="preserve">видеокоммутации</w:t>
            </w:r>
            <w:r>
              <w:rPr>
                <w:sz w:val="20"/>
                <w:szCs w:val="20"/>
                <w:lang w:val="ru-RU"/>
              </w:rPr>
              <w:t xml:space="preserve">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Предусмотреть наличие входных и выходных интерфейсов на существующем матричном коммутаторе для подключения нового оборудования.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Пуско-наладочные работы смонтированного оборудования.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Проведение индивидуальных и комплексных испытаний мультимедийной Системы конференц-зала.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ind w:left="52"/>
              <w:jc w:val="both"/>
              <w:tabs>
                <w:tab w:val="left" w:pos="619" w:leader="none"/>
              </w:tabs>
              <w:rPr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pStyle w:val="997"/>
              <w:numPr>
                <w:ilvl w:val="0"/>
                <w:numId w:val="18"/>
              </w:numPr>
              <w:jc w:val="both"/>
              <w:tabs>
                <w:tab w:val="left" w:pos="619" w:leader="none"/>
              </w:tabs>
              <w:rPr>
                <w:sz w:val="20"/>
                <w:szCs w:val="20"/>
                <w:lang w:val="ru-RU"/>
              </w:rPr>
              <w:outlineLvl w:val="0"/>
            </w:pPr>
            <w:r>
              <w:rPr>
                <w:sz w:val="20"/>
                <w:szCs w:val="20"/>
                <w:lang w:val="ru-RU"/>
              </w:rPr>
              <w:t xml:space="preserve">Передача мультимедийной Системы конференц-зала в опытную эксплуатацию.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0"/>
                <w:szCs w:val="20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701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</w:tbl>
    <w:p>
      <w:pPr>
        <w:contextualSpacing/>
        <w:ind w:firstLine="567"/>
        <w:rPr>
          <w:bCs/>
          <w:color w:val="000000" w:themeColor="text1"/>
          <w:lang w:eastAsia="ru-RU"/>
        </w:rPr>
      </w:pPr>
      <w:r>
        <w:rPr>
          <w:bCs/>
          <w:color w:val="000000" w:themeColor="text1"/>
          <w:lang w:eastAsia="ru-RU"/>
        </w:rPr>
      </w:r>
      <w:r>
        <w:rPr>
          <w:bCs/>
          <w:color w:val="000000" w:themeColor="text1"/>
          <w:lang w:eastAsia="ru-RU"/>
        </w:rPr>
      </w:r>
      <w:r>
        <w:rPr>
          <w:bCs/>
          <w:color w:val="000000" w:themeColor="text1"/>
          <w:lang w:eastAsia="ru-RU"/>
        </w:rPr>
      </w:r>
    </w:p>
    <w:p>
      <w:pPr>
        <w:rPr>
          <w:bCs/>
          <w:color w:val="000000" w:themeColor="text1"/>
          <w:lang w:eastAsia="ru-RU"/>
        </w:rPr>
      </w:pPr>
      <w:r>
        <w:rPr>
          <w:bCs/>
          <w:color w:val="000000" w:themeColor="text1"/>
          <w:lang w:eastAsia="ru-RU"/>
        </w:rPr>
        <w:br w:type="page" w:clear="all"/>
      </w:r>
      <w:r>
        <w:rPr>
          <w:bCs/>
          <w:color w:val="000000" w:themeColor="text1"/>
          <w:lang w:eastAsia="ru-RU"/>
        </w:rPr>
      </w:r>
      <w:r>
        <w:rPr>
          <w:bCs/>
          <w:color w:val="000000" w:themeColor="text1"/>
          <w:lang w:eastAsia="ru-RU"/>
        </w:rPr>
      </w:r>
    </w:p>
    <w:p>
      <w:pPr>
        <w:contextualSpacing/>
        <w:ind w:firstLine="567"/>
        <w:jc w:val="right"/>
        <w:keepNext/>
        <w:rPr>
          <w:bCs/>
          <w:color w:val="000000" w:themeColor="text1"/>
          <w:lang w:eastAsia="ru-RU"/>
        </w:rPr>
        <w:outlineLvl w:val="0"/>
      </w:pPr>
      <w:r>
        <w:rPr>
          <w:bCs/>
          <w:color w:val="000000" w:themeColor="text1"/>
          <w:lang w:eastAsia="ru-RU"/>
        </w:rPr>
        <w:t xml:space="preserve">Приложение 2</w:t>
      </w:r>
      <w:r>
        <w:rPr>
          <w:bCs/>
          <w:color w:val="000000" w:themeColor="text1"/>
          <w:lang w:eastAsia="ru-RU"/>
        </w:rPr>
        <w:t xml:space="preserve"> к  </w:t>
      </w:r>
      <w:r>
        <w:rPr>
          <w:bCs/>
          <w:color w:val="000000" w:themeColor="text1"/>
          <w:lang w:eastAsia="ru-RU"/>
        </w:rPr>
      </w:r>
    </w:p>
    <w:p>
      <w:pPr>
        <w:contextualSpacing/>
        <w:ind w:firstLine="567"/>
        <w:jc w:val="center"/>
        <w:rPr>
          <w:b/>
          <w:color w:val="000000" w:themeColor="text1"/>
          <w:lang w:eastAsia="ru-RU"/>
        </w:rPr>
      </w:pPr>
      <w:r>
        <w:rPr>
          <w:b/>
          <w:color w:val="000000" w:themeColor="text1"/>
          <w:lang w:eastAsia="ru-RU"/>
        </w:rPr>
        <w:t xml:space="preserve">Качественные характеристики</w:t>
      </w:r>
      <w:r>
        <w:rPr>
          <w:b/>
          <w:color w:val="000000" w:themeColor="text1"/>
          <w:lang w:eastAsia="ru-RU"/>
        </w:rPr>
      </w:r>
      <w:r>
        <w:rPr>
          <w:b/>
          <w:color w:val="000000" w:themeColor="text1"/>
          <w:lang w:eastAsia="ru-RU"/>
        </w:rPr>
      </w:r>
    </w:p>
    <w:tbl>
      <w:tblPr>
        <w:tblStyle w:val="99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1834"/>
        <w:gridCol w:w="5131"/>
        <w:gridCol w:w="1425"/>
        <w:gridCol w:w="696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54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Комплект кабелей, разъёмов и материалов:</w:t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jc w:val="center"/>
              <w:shd w:val="clear" w:color="auto" w:fill="ffffff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Патч-корд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коннекторов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2хRJ45/8р8с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5е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Полоса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пропускания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100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экранированное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проводника, не менее: 24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(7х0,20 мм)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кабеля, мм: не менее 5,5 ±0,2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пар, шт.: не менее 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проводников: медь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корпуса разъема: прозрачный поликарбонат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-94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V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-2/латунь с никелированием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контактов: фосфористая бронза с напылением золотом 1,27 мкм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Оболочка кабеля: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Длина, м: не менее 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Патч-корд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коннекторов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2хRJ45/8р8с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5е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Полоса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пропускания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100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экранированное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проводника, не менее: 24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(7х0,20 мм)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кабеля, мм: не менее 5,5 ±0,2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пар, шт.: не менее 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проводников: медь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корпуса разъема: прозрачный поликарбонат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-94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V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-2/латунь с никелированием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контактов: фосфористая бронза с напылением золотом 1,27 мкм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Оболочка кабеля: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Длина, м: не менее 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Патч-корд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коннекторов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2хRJ45/8р8с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5е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Полоса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пропускания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100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экранированное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проводника, не менее: 24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(7х0,20 мм)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кабеля, мм: не менее 5,5 ±0,2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пар, шт.: не менее 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проводников: медь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корпуса разъема: прозрачный поликарбонат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-94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V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-2/латунь с никелированием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контактов: фосфористая бронза с напылением золотом 1,27 мкм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Оболочка кабеля: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Длина, м: не менее 10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Лента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м: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9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Высокоскоростной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Максимальное разрешение видео: не менее 4096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2160 при 60Гц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Совместимость с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(3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Deep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Color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K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 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HDCP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2.2: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 кабеля, м: не менее 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 кабеля: черный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Внешний размер кабеля, мм: не более 8,0 ± 0,30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Калибр проводника: 26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проводника: луженая медь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соединителя: 19-контактные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-вилки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защиты кабеля: Алюминиевая фольга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оболочки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кабеля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ПВХ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Активный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конвертер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интерфейса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Преобразование сигналов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DisplayPort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в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Поддержка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VGA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SVGA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XGA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SXGA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UXGA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1080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и разрешения до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True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K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Активный адаптер: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Поддержка технологии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AMD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Eyefinity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™ (конфигурации с несколькими экранами):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Поддержка звука: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Не требуется установка программного обеспечения или драйверов: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Совместим с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DisplayPort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1.2: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Интерфейс видеовхода: разъем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DisplayPort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(белого цвета)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Интерфейс видеовыхода: гнездо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тип А (черного цвета)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Максимальная частота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пикселизации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M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Гц: 600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Максимальное разрешение: 4096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2160 при 60 Гц / 3840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2160 при 60 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Соответствие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1.2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/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HDMI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2.0 /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HDCP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2.2: да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Максимальная скорость передачи данных, Гбит/с: не менее 18 (6 Гбит/с на каждую полосу)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Масса, кг: 0,04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Размеры (Д х Ш х В), мм: не более 180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45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x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15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питания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разъемов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СЕЕ 7/7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Schuko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)-IEC 320 C13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 кабеля, м: не менее 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кабеля: ПВС-АП 3х0,75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проводников, шт.: не менее 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проводников: медь электротехническая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проводников: многожильные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Сечение проводников, мм²: не менее 0,75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Максимальная сила тока,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не менее 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Номинальное напряжение, В: не менее 220-250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 оболочки: ПВХ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PVC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черный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Металлический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дюбель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дюбель-бабочка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металл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Метиз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комплекте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винт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63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120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Металлический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дюбель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дюбель-бабочка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металл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Метиз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комплекте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винт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80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120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Резьбовая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усиленная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шпилька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1000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М8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Класс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прочности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6.8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Шаг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1.25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Направление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Угол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град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60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цинк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Шайба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плоская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нержавеющая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нержавеющая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метиза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М8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Внутренний диаметр, мм: не более 9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Внешний диаметр, мм: не менее 16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Толщина, мм: не менее 1,6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Твердость: А2-70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40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Шестигранная гайка с фланцем и насечками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резьбы: М8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Шаг резьбы: 1.25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Направление резьбы: правая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Размер под ключ, мм: 13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Класс прочности: А2-70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фланца, мм: не менее 17,9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нержавеющая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А2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40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Цанга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М8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установки, мм: не менее 10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 анкера, мм: не мнее 27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Минимальная вырывающая сила (бетон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B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25), КН: 1,1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латунь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желтопассивированный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Сетчатая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гильза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резьбы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М8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установки, мм: не менее 12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Длина, мм: не менее 80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50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Химический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клеевой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анкер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инжекционная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масса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эпоксидная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смола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Объем баллона, мл: не менее 500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Минимальная вырывающая сила (бетон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B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25), КН: не менее 5,1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Разъем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силовой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разъёма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powerCON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Номинальный ток,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не менее 16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разъёма: мама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Установка: кабельный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монтажа: винтовой зажим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Диаметр совместимого кабеля, мм: не менее 6-12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Класс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защиты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IP65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Защитный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профиль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кромок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Высота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10 000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ПВХ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Толщина кромки, мм: не более 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Форма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U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Шкаф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монтажный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телекоммуникационный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19"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напольный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Размер (Ш х Г х В), мм: не более 600 х 600 х 730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Высота: не менее 12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Ручка с замком: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серый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RAL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7035)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Кабельные щёточные вводы в основании: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Кабельные щёточный ввод в крыше: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Боковые панели: съёмные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20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Статическая нагрузка, кг: не менее 800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Отделка наружной поверхности: порошковая краска с предварительным обезжириванием и фосфатированием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Регулируемые опоры: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Роликовые опоры: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Винты с шайбой и гайкой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M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6 для крепления 19" оборудования в достаточном в количестве: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keepLines/>
              <w:keepNext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outlineLvl w:val="0"/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Вес в упаковке, кг: не более 40,8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Блок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распределения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питания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шкаф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стойка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19”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Размещение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горизонтальное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розеток, шт.: не менее 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Длина шнура, м: не менее 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Габаритные размеры (Ш х Г х В), мм: не более 490 х 45 х 45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Высота,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не менее 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Масса, кг: не более 0,8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Параметры электропитания: 220-250 В, 50/60 Гц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вилки: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IEC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60906-2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DIN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49440/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Schuko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выходной розетки: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IEC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60906-2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DIN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49440/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Schuko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Максимальный ток нагрузки,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не менее 16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Максимальная мощность, кВт: не менее 3,3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Сечение кабеля, мм²: не менее 3х1,5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Корпус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алюминий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Кабельный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органайзер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":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менее19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Высота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U: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Размеры сечения (Г х В), мм: не более 64 х 43 (± 0,5)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ячеек,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шт. :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не менее 16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Материал: листовая сталь 1,6 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светло-серый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RAL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7035)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Патч-панель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шкаф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стойка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19''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портов, шт.: не менее 24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Категория: 5е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Полоса пропускания, МГц: 100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разъема: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RJ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45/8р8с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Исполнение: экранированное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Тип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терминирования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: 110/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Krone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Подключаемые проводники: одножильные 22 – 25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черный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Ширина, мм: не более 445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Ширина с креплением, мм: не более 482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Высота, мм: не более 45/1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U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Глубина / Длина, мм: не более 135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Вес, кг: не более 1,54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Цифровая маркировка портов с лицевой стороны панели: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Дополнительные площадки для маркировки с лицевой стороны: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Цифровая маркировка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IDC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 контактов: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Встроенный задний кабельный организатор кабеля: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Проводник заземления: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Съемная металлическая крышка быстрого монтажа: наличие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Полка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перфорированная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боковая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поверхность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19”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профиля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Крепление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в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четырех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точках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Максимальная нагрузка, кг: не более 45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Габаритные размеры (Ш х Г х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 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, мм: не более 495 х 400 х 35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Масса, кг: не более 1,94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Цвет: серый (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RAL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7035)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W w:w="543" w:type="dxa"/>
            <w:textDirection w:val="lrTb"/>
            <w:noWrap w:val="false"/>
          </w:tcPr>
          <w:p>
            <w:pPr>
              <w:pStyle w:val="997"/>
              <w:numPr>
                <w:ilvl w:val="1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заземления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513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шкаф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стойка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19”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Размещение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горизонтально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более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485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Сечение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20х4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Вес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кг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более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0,38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медь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покрытая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никелем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Винты с шайбами М6х15: в комплекте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Количество точек подключения, шт.: не менее 11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r>
          </w:p>
        </w:tc>
        <w:tc>
          <w:tcPr>
            <w:tcW w:w="1425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W w:w="696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</w:tr>
    </w:tbl>
    <w:p>
      <w:pPr>
        <w:contextualSpacing/>
        <w:ind w:firstLine="567"/>
        <w:rPr>
          <w:bCs/>
          <w:color w:val="000000" w:themeColor="text1"/>
          <w:lang w:eastAsia="ru-RU"/>
        </w:rPr>
      </w:pPr>
      <w:r>
        <w:rPr>
          <w:bCs/>
          <w:color w:val="000000" w:themeColor="text1"/>
          <w:lang w:eastAsia="ru-RU"/>
        </w:rPr>
      </w:r>
      <w:r>
        <w:rPr>
          <w:bCs/>
          <w:color w:val="000000" w:themeColor="text1"/>
          <w:lang w:eastAsia="ru-RU"/>
        </w:rPr>
      </w:r>
      <w:r>
        <w:rPr>
          <w:bCs/>
          <w:color w:val="000000" w:themeColor="text1"/>
          <w:lang w:eastAsia="ru-RU"/>
        </w:rPr>
      </w:r>
    </w:p>
    <w:p>
      <w:pPr>
        <w:tabs>
          <w:tab w:val="left" w:pos="855" w:leader="none"/>
        </w:tabs>
        <w:rPr>
          <w:color w:val="000000" w:themeColor="text1"/>
        </w:rPr>
      </w:pPr>
      <w:r>
        <w:t xml:space="preserve">              </w:t>
      </w:r>
      <w:r>
        <w:rPr>
          <w:color w:val="000000" w:themeColor="text1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707" w:bottom="1134" w:left="1560" w:header="567" w:footer="567" w:gutter="0"/>
      <w:cols w:num="1" w:sep="0" w:space="720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7" w:author="Миглин-Мороз Иван" w:date="2026-03-10T15:00:00Z" w:initials="МИ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Точный гарантийный срок не установлен</w:t>
      </w:r>
    </w:p>
  </w:comment>
  <w:comment w:id="6" w:author="Миглин-Мороз Иван" w:date="2026-03-10T14:48:00Z" w:initials="МИ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Требует уточнения</w:t>
      </w:r>
    </w:p>
  </w:comment>
  <w:comment w:id="5" w:author="Миглин-Мороз Иван" w:date="2026-03-10T14:55:00Z" w:initials="МИ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соответствии с  п.5.3 и п.3.2 окончательная оплата осуществляется Заказчиком  с момента получения Заказчиком Акта сдачи-приемки выполненных работ, составленного и направленного Исполнителем.</w:t>
      </w:r>
    </w:p>
  </w:comment>
  <w:comment w:id="4" w:author="Миглин-Мороз Иван" w:date="2026-03-10T14:55:00Z" w:initials="МИ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соотв. с п.2.5 Акт выполненных работ формируется Исполнителем</w:t>
      </w:r>
    </w:p>
  </w:comment>
  <w:comment w:id="3" w:author="Миглин-Мороз Иван" w:date="2026-03-10T14:54:00Z" w:initials="ММИ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</w:t>
      </w:r>
    </w:p>
  </w:comment>
  <w:comment w:id="2" w:author="Миглин-Мороз Иван" w:date="2026-03-10T14:54:00Z" w:initials="ММИ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поставки. Условия окончательного расчет указаны в п .3.2</w:t>
      </w:r>
    </w:p>
  </w:comment>
  <w:comment w:id="1" w:author="Миглин-Мороз Иван" w:date="2026-03-10T14:54:00Z" w:initials="МИ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Сумма налога в договоре не указана. Фактическая оплата со стороны заказчика будет меньше 600 000 рублей в случае применения налоговой ставки, отличной от 0 %</w:t>
      </w:r>
    </w:p>
  </w:comment>
  <w:comment w:id="0" w:author="Миглин-Мороз Иван" w:date="2026-03-10T14:53:00Z" w:initials="МИ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Следует уточнить порядок направления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  <w15:commentEx w15:paraId="00000005" w15:done="1"/>
  <w15:commentEx w15:paraId="00000006" w15:done="0"/>
  <w15:commentEx w15:paraId="00000007" w15:done="1"/>
  <w15:commentEx w15:paraId="0000000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F90CD01" w16cex:dateUtc="2026-03-10T12:00:00Z"/>
  <w16cex:commentExtensible w16cex:durableId="2D5AB083" w16cex:dateUtc="2026-03-10T12:00:00Z"/>
  <w16cex:commentExtensible w16cex:durableId="2D5AADB3" w16cex:dateUtc="2026-03-10T11:48:00Z"/>
  <w16cex:commentExtensible w16cex:durableId="2D5AAF5D" w16cex:dateUtc="2026-03-10T11:55:00Z"/>
  <w16cex:commentExtensible w16cex:durableId="2D5AAF4F" w16cex:dateUtc="2026-03-10T11:55:00Z"/>
  <w16cex:commentExtensible w16cex:durableId="2D5AAF29" w16cex:dateUtc="2026-03-10T11:54:00Z"/>
  <w16cex:commentExtensible w16cex:durableId="2D5AAF18" w16cex:dateUtc="2026-03-10T11:54:00Z"/>
  <w16cex:commentExtensible w16cex:durableId="2D5AAF0C" w16cex:dateUtc="2026-03-10T11:54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F90CD01"/>
  <w16cid:commentId w16cid:paraId="00000002" w16cid:durableId="2D5AB083"/>
  <w16cid:commentId w16cid:paraId="00000003" w16cid:durableId="2D5AADB3"/>
  <w16cid:commentId w16cid:paraId="00000004" w16cid:durableId="2D5AAF5D"/>
  <w16cid:commentId w16cid:paraId="00000005" w16cid:durableId="2D5AAF4F"/>
  <w16cid:commentId w16cid:paraId="00000006" w16cid:durableId="2D5AAF29"/>
  <w16cid:commentId w16cid:paraId="00000007" w16cid:durableId="2D5AAF18"/>
  <w16cid:commentId w16cid:paraId="00000008" w16cid:durableId="2D5AAF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504040505020204"/>
  </w:font>
  <w:font w:name="Symbol">
    <w:panose1 w:val="05050102010706020507"/>
  </w:font>
  <w:font w:name="Wingdings">
    <w:panose1 w:val="05000000000000000000"/>
  </w:font>
  <w:font w:name="Century Schoolbook">
    <w:panose1 w:val="02040603050505020303"/>
  </w:font>
  <w:font w:name="MS Mincho">
    <w:panose1 w:val="02020503050405090304"/>
  </w:font>
  <w:font w:name="Tahoma">
    <w:panose1 w:val="020B060403050404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  <w:jc w:val="right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tabs>
        <w:tab w:val="clear" w:pos="4536" w:leader="none"/>
        <w:tab w:val="clear" w:pos="9072" w:leader="none"/>
      </w:tabs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bothSides"/>
              <wp:docPr id="1" name="shape 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91680;o:allowoverlap:true;o:allowincell:true;mso-position-horizontal-relative:margin;mso-position-horizontal:center;mso-position-vertical-relative:text;margin-top:0.05pt;mso-position-vertical:absolute;width:5.00pt;height:11.5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3.%1."/>
      <w:lvlJc w:val="left"/>
      <w:pPr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1.2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none"/>
      <w:pStyle w:val="954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none"/>
      <w:pStyle w:val="955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none"/>
      <w:pStyle w:val="956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num w:numId="1">
    <w:abstractNumId w:val="9"/>
  </w:num>
  <w:num w:numId="2">
    <w:abstractNumId w:val="17"/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4"/>
  </w:num>
  <w:num w:numId="8">
    <w:abstractNumId w:val="12"/>
    <w:lvlOverride w:ilvl="0">
      <w:startOverride w:val="1"/>
    </w:lvlOverride>
  </w:num>
  <w:num w:numId="9">
    <w:abstractNumId w:val="15"/>
  </w:num>
  <w:num w:numId="10">
    <w:abstractNumId w:val="1"/>
  </w:num>
  <w:num w:numId="11">
    <w:abstractNumId w:val="10"/>
  </w:num>
  <w:num w:numId="12">
    <w:abstractNumId w:val="11"/>
  </w:num>
  <w:num w:numId="13">
    <w:abstractNumId w:val="3"/>
  </w:num>
  <w:num w:numId="14">
    <w:abstractNumId w:val="14"/>
  </w:num>
  <w:num w:numId="15">
    <w:abstractNumId w:val="13"/>
  </w:num>
  <w:num w:numId="16">
    <w:abstractNumId w:val="8"/>
  </w:num>
  <w:num w:numId="17">
    <w:abstractNumId w:val="0"/>
  </w:num>
  <w:num w:numId="18">
    <w:abstractNumId w:val="16"/>
  </w:num>
  <w:num w:numId="19">
    <w:abstractNumId w:val="18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глин-Мороз Иван">
    <w15:presenceInfo w15:providerId="Teamlab" w15:userId="S-1-5-21-3737210832-3521936851-184420903-86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8">
    <w:name w:val="Heading 1 Char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39">
    <w:name w:val="Heading 2 Char"/>
    <w:basedOn w:val="754"/>
    <w:link w:val="746"/>
    <w:uiPriority w:val="9"/>
    <w:rPr>
      <w:rFonts w:ascii="Arial" w:hAnsi="Arial" w:eastAsia="Arial" w:cs="Arial"/>
      <w:sz w:val="34"/>
    </w:rPr>
  </w:style>
  <w:style w:type="character" w:styleId="740">
    <w:name w:val="Heading 3 Char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41">
    <w:name w:val="Heading 4 Char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character" w:styleId="742">
    <w:name w:val="Header Char"/>
    <w:basedOn w:val="754"/>
    <w:link w:val="757"/>
    <w:uiPriority w:val="99"/>
  </w:style>
  <w:style w:type="character" w:styleId="743">
    <w:name w:val="Footer Char"/>
    <w:basedOn w:val="754"/>
    <w:link w:val="758"/>
    <w:uiPriority w:val="99"/>
  </w:style>
  <w:style w:type="paragraph" w:styleId="744" w:default="1">
    <w:name w:val="Normal"/>
    <w:qFormat/>
    <w:rPr>
      <w:lang w:eastAsia="ar-SA"/>
    </w:rPr>
  </w:style>
  <w:style w:type="paragraph" w:styleId="745">
    <w:name w:val="Heading 1"/>
    <w:basedOn w:val="744"/>
    <w:next w:val="744"/>
    <w:link w:val="7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6">
    <w:name w:val="Heading 2"/>
    <w:basedOn w:val="744"/>
    <w:next w:val="744"/>
    <w:link w:val="7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7">
    <w:name w:val="Heading 3"/>
    <w:basedOn w:val="744"/>
    <w:next w:val="744"/>
    <w:link w:val="7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7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744"/>
    <w:next w:val="7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1">
    <w:name w:val="Heading 7"/>
    <w:basedOn w:val="744"/>
    <w:next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744"/>
    <w:next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744"/>
    <w:next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paragraph" w:styleId="757">
    <w:name w:val="Header"/>
    <w:basedOn w:val="744"/>
    <w:link w:val="808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58">
    <w:name w:val="Footer"/>
    <w:basedOn w:val="744"/>
    <w:link w:val="809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59">
    <w:name w:val="Caption"/>
    <w:basedOn w:val="744"/>
    <w:next w:val="744"/>
    <w:link w:val="81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760">
    <w:name w:val="Plain Table 1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75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75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5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5 Dark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>
    <w:name w:val="Grid Table 7 Colorful"/>
    <w:basedOn w:val="75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>
    <w:name w:val="List Table 1 Light"/>
    <w:basedOn w:val="75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75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75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>
    <w:name w:val="List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8">
    <w:name w:val="List Table 7 Colorful"/>
    <w:basedOn w:val="75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79" w:customStyle="1">
    <w:name w:val="Title Char"/>
    <w:basedOn w:val="754"/>
    <w:uiPriority w:val="10"/>
    <w:rPr>
      <w:sz w:val="48"/>
      <w:szCs w:val="48"/>
    </w:rPr>
  </w:style>
  <w:style w:type="character" w:styleId="780" w:customStyle="1">
    <w:name w:val="Subtitle Char"/>
    <w:basedOn w:val="754"/>
    <w:uiPriority w:val="11"/>
    <w:rPr>
      <w:sz w:val="24"/>
      <w:szCs w:val="24"/>
    </w:rPr>
  </w:style>
  <w:style w:type="character" w:styleId="781" w:customStyle="1">
    <w:name w:val="Quote Char"/>
    <w:uiPriority w:val="29"/>
    <w:rPr>
      <w:i/>
    </w:rPr>
  </w:style>
  <w:style w:type="character" w:styleId="782" w:customStyle="1">
    <w:name w:val="Intense Quote Char"/>
    <w:uiPriority w:val="30"/>
    <w:rPr>
      <w:i/>
    </w:rPr>
  </w:style>
  <w:style w:type="character" w:styleId="783" w:customStyle="1">
    <w:name w:val="Footnote Text Char"/>
    <w:uiPriority w:val="99"/>
    <w:rPr>
      <w:sz w:val="18"/>
    </w:rPr>
  </w:style>
  <w:style w:type="character" w:styleId="784" w:customStyle="1">
    <w:name w:val="Endnote Text Char"/>
    <w:uiPriority w:val="99"/>
    <w:rPr>
      <w:sz w:val="20"/>
    </w:rPr>
  </w:style>
  <w:style w:type="character" w:styleId="785" w:customStyle="1">
    <w:name w:val="Заголовок 1 Знак1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86" w:customStyle="1">
    <w:name w:val="Заголовок 2 Знак1"/>
    <w:basedOn w:val="754"/>
    <w:link w:val="746"/>
    <w:uiPriority w:val="9"/>
    <w:rPr>
      <w:rFonts w:ascii="Arial" w:hAnsi="Arial" w:eastAsia="Arial" w:cs="Arial"/>
      <w:sz w:val="34"/>
    </w:rPr>
  </w:style>
  <w:style w:type="character" w:styleId="787" w:customStyle="1">
    <w:name w:val="Заголовок 3 Знак1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88" w:customStyle="1">
    <w:name w:val="Заголовок 4 Знак1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89" w:customStyle="1">
    <w:name w:val="Заголовок 51"/>
    <w:basedOn w:val="744"/>
    <w:next w:val="744"/>
    <w:link w:val="7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0" w:customStyle="1">
    <w:name w:val="Heading 5 Char"/>
    <w:basedOn w:val="754"/>
    <w:link w:val="789"/>
    <w:uiPriority w:val="9"/>
    <w:rPr>
      <w:rFonts w:ascii="Arial" w:hAnsi="Arial" w:eastAsia="Arial" w:cs="Arial"/>
      <w:b/>
      <w:bCs/>
      <w:sz w:val="24"/>
      <w:szCs w:val="24"/>
    </w:rPr>
  </w:style>
  <w:style w:type="paragraph" w:styleId="791" w:customStyle="1">
    <w:name w:val="Заголовок 61"/>
    <w:basedOn w:val="744"/>
    <w:next w:val="744"/>
    <w:link w:val="7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2" w:customStyle="1">
    <w:name w:val="Heading 6 Char"/>
    <w:basedOn w:val="754"/>
    <w:link w:val="791"/>
    <w:uiPriority w:val="9"/>
    <w:rPr>
      <w:rFonts w:ascii="Arial" w:hAnsi="Arial" w:eastAsia="Arial" w:cs="Arial"/>
      <w:b/>
      <w:bCs/>
      <w:sz w:val="22"/>
      <w:szCs w:val="22"/>
    </w:rPr>
  </w:style>
  <w:style w:type="paragraph" w:styleId="793" w:customStyle="1">
    <w:name w:val="Заголовок 71"/>
    <w:basedOn w:val="744"/>
    <w:next w:val="744"/>
    <w:link w:val="7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4" w:customStyle="1">
    <w:name w:val="Heading 7 Char"/>
    <w:basedOn w:val="754"/>
    <w:link w:val="7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5" w:customStyle="1">
    <w:name w:val="Заголовок 81"/>
    <w:basedOn w:val="744"/>
    <w:next w:val="744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6" w:customStyle="1">
    <w:name w:val="Heading 8 Char"/>
    <w:basedOn w:val="754"/>
    <w:link w:val="795"/>
    <w:uiPriority w:val="9"/>
    <w:rPr>
      <w:rFonts w:ascii="Arial" w:hAnsi="Arial" w:eastAsia="Arial" w:cs="Arial"/>
      <w:i/>
      <w:iCs/>
      <w:sz w:val="22"/>
      <w:szCs w:val="22"/>
    </w:rPr>
  </w:style>
  <w:style w:type="paragraph" w:styleId="797" w:customStyle="1">
    <w:name w:val="Заголовок 91"/>
    <w:basedOn w:val="744"/>
    <w:next w:val="744"/>
    <w:link w:val="7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8" w:customStyle="1">
    <w:name w:val="Heading 9 Char"/>
    <w:basedOn w:val="754"/>
    <w:link w:val="797"/>
    <w:uiPriority w:val="9"/>
    <w:rPr>
      <w:rFonts w:ascii="Arial" w:hAnsi="Arial" w:eastAsia="Arial" w:cs="Arial"/>
      <w:i/>
      <w:iCs/>
      <w:sz w:val="21"/>
      <w:szCs w:val="21"/>
    </w:rPr>
  </w:style>
  <w:style w:type="paragraph" w:styleId="799">
    <w:name w:val="No Spacing"/>
    <w:uiPriority w:val="1"/>
    <w:qFormat/>
  </w:style>
  <w:style w:type="paragraph" w:styleId="800">
    <w:name w:val="Title"/>
    <w:basedOn w:val="744"/>
    <w:next w:val="744"/>
    <w:link w:val="8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1" w:customStyle="1">
    <w:name w:val="Заголовок Знак"/>
    <w:basedOn w:val="754"/>
    <w:link w:val="800"/>
    <w:uiPriority w:val="10"/>
    <w:rPr>
      <w:sz w:val="48"/>
      <w:szCs w:val="48"/>
    </w:rPr>
  </w:style>
  <w:style w:type="paragraph" w:styleId="802">
    <w:name w:val="Subtitle"/>
    <w:basedOn w:val="744"/>
    <w:next w:val="744"/>
    <w:link w:val="803"/>
    <w:uiPriority w:val="11"/>
    <w:qFormat/>
    <w:pPr>
      <w:spacing w:before="200" w:after="200"/>
    </w:pPr>
    <w:rPr>
      <w:sz w:val="24"/>
      <w:szCs w:val="24"/>
    </w:rPr>
  </w:style>
  <w:style w:type="character" w:styleId="803" w:customStyle="1">
    <w:name w:val="Подзаголовок Знак"/>
    <w:basedOn w:val="754"/>
    <w:link w:val="802"/>
    <w:uiPriority w:val="11"/>
    <w:rPr>
      <w:sz w:val="24"/>
      <w:szCs w:val="24"/>
    </w:rPr>
  </w:style>
  <w:style w:type="paragraph" w:styleId="804">
    <w:name w:val="Quote"/>
    <w:basedOn w:val="744"/>
    <w:next w:val="744"/>
    <w:link w:val="805"/>
    <w:uiPriority w:val="29"/>
    <w:qFormat/>
    <w:pPr>
      <w:ind w:left="720" w:right="720"/>
    </w:pPr>
    <w:rPr>
      <w:i/>
    </w:rPr>
  </w:style>
  <w:style w:type="character" w:styleId="805" w:customStyle="1">
    <w:name w:val="Цитата 2 Знак"/>
    <w:link w:val="804"/>
    <w:uiPriority w:val="29"/>
    <w:rPr>
      <w:i/>
    </w:rPr>
  </w:style>
  <w:style w:type="paragraph" w:styleId="806">
    <w:name w:val="Intense Quote"/>
    <w:basedOn w:val="744"/>
    <w:next w:val="744"/>
    <w:link w:val="8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7" w:customStyle="1">
    <w:name w:val="Выделенная цитата Знак"/>
    <w:link w:val="806"/>
    <w:uiPriority w:val="30"/>
    <w:rPr>
      <w:i/>
    </w:rPr>
  </w:style>
  <w:style w:type="character" w:styleId="808" w:customStyle="1">
    <w:name w:val="Верхний колонтитул Знак1"/>
    <w:basedOn w:val="754"/>
    <w:link w:val="757"/>
    <w:uiPriority w:val="99"/>
  </w:style>
  <w:style w:type="character" w:styleId="809" w:customStyle="1">
    <w:name w:val="Нижний колонтитул Знак1"/>
    <w:basedOn w:val="754"/>
    <w:link w:val="758"/>
    <w:uiPriority w:val="99"/>
  </w:style>
  <w:style w:type="paragraph" w:styleId="810" w:customStyle="1">
    <w:name w:val="Название объекта1"/>
    <w:basedOn w:val="744"/>
    <w:next w:val="744"/>
    <w:link w:val="81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11" w:customStyle="1">
    <w:name w:val="Caption Char"/>
    <w:basedOn w:val="754"/>
    <w:link w:val="810"/>
    <w:uiPriority w:val="35"/>
    <w:rPr>
      <w:b/>
      <w:bCs/>
      <w:color w:val="5b9bd5" w:themeColor="accent1"/>
      <w:sz w:val="18"/>
      <w:szCs w:val="18"/>
    </w:rPr>
  </w:style>
  <w:style w:type="table" w:styleId="812" w:customStyle="1">
    <w:name w:val="Table Grid Light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3" w:customStyle="1">
    <w:name w:val="Таблица простая 11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 w:customStyle="1">
    <w:name w:val="Таблица простая 21"/>
    <w:basedOn w:val="75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 w:customStyle="1">
    <w:name w:val="Таблица простая 31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6" w:customStyle="1">
    <w:name w:val="Таблица простая 41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Таблица простая 51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8" w:customStyle="1">
    <w:name w:val="Таблица-сетка 1 светлая1"/>
    <w:basedOn w:val="75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1"/>
    <w:basedOn w:val="75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2"/>
    <w:basedOn w:val="75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3"/>
    <w:basedOn w:val="75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4"/>
    <w:basedOn w:val="75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5"/>
    <w:basedOn w:val="75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6"/>
    <w:basedOn w:val="75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Таблица-сетка 21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1"/>
    <w:basedOn w:val="75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2"/>
    <w:basedOn w:val="75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3"/>
    <w:basedOn w:val="75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4"/>
    <w:basedOn w:val="75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5"/>
    <w:basedOn w:val="75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6"/>
    <w:basedOn w:val="75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Таблица-сетка 31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1"/>
    <w:basedOn w:val="75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2"/>
    <w:basedOn w:val="75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3"/>
    <w:basedOn w:val="75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4"/>
    <w:basedOn w:val="75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5"/>
    <w:basedOn w:val="75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6"/>
    <w:basedOn w:val="75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Таблица-сетка 41"/>
    <w:basedOn w:val="75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0" w:customStyle="1">
    <w:name w:val="Grid Table 4 - Accent 1"/>
    <w:basedOn w:val="75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41" w:customStyle="1">
    <w:name w:val="Grid Table 4 - Accent 2"/>
    <w:basedOn w:val="75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2" w:customStyle="1">
    <w:name w:val="Grid Table 4 - Accent 3"/>
    <w:basedOn w:val="75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3" w:customStyle="1">
    <w:name w:val="Grid Table 4 - Accent 4"/>
    <w:basedOn w:val="75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44" w:customStyle="1">
    <w:name w:val="Grid Table 4 - Accent 5"/>
    <w:basedOn w:val="75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45" w:customStyle="1">
    <w:name w:val="Grid Table 4 - Accent 6"/>
    <w:basedOn w:val="75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46" w:customStyle="1">
    <w:name w:val="Таблица-сетка 5 темная1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- Accent 1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2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3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- Accent 4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5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6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3" w:customStyle="1">
    <w:name w:val="Таблица-сетка 6 цветная1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4" w:customStyle="1">
    <w:name w:val="Grid Table 6 Colorful - Accent 1"/>
    <w:basedOn w:val="75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55" w:customStyle="1">
    <w:name w:val="Grid Table 6 Colorful - Accent 2"/>
    <w:basedOn w:val="75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56" w:customStyle="1">
    <w:name w:val="Grid Table 6 Colorful - Accent 3"/>
    <w:basedOn w:val="75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57" w:customStyle="1">
    <w:name w:val="Grid Table 6 Colorful - Accent 4"/>
    <w:basedOn w:val="75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58" w:customStyle="1">
    <w:name w:val="Grid Table 6 Colorful - Accent 5"/>
    <w:basedOn w:val="75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9" w:customStyle="1">
    <w:name w:val="Grid Table 6 Colorful - Accent 6"/>
    <w:basedOn w:val="75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0" w:customStyle="1">
    <w:name w:val="Таблица-сетка 7 цветная1"/>
    <w:basedOn w:val="75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1"/>
    <w:basedOn w:val="75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7 Colorful - Accent 2"/>
    <w:basedOn w:val="75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7 Colorful - Accent 3"/>
    <w:basedOn w:val="75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7 Colorful - Accent 4"/>
    <w:basedOn w:val="75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7 Colorful - Accent 5"/>
    <w:basedOn w:val="75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6"/>
    <w:basedOn w:val="75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Список-таблица 1 светлая1"/>
    <w:basedOn w:val="75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1"/>
    <w:basedOn w:val="75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2"/>
    <w:basedOn w:val="75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3"/>
    <w:basedOn w:val="75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4"/>
    <w:basedOn w:val="75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5"/>
    <w:basedOn w:val="75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6"/>
    <w:basedOn w:val="75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Список-таблица 21"/>
    <w:basedOn w:val="75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1"/>
    <w:basedOn w:val="75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2"/>
    <w:basedOn w:val="75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3"/>
    <w:basedOn w:val="75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4"/>
    <w:basedOn w:val="75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5"/>
    <w:basedOn w:val="75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6"/>
    <w:basedOn w:val="75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1" w:customStyle="1">
    <w:name w:val="Список-таблица 31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1"/>
    <w:basedOn w:val="75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2"/>
    <w:basedOn w:val="75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3"/>
    <w:basedOn w:val="75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4"/>
    <w:basedOn w:val="75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5"/>
    <w:basedOn w:val="75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6"/>
    <w:basedOn w:val="75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Список-таблица 41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1"/>
    <w:basedOn w:val="75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2"/>
    <w:basedOn w:val="75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3"/>
    <w:basedOn w:val="75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4"/>
    <w:basedOn w:val="75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5"/>
    <w:basedOn w:val="75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6"/>
    <w:basedOn w:val="75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Список-таблица 5 темная1"/>
    <w:basedOn w:val="75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1"/>
    <w:basedOn w:val="75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2"/>
    <w:basedOn w:val="75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3"/>
    <w:basedOn w:val="75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4"/>
    <w:basedOn w:val="75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5"/>
    <w:basedOn w:val="75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6"/>
    <w:basedOn w:val="75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Список-таблица 6 цветная1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3" w:customStyle="1">
    <w:name w:val="List Table 6 Colorful - Accent 1"/>
    <w:basedOn w:val="75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04" w:customStyle="1">
    <w:name w:val="List Table 6 Colorful - Accent 2"/>
    <w:basedOn w:val="75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05" w:customStyle="1">
    <w:name w:val="List Table 6 Colorful - Accent 3"/>
    <w:basedOn w:val="75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06" w:customStyle="1">
    <w:name w:val="List Table 6 Colorful - Accent 4"/>
    <w:basedOn w:val="75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07" w:customStyle="1">
    <w:name w:val="List Table 6 Colorful - Accent 5"/>
    <w:basedOn w:val="75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08" w:customStyle="1">
    <w:name w:val="List Table 6 Colorful - Accent 6"/>
    <w:basedOn w:val="75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09" w:customStyle="1">
    <w:name w:val="Список-таблица 7 цветная1"/>
    <w:basedOn w:val="75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1"/>
    <w:basedOn w:val="75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7 Colorful - Accent 2"/>
    <w:basedOn w:val="75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7 Colorful - Accent 3"/>
    <w:basedOn w:val="75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7 Colorful - Accent 4"/>
    <w:basedOn w:val="75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7 Colorful - Accent 5"/>
    <w:basedOn w:val="75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6"/>
    <w:basedOn w:val="75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ned - Accent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7" w:customStyle="1">
    <w:name w:val="Lined - Accent 1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8" w:customStyle="1">
    <w:name w:val="Lined - Accent 2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9" w:customStyle="1">
    <w:name w:val="Lined - Accent 3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0" w:customStyle="1">
    <w:name w:val="Lined - Accent 4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1" w:customStyle="1">
    <w:name w:val="Lined - Accent 5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2" w:customStyle="1">
    <w:name w:val="Lined - Accent 6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3" w:customStyle="1">
    <w:name w:val="Bordered &amp; Lined - Accent"/>
    <w:basedOn w:val="75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4" w:customStyle="1">
    <w:name w:val="Bordered &amp; Lined - Accent 1"/>
    <w:basedOn w:val="75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25" w:customStyle="1">
    <w:name w:val="Bordered &amp; Lined - Accent 2"/>
    <w:basedOn w:val="75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6" w:customStyle="1">
    <w:name w:val="Bordered &amp; Lined - Accent 3"/>
    <w:basedOn w:val="75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7" w:customStyle="1">
    <w:name w:val="Bordered &amp; Lined - Accent 4"/>
    <w:basedOn w:val="75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8" w:customStyle="1">
    <w:name w:val="Bordered &amp; Lined - Accent 5"/>
    <w:basedOn w:val="75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9" w:customStyle="1">
    <w:name w:val="Bordered &amp; Lined - Accent 6"/>
    <w:basedOn w:val="75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30" w:customStyle="1">
    <w:name w:val="Bordered"/>
    <w:basedOn w:val="75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1" w:customStyle="1">
    <w:name w:val="Bordered - Accent 1"/>
    <w:basedOn w:val="75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32" w:customStyle="1">
    <w:name w:val="Bordered - Accent 2"/>
    <w:basedOn w:val="75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33" w:customStyle="1">
    <w:name w:val="Bordered - Accent 3"/>
    <w:basedOn w:val="75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34" w:customStyle="1">
    <w:name w:val="Bordered - Accent 4"/>
    <w:basedOn w:val="75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35" w:customStyle="1">
    <w:name w:val="Bordered - Accent 5"/>
    <w:basedOn w:val="75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36" w:customStyle="1">
    <w:name w:val="Bordered - Accent 6"/>
    <w:basedOn w:val="75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37">
    <w:name w:val="footnote text"/>
    <w:basedOn w:val="744"/>
    <w:link w:val="938"/>
    <w:uiPriority w:val="99"/>
    <w:semiHidden/>
    <w:unhideWhenUsed/>
    <w:pPr>
      <w:spacing w:after="40"/>
    </w:pPr>
    <w:rPr>
      <w:sz w:val="18"/>
    </w:rPr>
  </w:style>
  <w:style w:type="character" w:styleId="938" w:customStyle="1">
    <w:name w:val="Текст сноски Знак"/>
    <w:link w:val="937"/>
    <w:uiPriority w:val="99"/>
    <w:rPr>
      <w:sz w:val="18"/>
    </w:rPr>
  </w:style>
  <w:style w:type="character" w:styleId="939">
    <w:name w:val="footnote reference"/>
    <w:basedOn w:val="754"/>
    <w:uiPriority w:val="99"/>
    <w:unhideWhenUsed/>
    <w:rPr>
      <w:vertAlign w:val="superscript"/>
    </w:rPr>
  </w:style>
  <w:style w:type="paragraph" w:styleId="940">
    <w:name w:val="endnote text"/>
    <w:basedOn w:val="744"/>
    <w:link w:val="941"/>
    <w:uiPriority w:val="99"/>
    <w:semiHidden/>
    <w:unhideWhenUsed/>
  </w:style>
  <w:style w:type="character" w:styleId="941" w:customStyle="1">
    <w:name w:val="Текст концевой сноски Знак"/>
    <w:link w:val="940"/>
    <w:uiPriority w:val="99"/>
    <w:rPr>
      <w:sz w:val="20"/>
    </w:rPr>
  </w:style>
  <w:style w:type="character" w:styleId="942">
    <w:name w:val="endnote reference"/>
    <w:basedOn w:val="754"/>
    <w:uiPriority w:val="99"/>
    <w:semiHidden/>
    <w:unhideWhenUsed/>
    <w:rPr>
      <w:vertAlign w:val="superscript"/>
    </w:rPr>
  </w:style>
  <w:style w:type="paragraph" w:styleId="943">
    <w:name w:val="toc 1"/>
    <w:basedOn w:val="744"/>
    <w:next w:val="744"/>
    <w:uiPriority w:val="39"/>
    <w:unhideWhenUsed/>
    <w:pPr>
      <w:spacing w:after="57"/>
    </w:pPr>
  </w:style>
  <w:style w:type="paragraph" w:styleId="944">
    <w:name w:val="toc 2"/>
    <w:basedOn w:val="744"/>
    <w:next w:val="744"/>
    <w:uiPriority w:val="39"/>
    <w:unhideWhenUsed/>
    <w:pPr>
      <w:ind w:left="283"/>
      <w:spacing w:after="57"/>
    </w:pPr>
  </w:style>
  <w:style w:type="paragraph" w:styleId="945">
    <w:name w:val="toc 3"/>
    <w:basedOn w:val="744"/>
    <w:next w:val="744"/>
    <w:uiPriority w:val="39"/>
    <w:unhideWhenUsed/>
    <w:pPr>
      <w:ind w:left="567"/>
      <w:spacing w:after="57"/>
    </w:pPr>
  </w:style>
  <w:style w:type="paragraph" w:styleId="946">
    <w:name w:val="toc 4"/>
    <w:basedOn w:val="744"/>
    <w:next w:val="744"/>
    <w:uiPriority w:val="39"/>
    <w:unhideWhenUsed/>
    <w:pPr>
      <w:ind w:left="850"/>
      <w:spacing w:after="57"/>
    </w:pPr>
  </w:style>
  <w:style w:type="paragraph" w:styleId="947">
    <w:name w:val="toc 5"/>
    <w:basedOn w:val="744"/>
    <w:next w:val="744"/>
    <w:uiPriority w:val="39"/>
    <w:unhideWhenUsed/>
    <w:pPr>
      <w:ind w:left="1134"/>
      <w:spacing w:after="57"/>
    </w:pPr>
  </w:style>
  <w:style w:type="paragraph" w:styleId="948">
    <w:name w:val="toc 6"/>
    <w:basedOn w:val="744"/>
    <w:next w:val="744"/>
    <w:uiPriority w:val="39"/>
    <w:unhideWhenUsed/>
    <w:pPr>
      <w:ind w:left="1417"/>
      <w:spacing w:after="57"/>
    </w:pPr>
  </w:style>
  <w:style w:type="paragraph" w:styleId="949">
    <w:name w:val="toc 7"/>
    <w:basedOn w:val="744"/>
    <w:next w:val="744"/>
    <w:uiPriority w:val="39"/>
    <w:unhideWhenUsed/>
    <w:pPr>
      <w:ind w:left="1701"/>
      <w:spacing w:after="57"/>
    </w:pPr>
  </w:style>
  <w:style w:type="paragraph" w:styleId="950">
    <w:name w:val="toc 8"/>
    <w:basedOn w:val="744"/>
    <w:next w:val="744"/>
    <w:uiPriority w:val="39"/>
    <w:unhideWhenUsed/>
    <w:pPr>
      <w:ind w:left="1984"/>
      <w:spacing w:after="57"/>
    </w:pPr>
  </w:style>
  <w:style w:type="paragraph" w:styleId="951">
    <w:name w:val="toc 9"/>
    <w:basedOn w:val="744"/>
    <w:next w:val="744"/>
    <w:uiPriority w:val="39"/>
    <w:unhideWhenUsed/>
    <w:pPr>
      <w:ind w:left="2268"/>
      <w:spacing w:after="57"/>
    </w:pPr>
  </w:style>
  <w:style w:type="paragraph" w:styleId="952">
    <w:name w:val="TOC Heading"/>
    <w:uiPriority w:val="39"/>
    <w:unhideWhenUsed/>
  </w:style>
  <w:style w:type="paragraph" w:styleId="953">
    <w:name w:val="table of figures"/>
    <w:basedOn w:val="744"/>
    <w:next w:val="744"/>
    <w:uiPriority w:val="99"/>
    <w:unhideWhenUsed/>
  </w:style>
  <w:style w:type="paragraph" w:styleId="954" w:customStyle="1">
    <w:name w:val="Заголовок 11"/>
    <w:basedOn w:val="744"/>
    <w:next w:val="744"/>
    <w:link w:val="958"/>
    <w:uiPriority w:val="9"/>
    <w:qFormat/>
    <w:pPr>
      <w:numPr>
        <w:ilvl w:val="0"/>
        <w:numId w:val="1"/>
      </w:numPr>
      <w:jc w:val="center"/>
      <w:keepNext/>
      <w:outlineLvl w:val="0"/>
    </w:pPr>
    <w:rPr>
      <w:b/>
      <w:sz w:val="22"/>
    </w:rPr>
  </w:style>
  <w:style w:type="paragraph" w:styleId="955" w:customStyle="1">
    <w:name w:val="Заголовок 21"/>
    <w:basedOn w:val="744"/>
    <w:next w:val="744"/>
    <w:link w:val="959"/>
    <w:uiPriority w:val="9"/>
    <w:qFormat/>
    <w:pPr>
      <w:numPr>
        <w:ilvl w:val="1"/>
        <w:numId w:val="1"/>
      </w:numPr>
      <w:jc w:val="center"/>
      <w:keepNext/>
      <w:outlineLvl w:val="1"/>
    </w:pPr>
    <w:rPr>
      <w:rFonts w:ascii="Arial" w:hAnsi="Arial" w:cs="Arial"/>
      <w:b/>
      <w:sz w:val="28"/>
    </w:rPr>
  </w:style>
  <w:style w:type="paragraph" w:styleId="956" w:customStyle="1">
    <w:name w:val="Заголовок 31"/>
    <w:basedOn w:val="744"/>
    <w:next w:val="744"/>
    <w:link w:val="960"/>
    <w:uiPriority w:val="9"/>
    <w:qFormat/>
    <w:pPr>
      <w:numPr>
        <w:ilvl w:val="2"/>
        <w:numId w:val="1"/>
      </w:numPr>
      <w:jc w:val="center"/>
      <w:keepNext/>
      <w:outlineLvl w:val="2"/>
    </w:pPr>
    <w:rPr>
      <w:rFonts w:ascii="Arial" w:hAnsi="Arial" w:cs="Arial"/>
      <w:b/>
      <w:sz w:val="24"/>
    </w:rPr>
  </w:style>
  <w:style w:type="paragraph" w:styleId="957" w:customStyle="1">
    <w:name w:val="Заголовок 41"/>
    <w:basedOn w:val="744"/>
    <w:next w:val="744"/>
    <w:link w:val="961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958" w:customStyle="1">
    <w:name w:val="Заголовок 1 Знак"/>
    <w:link w:val="954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59" w:customStyle="1">
    <w:name w:val="Заголовок 2 Знак"/>
    <w:link w:val="955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960" w:customStyle="1">
    <w:name w:val="Заголовок 3 Знак"/>
    <w:link w:val="956"/>
    <w:uiPriority w:val="9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61" w:customStyle="1">
    <w:name w:val="Заголовок 4 Знак"/>
    <w:link w:val="957"/>
    <w:uiPriority w:val="9"/>
    <w:semiHidden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styleId="962" w:customStyle="1">
    <w:name w:val="Основной шрифт абзаца1"/>
  </w:style>
  <w:style w:type="character" w:styleId="963">
    <w:name w:val="page number"/>
    <w:uiPriority w:val="99"/>
    <w:rPr>
      <w:rFonts w:cs="Times New Roman"/>
    </w:rPr>
  </w:style>
  <w:style w:type="paragraph" w:styleId="964" w:customStyle="1">
    <w:name w:val="Заголовок1"/>
    <w:basedOn w:val="744"/>
    <w:next w:val="965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styleId="965">
    <w:name w:val="Body Text"/>
    <w:basedOn w:val="744"/>
    <w:link w:val="966"/>
    <w:uiPriority w:val="99"/>
    <w:pPr>
      <w:jc w:val="both"/>
    </w:pPr>
    <w:rPr>
      <w:rFonts w:ascii="Arial" w:hAnsi="Arial" w:cs="Arial"/>
      <w:sz w:val="24"/>
    </w:rPr>
  </w:style>
  <w:style w:type="character" w:styleId="966" w:customStyle="1">
    <w:name w:val="Основной текст Знак"/>
    <w:link w:val="965"/>
    <w:uiPriority w:val="99"/>
    <w:semiHidden/>
    <w:rPr>
      <w:lang w:eastAsia="ar-SA"/>
    </w:rPr>
  </w:style>
  <w:style w:type="paragraph" w:styleId="967">
    <w:name w:val="List"/>
    <w:basedOn w:val="965"/>
    <w:uiPriority w:val="99"/>
    <w:rPr>
      <w:rFonts w:cs="Mangal"/>
    </w:rPr>
  </w:style>
  <w:style w:type="paragraph" w:styleId="968" w:customStyle="1">
    <w:name w:val="Название1"/>
    <w:basedOn w:val="744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69" w:customStyle="1">
    <w:name w:val="Указатель1"/>
    <w:basedOn w:val="744"/>
    <w:pPr>
      <w:suppressLineNumbers/>
    </w:pPr>
    <w:rPr>
      <w:rFonts w:cs="Mangal"/>
    </w:rPr>
  </w:style>
  <w:style w:type="paragraph" w:styleId="970" w:customStyle="1">
    <w:name w:val="Body Text 21"/>
    <w:basedOn w:val="744"/>
    <w:pPr>
      <w:ind w:firstLine="709"/>
      <w:jc w:val="both"/>
    </w:pPr>
    <w:rPr>
      <w:sz w:val="22"/>
    </w:rPr>
  </w:style>
  <w:style w:type="paragraph" w:styleId="971" w:customStyle="1">
    <w:name w:val="Body Text Indent 21"/>
    <w:basedOn w:val="744"/>
    <w:pPr>
      <w:ind w:firstLine="567"/>
      <w:jc w:val="both"/>
    </w:pPr>
    <w:rPr>
      <w:rFonts w:ascii="Arial" w:hAnsi="Arial" w:cs="Arial"/>
      <w:sz w:val="24"/>
    </w:rPr>
  </w:style>
  <w:style w:type="paragraph" w:styleId="972" w:customStyle="1">
    <w:name w:val="Верхний колонтитул1"/>
    <w:basedOn w:val="744"/>
    <w:link w:val="973"/>
    <w:uiPriority w:val="99"/>
    <w:pPr>
      <w:tabs>
        <w:tab w:val="center" w:pos="4536" w:leader="none"/>
        <w:tab w:val="right" w:pos="9072" w:leader="none"/>
      </w:tabs>
    </w:pPr>
  </w:style>
  <w:style w:type="character" w:styleId="973" w:customStyle="1">
    <w:name w:val="Верхний колонтитул Знак"/>
    <w:link w:val="972"/>
    <w:uiPriority w:val="99"/>
    <w:semiHidden/>
    <w:rPr>
      <w:lang w:eastAsia="ar-SA"/>
    </w:rPr>
  </w:style>
  <w:style w:type="paragraph" w:styleId="974">
    <w:name w:val="Balloon Text"/>
    <w:basedOn w:val="744"/>
    <w:link w:val="975"/>
    <w:uiPriority w:val="99"/>
    <w:rPr>
      <w:rFonts w:ascii="Tahoma" w:hAnsi="Tahoma" w:cs="Tahoma"/>
      <w:sz w:val="16"/>
      <w:szCs w:val="16"/>
    </w:rPr>
  </w:style>
  <w:style w:type="character" w:styleId="975" w:customStyle="1">
    <w:name w:val="Текст выноски Знак"/>
    <w:link w:val="974"/>
    <w:uiPriority w:val="99"/>
    <w:semiHidden/>
    <w:rPr>
      <w:sz w:val="0"/>
      <w:szCs w:val="0"/>
      <w:lang w:eastAsia="ar-SA"/>
    </w:rPr>
  </w:style>
  <w:style w:type="paragraph" w:styleId="976" w:customStyle="1">
    <w:name w:val="Содержимое таблицы"/>
    <w:basedOn w:val="744"/>
    <w:pPr>
      <w:suppressLineNumbers/>
    </w:pPr>
  </w:style>
  <w:style w:type="paragraph" w:styleId="977" w:customStyle="1">
    <w:name w:val="Заголовок таблицы"/>
    <w:basedOn w:val="976"/>
    <w:pPr>
      <w:jc w:val="center"/>
    </w:pPr>
    <w:rPr>
      <w:b/>
      <w:bCs/>
    </w:rPr>
  </w:style>
  <w:style w:type="paragraph" w:styleId="978" w:customStyle="1">
    <w:name w:val="Содержимое врезки"/>
    <w:basedOn w:val="965"/>
  </w:style>
  <w:style w:type="paragraph" w:styleId="979" w:customStyle="1">
    <w:name w:val="Нижний колонтитул1"/>
    <w:basedOn w:val="744"/>
    <w:link w:val="980"/>
    <w:uiPriority w:val="99"/>
    <w:pPr>
      <w:tabs>
        <w:tab w:val="center" w:pos="4819" w:leader="none"/>
        <w:tab w:val="right" w:pos="9638" w:leader="none"/>
      </w:tabs>
      <w:suppressLineNumbers/>
    </w:pPr>
  </w:style>
  <w:style w:type="character" w:styleId="980" w:customStyle="1">
    <w:name w:val="Нижний колонтитул Знак"/>
    <w:link w:val="979"/>
    <w:uiPriority w:val="99"/>
    <w:rPr>
      <w:lang w:eastAsia="ar-SA"/>
    </w:rPr>
  </w:style>
  <w:style w:type="character" w:styleId="981">
    <w:name w:val="Emphasis"/>
    <w:uiPriority w:val="20"/>
    <w:qFormat/>
    <w:rPr>
      <w:b/>
      <w:bCs/>
      <w:i/>
      <w:iCs/>
      <w:color w:val="5a5a5a"/>
    </w:rPr>
  </w:style>
  <w:style w:type="character" w:styleId="982" w:customStyle="1">
    <w:name w:val="Заголовок №1_"/>
    <w:link w:val="983"/>
    <w:rPr>
      <w:sz w:val="24"/>
      <w:szCs w:val="24"/>
      <w:shd w:val="clear" w:color="auto" w:fill="ffffff"/>
    </w:rPr>
  </w:style>
  <w:style w:type="paragraph" w:styleId="983" w:customStyle="1">
    <w:name w:val="Заголовок №1"/>
    <w:basedOn w:val="744"/>
    <w:link w:val="982"/>
    <w:pPr>
      <w:ind w:firstLine="360"/>
      <w:spacing w:after="360" w:line="0" w:lineRule="atLeast"/>
      <w:shd w:val="clear" w:color="auto" w:fill="ffffff"/>
      <w:outlineLvl w:val="0"/>
    </w:pPr>
    <w:rPr>
      <w:sz w:val="24"/>
      <w:szCs w:val="24"/>
      <w:lang w:eastAsia="ru-RU"/>
    </w:rPr>
  </w:style>
  <w:style w:type="character" w:styleId="984" w:customStyle="1">
    <w:name w:val="Основной текст_"/>
    <w:link w:val="985"/>
    <w:rPr>
      <w:sz w:val="26"/>
      <w:szCs w:val="26"/>
      <w:shd w:val="clear" w:color="auto" w:fill="ffffff"/>
    </w:rPr>
  </w:style>
  <w:style w:type="paragraph" w:styleId="985" w:customStyle="1">
    <w:name w:val="Основной текст2"/>
    <w:basedOn w:val="744"/>
    <w:link w:val="984"/>
    <w:pPr>
      <w:ind w:firstLine="360"/>
      <w:jc w:val="both"/>
      <w:spacing w:before="36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86" w:customStyle="1">
    <w:name w:val="Основной текст (2)_"/>
    <w:link w:val="987"/>
    <w:rPr>
      <w:sz w:val="26"/>
      <w:szCs w:val="26"/>
      <w:shd w:val="clear" w:color="auto" w:fill="ffffff"/>
    </w:rPr>
  </w:style>
  <w:style w:type="paragraph" w:styleId="987" w:customStyle="1">
    <w:name w:val="Основной текст (2)"/>
    <w:basedOn w:val="744"/>
    <w:link w:val="986"/>
    <w:pPr>
      <w:ind w:firstLine="360"/>
      <w:spacing w:before="24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88" w:customStyle="1">
    <w:name w:val="Заголовок №2_"/>
    <w:link w:val="989"/>
    <w:rPr>
      <w:sz w:val="26"/>
      <w:szCs w:val="26"/>
      <w:shd w:val="clear" w:color="auto" w:fill="ffffff"/>
    </w:rPr>
  </w:style>
  <w:style w:type="paragraph" w:styleId="989" w:customStyle="1">
    <w:name w:val="Заголовок №2"/>
    <w:basedOn w:val="744"/>
    <w:link w:val="988"/>
    <w:pPr>
      <w:ind w:firstLine="360"/>
      <w:spacing w:before="240" w:after="360" w:line="0" w:lineRule="atLeast"/>
      <w:shd w:val="clear" w:color="auto" w:fill="ffffff"/>
      <w:outlineLvl w:val="1"/>
    </w:pPr>
    <w:rPr>
      <w:sz w:val="26"/>
      <w:szCs w:val="26"/>
      <w:lang w:eastAsia="ru-RU"/>
    </w:rPr>
  </w:style>
  <w:style w:type="paragraph" w:styleId="990" w:customStyle="1">
    <w:name w:val="WW-Body Text 21"/>
    <w:basedOn w:val="744"/>
    <w:pPr>
      <w:ind w:firstLine="720"/>
      <w:jc w:val="both"/>
    </w:pPr>
    <w:rPr>
      <w:sz w:val="22"/>
      <w:lang w:val="en-US" w:bidi="en-US"/>
    </w:rPr>
  </w:style>
  <w:style w:type="character" w:styleId="991" w:customStyle="1">
    <w:name w:val="Заголовок №1 + Интервал -1 pt"/>
    <w:rPr>
      <w:spacing w:val="-20"/>
      <w:sz w:val="24"/>
      <w:szCs w:val="24"/>
      <w:shd w:val="clear" w:color="auto" w:fill="ffffff"/>
    </w:rPr>
  </w:style>
  <w:style w:type="character" w:styleId="992" w:customStyle="1">
    <w:name w:val="Основной текст + Полужирный"/>
    <w:rPr>
      <w:b/>
      <w:bCs/>
      <w:sz w:val="26"/>
      <w:szCs w:val="26"/>
      <w:shd w:val="clear" w:color="auto" w:fill="ffffff"/>
    </w:rPr>
  </w:style>
  <w:style w:type="character" w:styleId="993" w:customStyle="1">
    <w:name w:val="Основной текст (2) + Не полужирный"/>
    <w:rPr>
      <w:b/>
      <w:bCs/>
      <w:sz w:val="26"/>
      <w:szCs w:val="26"/>
      <w:shd w:val="clear" w:color="auto" w:fill="ffffff"/>
    </w:rPr>
  </w:style>
  <w:style w:type="table" w:styleId="994">
    <w:name w:val="Table Grid"/>
    <w:basedOn w:val="755"/>
    <w:uiPriority w:val="59"/>
    <w:pPr>
      <w:ind w:firstLine="360"/>
    </w:pPr>
    <w:rPr>
      <w:sz w:val="22"/>
      <w:szCs w:val="22"/>
      <w:lang w:val="en-US"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5">
    <w:name w:val="Normal (Web)"/>
    <w:basedOn w:val="744"/>
    <w:uiPriority w:val="99"/>
    <w:semiHidden/>
    <w:unhideWhenUsed/>
    <w:pPr>
      <w:spacing w:after="160" w:line="256" w:lineRule="auto"/>
    </w:pPr>
    <w:rPr>
      <w:rFonts w:eastAsia="Calibri"/>
      <w:sz w:val="24"/>
      <w:szCs w:val="24"/>
      <w:lang w:eastAsia="en-US"/>
    </w:rPr>
  </w:style>
  <w:style w:type="character" w:styleId="996">
    <w:name w:val="Hyperlink"/>
    <w:basedOn w:val="754"/>
    <w:uiPriority w:val="99"/>
    <w:semiHidden/>
    <w:unhideWhenUsed/>
    <w:rPr>
      <w:color w:val="0563c1"/>
      <w:u w:val="single"/>
    </w:rPr>
  </w:style>
  <w:style w:type="paragraph" w:styleId="997">
    <w:name w:val="List Paragraph"/>
    <w:basedOn w:val="744"/>
    <w:link w:val="1003"/>
    <w:uiPriority w:val="34"/>
    <w:qFormat/>
    <w:pPr>
      <w:contextualSpacing/>
      <w:ind w:left="720"/>
    </w:pPr>
  </w:style>
  <w:style w:type="paragraph" w:styleId="998" w:customStyle="1">
    <w:name w:val="Основной текст 21"/>
    <w:semiHidden/>
    <w:unhideWhenUsed/>
    <w:pPr>
      <w:spacing w:after="120" w:line="48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999" w:customStyle="1">
    <w:name w:val="Текст1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  <w:style w:type="paragraph" w:styleId="1000" w:customStyle="1">
    <w:name w:val="Основной текст1"/>
    <w:pPr>
      <w:ind w:firstLine="400"/>
      <w:spacing w:line="264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</w:rPr>
  </w:style>
  <w:style w:type="paragraph" w:styleId="1001" w:customStyle="1">
    <w:name w:val="ConsPlusNormal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1002" w:customStyle="1">
    <w:name w:val="Font Style12"/>
    <w:rPr>
      <w:rFonts w:ascii="Century Schoolbook" w:hAnsi="Century Schoolbook" w:cs="Century Schoolbook"/>
      <w:sz w:val="22"/>
      <w:szCs w:val="22"/>
    </w:rPr>
  </w:style>
  <w:style w:type="character" w:styleId="1003" w:customStyle="1">
    <w:name w:val="Абзац списка Знак"/>
    <w:link w:val="997"/>
    <w:uiPriority w:val="34"/>
    <w:rPr>
      <w:lang w:eastAsia="ar-SA"/>
    </w:rPr>
  </w:style>
  <w:style w:type="character" w:styleId="1004">
    <w:name w:val="annotation reference"/>
    <w:basedOn w:val="754"/>
    <w:uiPriority w:val="99"/>
    <w:semiHidden/>
    <w:unhideWhenUsed/>
    <w:rPr>
      <w:sz w:val="16"/>
      <w:szCs w:val="16"/>
    </w:rPr>
  </w:style>
  <w:style w:type="paragraph" w:styleId="1005">
    <w:name w:val="annotation text"/>
    <w:basedOn w:val="744"/>
    <w:link w:val="1006"/>
    <w:uiPriority w:val="99"/>
    <w:semiHidden/>
    <w:unhideWhenUsed/>
  </w:style>
  <w:style w:type="character" w:styleId="1006" w:customStyle="1">
    <w:name w:val="Текст примечания Знак"/>
    <w:basedOn w:val="754"/>
    <w:link w:val="1005"/>
    <w:uiPriority w:val="99"/>
    <w:semiHidden/>
    <w:rPr>
      <w:lang w:eastAsia="ar-SA"/>
    </w:rPr>
  </w:style>
  <w:style w:type="paragraph" w:styleId="1007">
    <w:name w:val="annotation subject"/>
    <w:basedOn w:val="1005"/>
    <w:next w:val="1005"/>
    <w:link w:val="1008"/>
    <w:uiPriority w:val="99"/>
    <w:semiHidden/>
    <w:unhideWhenUsed/>
    <w:rPr>
      <w:b/>
      <w:bCs/>
    </w:rPr>
  </w:style>
  <w:style w:type="character" w:styleId="1008" w:customStyle="1">
    <w:name w:val="Тема примечания Знак"/>
    <w:basedOn w:val="1006"/>
    <w:link w:val="1007"/>
    <w:uiPriority w:val="99"/>
    <w:semiHidden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omments" Target="comments.xml" /><Relationship Id="rId12" Type="http://schemas.microsoft.com/office/2011/relationships/commentsExtended" Target="commentsExtended.xml" /><Relationship Id="rId13" Type="http://schemas.microsoft.com/office/2018/08/relationships/commentsExtensible" Target="commentsExtensible.xml" /><Relationship Id="rId14" Type="http://schemas.microsoft.com/office/2016/09/relationships/commentsIds" Target="commentsIds.xml" /><Relationship Id="rId15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Лечебно-оздоровительная компания "Здравница"</dc:title>
  <dc:creator>DMITRY    ANNA</dc:creator>
  <cp:lastModifiedBy>ilyushina.a.yu</cp:lastModifiedBy>
  <cp:revision>13</cp:revision>
  <dcterms:created xsi:type="dcterms:W3CDTF">2026-03-11T08:21:00Z</dcterms:created>
  <dcterms:modified xsi:type="dcterms:W3CDTF">2026-03-12T12:18:00Z</dcterms:modified>
</cp:coreProperties>
</file>