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поставку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расходных материалов для выполнения научных исследований.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43"/>
        <w:numPr>
          <w:ilvl w:val="0"/>
          <w:numId w:val="35"/>
        </w:num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Состав и порядок организации поставки.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еагенты для выполнения научных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исследований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(далее по тексту- товар), поставляем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данному техническому заданию указан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в таблице №1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SimSu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Таблица №1</w:t>
      </w:r>
      <w:r>
        <w:rPr>
          <w:rFonts w:ascii="Times New Roman" w:hAnsi="Times New Roman" w:eastAsia="SimSun" w:cs="Times New Roman"/>
          <w:lang w:eastAsia="ru-RU"/>
        </w:rPr>
      </w:r>
      <w:r>
        <w:rPr>
          <w:rFonts w:ascii="Times New Roman" w:hAnsi="Times New Roman" w:eastAsia="SimSun" w:cs="Times New Roman"/>
          <w:lang w:eastAsia="ru-RU"/>
        </w:rPr>
      </w:r>
    </w:p>
    <w:tbl>
      <w:tblPr>
        <w:tblW w:w="5000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6556"/>
        <w:gridCol w:w="1701"/>
        <w:gridCol w:w="1843"/>
        <w:gridCol w:w="1134"/>
        <w:gridCol w:w="3329"/>
      </w:tblGrid>
      <w:tr>
        <w:tblPrEx/>
        <w:trPr>
          <w:trHeight w:val="916"/>
        </w:trPr>
        <w:tc>
          <w:tcPr>
            <w:shd w:val="clear" w:color="ffffff" w:fill="e7e6e6" w:themeFill="background2"/>
            <w:tcW w:w="3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N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65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ОКПД и/или КТРУ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Ед. измерения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Общее кол-во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e7e6e6" w:themeFill="background2"/>
            <w:tcW w:w="3329" w:type="dxa"/>
            <w:textDirection w:val="lrTb"/>
            <w:noWrap w:val="false"/>
          </w:tcPr>
          <w:p>
            <w:pPr>
              <w:jc w:val="center"/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  <w:t xml:space="preserve">          Срок доставки товара Заказчику</w:t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353"/>
        </w:trPr>
        <w:tc>
          <w:tcPr>
            <w:shd w:val="clear" w:color="ffffff" w:fill="ffffff"/>
            <w:tcW w:w="360" w:type="dxa"/>
            <w:vAlign w:val="center"/>
            <w:textDirection w:val="lrTb"/>
            <w:noWrap w:val="false"/>
          </w:tcPr>
          <w:p>
            <w:pPr>
              <w:pStyle w:val="943"/>
              <w:numPr>
                <w:ilvl w:val="0"/>
                <w:numId w:val="36"/>
              </w:numPr>
              <w:contextualSpacing w:val="0"/>
              <w:ind w:left="0" w:right="-108" w:firstLine="0"/>
              <w:jc w:val="center"/>
              <w:spacing w:after="0" w:line="240" w:lineRule="auto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6" w:type="dxa"/>
            <w:vAlign w:val="center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Флуорогенный субстрат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  <w:t xml:space="preserve">MUNANA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2′-(4-Methylumbelliferyl)-α-D-N-acetylneuraminic acid sodium salt hydrate fluorogenic, ≥95% (HPLC), powder, 25 MG 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  <w:t xml:space="preserve">артикул Sigma-Aldrich M8639-25MG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29" w:type="dxa"/>
            <w:vAlign w:val="center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Cs/>
                <w:sz w:val="20"/>
                <w:szCs w:val="20"/>
                <w:lang w:eastAsia="ru-RU"/>
              </w:rPr>
              <w:t xml:space="preserve">Срок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Cs/>
                <w:sz w:val="20"/>
                <w:szCs w:val="20"/>
                <w:lang w:eastAsia="ru-RU"/>
              </w:rPr>
              <w:t xml:space="preserve">доставки до 10.12.2026 г. включительно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943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Поступивший груз должен быть доставлен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197376, г. Санкт-Петербург, ул. Профессора Попова, д.15/17, лит. Б, (ЛЭВИ, 2 этаж, лифт отсутствует)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Товар поставляется Поставщиком самостоятельно до места доставки (с разгрузкой, подъемом на этаж, заносом в кабинет)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с предварительным информированием Заказчика по телефону +7 (812) 499-15-61,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либо на эл.адрес:</w:t>
      </w:r>
      <w:r>
        <w:rPr>
          <w:rFonts w:ascii="Times New Roman" w:hAnsi="Times New Roman" w:cs="Times New Roman"/>
          <w:b/>
          <w:sz w:val="24"/>
          <w:szCs w:val="24"/>
        </w:rPr>
        <w:t xml:space="preserve"> maksim.durnov@influenz</w:t>
      </w:r>
      <w:r>
        <w:rPr>
          <w:rFonts w:ascii="Times New Roman" w:hAnsi="Times New Roman" w:cs="Times New Roman"/>
          <w:b/>
          <w:sz w:val="24"/>
          <w:szCs w:val="24"/>
        </w:rPr>
        <w:t xml:space="preserve">a.spb.ru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за 2 рабочих дня до даты предполагаемой доставки.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Рабочее время Заказчика для принятия Товара с понедельника по четверг с 9-00ч до 15-45ч, в пятницу с 9-00ч до 14-30ч, суббота, воскресенье – выходные дни (по местному времени).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Поставщиком должен исполняться комплекс мероприятий по организации холодовых цепей на базе измерителей-регистраторов, которые применяются для контроля температуры при доставке товара до момента передачи его Заказчику.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Независимо от количества привлекаемых для доставки товара субподрядных организаций должна обеспечиваться возможность документирования температурного режима груза от момента отгрузки товара и до момента получения груза Заказчиком. В каждом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термоконтейнере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долж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находиться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терморегистратор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отправке груза Поставщик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8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 менее чем за 48 часов уведомить Заказчика о дате прибытия товара;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8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температурном режиме хранения его отдельных компонентов;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8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схеме раскладки по промаркированным Поставщиком для упрощения проверки по номенклатуре и количеству термоконтейнерам и иной транспортной таре (коробкам, контейнерам, ящикам);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8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номера пломбировочных устройств и номера термоиндикаторов с местами их закладки.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Упаковки, содержащие товар с заданным температурным диапазоном хранения и перевозки, должны иметь соответствующую маркировку.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Принимая во внимание сложно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сть поставляемых компонентов и его высокую стоимость, при приемке товара должен присутствовать представитель Поставщика, действующий по доверенности, выданной уполномоченным руководителем Поставщика для проведения действий по передаче товара по Контракту.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отказа Поставщика от направления представителя для передачи 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ара в месте получения груза Заказчиком или его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отсутствии при прибытии указанного товара к месту выгрузки, в в товаросопроводительных документах при приемке товара Заказчиком указывается информация  об отсутствии уполномоченного представителя Поставщика. В этом случае проверка груза проводится представ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ителями Заказчика самостоятельно и его результаты (проверка результатов контроля холодовой цепи, 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товара включает в себя: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7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в специализированной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термо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упаковке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реагентов требующих соблюдения температурного диапазона при хранении и транспортировке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по адресу Заказчика;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7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распаковку,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месту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размещения на складе Заказчика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оказание указанных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Поставщиком входит в стоимость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7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неукоснительное соблюдение Поставщиком мероприятий по осуществлению контроля холодовой цепи. Терморегистраторы должны находиться в опечатанных вместе с товаром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7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выполнение совместно с представителями Заказчика контроля температурного режима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(товар, поставленный с нарушением режима температуры хранения Заказчиком не принимается и подлежит замене)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составления акта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приема-передачи 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компании, действующие по соглашению сторон и фиксирующие сведения изложенные в акте доставки товара.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Датой доставки товара считается дата подписания: первичного сопроводительного документа (акт приема-передачи, накладная и т.п. в котором обязательны к указанию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наименование Контракта, наименование товара в соответствии с Контрактом, количество, ед.измерения, даты и подписи  представителей сторон) подтверждающего доставку до Заказчика и переданного Заказчику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обнаружения некачественной  доставки товара составляется акт к составлению которого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0"/>
        <w:spacing w:after="0" w:line="240" w:lineRule="auto"/>
        <w:rPr>
          <w:rFonts w:ascii="XO Thames" w:hAnsi="XO Thames" w:cs="XO Thames"/>
          <w:b/>
          <w:bCs/>
          <w:sz w:val="24"/>
          <w:szCs w:val="24"/>
          <w:highlight w:val="none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ru-RU"/>
        </w:rPr>
        <w:t xml:space="preserve">Дополнительные требования:</w:t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Требования к качеству поставляемого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Весь поставляемый Товар должен соответствовать государственным стандартам, санитарно-гигиеническим и пожарным нормам, должен быть разрешенным  для  применения ..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свойства)., а также к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ачество Товара должно соответствовать требованиям завода-изготовителя ,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 иным требованиям ГОСТов для данного вида товара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и подтверждаться при осуществлении поставки документами качества, необходимыми согласно действующему законодательству: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регистрационных удостоверений 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(при наличии).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;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деклараций соответствия или сертификатов соответствия, предлагаемыми к поставке на каждую партию поставляемого Товара (при наличии).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Вся сопроводительная информация о поставляемом Товаре должна иметь информацию на русском языке, перевод на русский язык. Товар должен иметь маркиров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Качественные характеристики и функциональные характеристики (потребительские свойства) Товара должны полностью соответствовать описанию объекта закупки.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При возникновении сомнений в качестве, эффективности и безопасности товара, Заказчик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может провести его дополнительную (внешнюю) экспертизу. При получении заключения экспертизы о несоответствии товара качеству эффективности и безопасности принятому для данного вида товара, расходы, связанные с её проведением возмещаются Поставщиком в бессп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орном порядке в полном объеме. 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При поставке некачественного Товара срок его замены на Товар надлежащего качества осуществляется Поставщиком за его счет и в срок, согласованные Заказчиком и Поставщиком н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 более 20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рабочих дней с момента поступления претензии от Заказчика, переданной посредством факсимильного или электронного сообщения 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333333"/>
          <w:sz w:val="24"/>
          <w:szCs w:val="24"/>
        </w:rPr>
        <w:t xml:space="preserve">В случае в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ыявления недостатков качества Товара в процессе его непосредственной эксплуатации, установлен особый порядок предъявления претензи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й по качеству, а именно:</w:t>
      </w:r>
      <w:r>
        <w:rPr>
          <w:rFonts w:ascii="XO Thames" w:hAnsi="XO Thames" w:cs="XO Thames"/>
          <w:b w:val="0"/>
          <w:bCs w:val="0"/>
          <w:sz w:val="24"/>
          <w:szCs w:val="24"/>
        </w:rPr>
      </w:r>
      <w:r>
        <w:rPr>
          <w:rFonts w:ascii="XO Thames" w:hAnsi="XO Thames" w:cs="XO Thames"/>
          <w:b w:val="0"/>
          <w:bCs w:val="0"/>
          <w:sz w:val="24"/>
          <w:szCs w:val="24"/>
        </w:rPr>
      </w:r>
    </w:p>
    <w:p>
      <w:pPr>
        <w:pStyle w:val="943"/>
        <w:numPr>
          <w:ilvl w:val="0"/>
          <w:numId w:val="40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заказчик вправе предъявить требование о замене товара в случае обнаружения недостатков, в т. ч. по истечении сроков, предусмотренных 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разделом  контракта (гарантийные обязательства и т. д.).</w:t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</w:p>
    <w:p>
      <w:pPr>
        <w:pStyle w:val="943"/>
        <w:numPr>
          <w:ilvl w:val="0"/>
          <w:numId w:val="39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для инициирования процедуры замены Заказчик направляет Поставщику письменное требование на электронный адрес, указанный в карточке, с подробным описанием выявленных недостатков и, при наличии, приложением подтверждающих материалов (фото-,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 видеофиксация, акты и т. п.).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pStyle w:val="943"/>
        <w:numPr>
          <w:ilvl w:val="0"/>
          <w:numId w:val="39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поставщик обязуется осуществить замену некачественного товара в течение 40 (сорока) календарных дней с даты получения                    указанного           требования.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сроку годности: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eastAsia="XO Thames" w:cs="XO Thames"/>
          <w:b/>
          <w:bCs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color w:val="000000"/>
          <w:sz w:val="24"/>
          <w:szCs w:val="24"/>
        </w:rPr>
        <w:t xml:space="preserve">Остаточный срок годности поставляемого товара на дату поставки составляет не менее 75%  от общего срока годности товара.</w:t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Гарантийный срок Поставщика должен составлять не менее 12 месяцев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Заказчику. Гарантия распространяется на сохранение стерильности, целостности упаковки и соответствие техническим характеристикам, указанным в технической документации производителя. Поста</w:t>
      </w:r>
      <w:r>
        <w:rPr>
          <w:rFonts w:ascii="Times New Roman" w:hAnsi="Times New Roman"/>
          <w:sz w:val="24"/>
          <w:szCs w:val="24"/>
          <w:lang w:eastAsia="ru-RU"/>
        </w:rPr>
        <w:t xml:space="preserve">вщик обязуется бесплатно заменить товар или устранить дефекты, возникшие по вине производителя, в течение гарантийного срока при условии соблюдения заказчиком правил хранения, транспортировки и использования, предусмотренных эксплуатационной документацией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</w:rPr>
      </w:r>
      <w:r>
        <w:rPr>
          <w:rFonts w:ascii="XO Thames" w:hAnsi="XO Thames" w:cs="XO Thames"/>
          <w:b/>
          <w:bCs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транспортировке, таре, упаковке и маркировке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Доставка товара, разгрузочно-погрузочные работы осуществляются транспортом Поставщика и за его счет.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Товар должен быть доставлен по адресу Заказчика транспортом, обеспечивающим сохранность товара от загряз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безопасное применение, при несоблюдении данных условий весь товар разгрузке по адресу Заказчика не подлежит.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Товар должен поставляться в таре, упаковке, обеспечивающей сохранность и качество товара при перевозке и хранении.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Тара, упаковка и маркировка Товара должны соответствовать требованиям, установленным законодательством Российской Федерации, а тара, упаковка и маркировка импортного Товара – международным стандартам и обеспечивать возможность количественного учета поставл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енного Товара.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pP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В случае  многокомпонентного товара типа набора  каждая упаковка должна содержать  маркировку позволяющую 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идентифици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р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о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в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а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т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ь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  набор в комплекте</w:t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Поставщик должен обеспечить упаковку Товара, способную предотвратить их повреждение или порчу во время перевозки к конечным пунктам назначения. Упаковка должна выдерживать воздействие экстремальных температур и осадков во время перевозки.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color w:val="000000" w:themeColor="text1"/>
          <w:sz w:val="22"/>
          <w:szCs w:val="22"/>
          <w:highlight w:val="none"/>
        </w:rPr>
      </w:pP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Требуемые характеристики товара.(</w:t>
      </w:r>
      <w:r>
        <w:rPr>
          <w:rFonts w:eastAsia="Times New Roman" w:cs="Times New Roman"/>
          <w:b/>
          <w:sz w:val="28"/>
          <w:szCs w:val="28"/>
        </w:rPr>
        <w:t xml:space="preserve">ОПИСАНИЕ ОБЪЕКТА ЗАКУПКИ</w:t>
      </w:r>
      <w:r>
        <w:rPr>
          <w:rFonts w:eastAsia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right="57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Каталог товаров, работ, услуг для обеспечения государственных и муниципальных нужд не применяется из-за отсутствия в каталоге позиций с требуемым набором параметров.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Характеристики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изложены в Таблице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Style w:val="951"/>
        <w:tblW w:w="0" w:type="auto"/>
        <w:tblLook w:val="04A0" w:firstRow="1" w:lastRow="0" w:firstColumn="1" w:lastColumn="0" w:noHBand="0" w:noVBand="1"/>
      </w:tblPr>
      <w:tblGrid>
        <w:gridCol w:w="945"/>
        <w:gridCol w:w="1350"/>
        <w:gridCol w:w="1020"/>
        <w:gridCol w:w="3840"/>
        <w:gridCol w:w="2025"/>
        <w:gridCol w:w="1320"/>
        <w:gridCol w:w="2880"/>
        <w:gridCol w:w="1965"/>
        <w:gridCol w:w="870"/>
        <w:gridCol w:w="720"/>
      </w:tblGrid>
      <w:tr>
        <w:tblPrEx/>
        <w:trPr>
          <w:trHeight w:val="300"/>
        </w:trPr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93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1.   Функциональные, технические, качественные, эксплуатационные характеристики объекта закупки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№ 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Наименование товара, работы,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Код товара,работы, услуги по ОКПД2 / КТРУ</w:t>
            </w:r>
            <w:r/>
          </w:p>
        </w:tc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03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Функциональные, технические, качественные, эксплуатационные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Единица измерения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Количество</w:t>
            </w:r>
            <w:r/>
          </w:p>
        </w:tc>
      </w:tr>
      <w:tr>
        <w:tblPrEx/>
        <w:trPr>
          <w:trHeight w:val="12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Наименование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Значение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Единица измерения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Инструкция по заполнению характеристик в заявке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Обоснование включения дополнительной информации в сведения о товаре, работе, услуге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Флуорогенный субстрат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  <w:t xml:space="preserve">MUNANA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</w:rPr>
              <w:t xml:space="preserve">2′-(4-Methylumbelliferyl)-α-D-N-acetylneuraminic acid sodium salt hydrate fluorogenic, ≥95% (HPLC), powder, 25 MG 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  <w:t xml:space="preserve">артикул Sigma-Aldrich M8639-25MG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Предназначен для флуоресцентного окрашивания нейраминидаз в электрофорезе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Форма поставки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Порошок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Масса поставкине менее 25 мг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Цвет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От белого до светло-желтого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Растворимость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Водорастворимый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Молекулярная масса489,41г/моль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Чистота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≥ 95 и ≤ 100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процент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Участник закупки указывает в заявке конкретное значение характеристики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Содержание воды (по Карлу Фишеру)не более 8,5%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  <w:tr>
        <w:tblPrEx/>
        <w:trPr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Флуорогенный субстрат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20.59.52.199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Массовая доля натрия (в пересчете на безводное вещество)3,6-5,8%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Соответствие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2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Значение характеристики не может изменяться участником закупки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КТРУ не имеется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7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штука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2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u w:val="none"/>
                <w:vertAlign w:val="baseline"/>
              </w:rPr>
              <w:t xml:space="preserve">4</w:t>
            </w:r>
            <w:r/>
          </w:p>
        </w:tc>
      </w:tr>
    </w:tbl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0"/>
        <w:jc w:val="left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1134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undefined"/>
      <w:r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5840" w:h="12240" w:orient="landscape"/>
      <w:pgMar w:top="1134" w:right="567" w:bottom="567" w:left="567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imSun">
    <w:panose1 w:val="02000604000000000000"/>
  </w:font>
  <w:font w:name="Wingdings">
    <w:panose1 w:val="05010000000000000000"/>
  </w:font>
  <w:font w:name="Symbol">
    <w:panose1 w:val="05050102000706020507"/>
  </w:font>
  <w:font w:name="Calibri">
    <w:panose1 w:val="020F0502020204030204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85397428"/>
      <w:docPartObj>
        <w:docPartGallery w:val="Page Numbers (Top of Page)"/>
        <w:docPartUnique w:val="true"/>
      </w:docPartObj>
      <w:rPr/>
    </w:sdtPr>
    <w:sdtContent>
      <w:p>
        <w:pPr>
          <w:pStyle w:val="94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4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/>
      <w:suff w:val="tab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37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3"/>
  </w:num>
  <w:num w:numId="5">
    <w:abstractNumId w:val="12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5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8"/>
  </w:num>
  <w:num w:numId="16">
    <w:abstractNumId w:val="7"/>
  </w:num>
  <w:num w:numId="17">
    <w:abstractNumId w:val="21"/>
  </w:num>
  <w:num w:numId="18">
    <w:abstractNumId w:val="1"/>
  </w:num>
  <w:num w:numId="19">
    <w:abstractNumId w:val="19"/>
  </w:num>
  <w:num w:numId="20">
    <w:abstractNumId w:val="17"/>
  </w:num>
  <w:num w:numId="21">
    <w:abstractNumId w:val="16"/>
  </w:num>
  <w:num w:numId="22">
    <w:abstractNumId w:val="2"/>
  </w:num>
  <w:num w:numId="23">
    <w:abstractNumId w:val="2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8">
    <w:name w:val="Heading 1"/>
    <w:basedOn w:val="939"/>
    <w:next w:val="939"/>
    <w:link w:val="7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9">
    <w:name w:val="Heading 1 Char"/>
    <w:basedOn w:val="940"/>
    <w:link w:val="768"/>
    <w:uiPriority w:val="9"/>
    <w:rPr>
      <w:rFonts w:ascii="Arial" w:hAnsi="Arial" w:eastAsia="Arial" w:cs="Arial"/>
      <w:sz w:val="40"/>
      <w:szCs w:val="40"/>
    </w:rPr>
  </w:style>
  <w:style w:type="paragraph" w:styleId="770">
    <w:name w:val="Heading 2"/>
    <w:basedOn w:val="939"/>
    <w:next w:val="939"/>
    <w:link w:val="7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1">
    <w:name w:val="Heading 2 Char"/>
    <w:basedOn w:val="940"/>
    <w:link w:val="770"/>
    <w:uiPriority w:val="9"/>
    <w:rPr>
      <w:rFonts w:ascii="Arial" w:hAnsi="Arial" w:eastAsia="Arial" w:cs="Arial"/>
      <w:sz w:val="34"/>
    </w:rPr>
  </w:style>
  <w:style w:type="paragraph" w:styleId="772">
    <w:name w:val="Heading 3"/>
    <w:basedOn w:val="939"/>
    <w:next w:val="939"/>
    <w:link w:val="7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3">
    <w:name w:val="Heading 3 Char"/>
    <w:basedOn w:val="940"/>
    <w:link w:val="772"/>
    <w:uiPriority w:val="9"/>
    <w:rPr>
      <w:rFonts w:ascii="Arial" w:hAnsi="Arial" w:eastAsia="Arial" w:cs="Arial"/>
      <w:sz w:val="30"/>
      <w:szCs w:val="30"/>
    </w:rPr>
  </w:style>
  <w:style w:type="paragraph" w:styleId="774">
    <w:name w:val="Heading 4"/>
    <w:basedOn w:val="939"/>
    <w:next w:val="939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5">
    <w:name w:val="Heading 4 Char"/>
    <w:basedOn w:val="940"/>
    <w:link w:val="774"/>
    <w:uiPriority w:val="9"/>
    <w:rPr>
      <w:rFonts w:ascii="Arial" w:hAnsi="Arial" w:eastAsia="Arial" w:cs="Arial"/>
      <w:b/>
      <w:bCs/>
      <w:sz w:val="26"/>
      <w:szCs w:val="26"/>
    </w:rPr>
  </w:style>
  <w:style w:type="paragraph" w:styleId="776">
    <w:name w:val="Heading 5"/>
    <w:basedOn w:val="939"/>
    <w:next w:val="939"/>
    <w:link w:val="7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7">
    <w:name w:val="Heading 5 Char"/>
    <w:basedOn w:val="940"/>
    <w:link w:val="776"/>
    <w:uiPriority w:val="9"/>
    <w:rPr>
      <w:rFonts w:ascii="Arial" w:hAnsi="Arial" w:eastAsia="Arial" w:cs="Arial"/>
      <w:b/>
      <w:bCs/>
      <w:sz w:val="24"/>
      <w:szCs w:val="24"/>
    </w:rPr>
  </w:style>
  <w:style w:type="paragraph" w:styleId="778">
    <w:name w:val="Heading 6"/>
    <w:basedOn w:val="939"/>
    <w:next w:val="939"/>
    <w:link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9">
    <w:name w:val="Heading 6 Char"/>
    <w:basedOn w:val="940"/>
    <w:link w:val="778"/>
    <w:uiPriority w:val="9"/>
    <w:rPr>
      <w:rFonts w:ascii="Arial" w:hAnsi="Arial" w:eastAsia="Arial" w:cs="Arial"/>
      <w:b/>
      <w:bCs/>
      <w:sz w:val="22"/>
      <w:szCs w:val="22"/>
    </w:rPr>
  </w:style>
  <w:style w:type="paragraph" w:styleId="780">
    <w:name w:val="Heading 7"/>
    <w:basedOn w:val="939"/>
    <w:next w:val="939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>
    <w:name w:val="Heading 7 Char"/>
    <w:basedOn w:val="940"/>
    <w:link w:val="7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2">
    <w:name w:val="Heading 8"/>
    <w:basedOn w:val="939"/>
    <w:next w:val="939"/>
    <w:link w:val="7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3">
    <w:name w:val="Heading 8 Char"/>
    <w:basedOn w:val="940"/>
    <w:link w:val="782"/>
    <w:uiPriority w:val="9"/>
    <w:rPr>
      <w:rFonts w:ascii="Arial" w:hAnsi="Arial" w:eastAsia="Arial" w:cs="Arial"/>
      <w:i/>
      <w:iCs/>
      <w:sz w:val="22"/>
      <w:szCs w:val="22"/>
    </w:rPr>
  </w:style>
  <w:style w:type="paragraph" w:styleId="784">
    <w:name w:val="Heading 9"/>
    <w:basedOn w:val="939"/>
    <w:next w:val="939"/>
    <w:link w:val="7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5">
    <w:name w:val="Heading 9 Char"/>
    <w:basedOn w:val="940"/>
    <w:link w:val="784"/>
    <w:uiPriority w:val="9"/>
    <w:rPr>
      <w:rFonts w:ascii="Arial" w:hAnsi="Arial" w:eastAsia="Arial" w:cs="Arial"/>
      <w:i/>
      <w:iCs/>
      <w:sz w:val="21"/>
      <w:szCs w:val="21"/>
    </w:r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39"/>
    <w:next w:val="939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basedOn w:val="940"/>
    <w:link w:val="787"/>
    <w:uiPriority w:val="10"/>
    <w:rPr>
      <w:sz w:val="48"/>
      <w:szCs w:val="48"/>
    </w:rPr>
  </w:style>
  <w:style w:type="paragraph" w:styleId="789">
    <w:name w:val="Subtitle"/>
    <w:basedOn w:val="939"/>
    <w:next w:val="939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basedOn w:val="940"/>
    <w:link w:val="789"/>
    <w:uiPriority w:val="11"/>
    <w:rPr>
      <w:sz w:val="24"/>
      <w:szCs w:val="24"/>
    </w:rPr>
  </w:style>
  <w:style w:type="paragraph" w:styleId="791">
    <w:name w:val="Quote"/>
    <w:basedOn w:val="939"/>
    <w:next w:val="939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39"/>
    <w:next w:val="939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character" w:styleId="795">
    <w:name w:val="Header Char"/>
    <w:basedOn w:val="940"/>
    <w:link w:val="944"/>
    <w:uiPriority w:val="99"/>
  </w:style>
  <w:style w:type="character" w:styleId="796">
    <w:name w:val="Footer Char"/>
    <w:basedOn w:val="940"/>
    <w:link w:val="946"/>
    <w:uiPriority w:val="99"/>
  </w:style>
  <w:style w:type="paragraph" w:styleId="797">
    <w:name w:val="Caption"/>
    <w:basedOn w:val="939"/>
    <w:next w:val="939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940"/>
    <w:link w:val="797"/>
    <w:uiPriority w:val="35"/>
    <w:rPr>
      <w:b/>
      <w:bCs/>
      <w:color w:val="4f81bd" w:themeColor="accent1"/>
      <w:sz w:val="18"/>
      <w:szCs w:val="18"/>
    </w:rPr>
  </w:style>
  <w:style w:type="table" w:styleId="799">
    <w:name w:val="Table Grid Light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9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basedOn w:val="9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98">
    <w:name w:val="List Table 7 Colorful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9">
    <w:name w:val="List Table 7 Colorful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0">
    <w:name w:val="List Table 7 Colorful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1">
    <w:name w:val="List Table 7 Colorful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02">
    <w:name w:val="List Table 7 Colorful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3">
    <w:name w:val="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05">
    <w:name w:val="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6">
    <w:name w:val="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7">
    <w:name w:val="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8">
    <w:name w:val="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9">
    <w:name w:val="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0">
    <w:name w:val="Bordered &amp; Lined - Accent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12">
    <w:name w:val="Bordered &amp; Lined - Accent 2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3">
    <w:name w:val="Bordered &amp; Lined - Accent 3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4">
    <w:name w:val="Bordered &amp; Lined - Accent 4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5">
    <w:name w:val="Bordered &amp; Lined - Accent 5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16">
    <w:name w:val="Bordered &amp; Lined - Accent 6"/>
    <w:basedOn w:val="9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7">
    <w:name w:val="Bordered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basedOn w:val="9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4">
    <w:name w:val="Footnote Text Char"/>
    <w:link w:val="952"/>
    <w:uiPriority w:val="99"/>
    <w:rPr>
      <w:sz w:val="18"/>
    </w:rPr>
  </w:style>
  <w:style w:type="paragraph" w:styleId="925">
    <w:name w:val="endnote text"/>
    <w:basedOn w:val="939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basedOn w:val="940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qFormat/>
  </w:style>
  <w:style w:type="character" w:styleId="940" w:default="1">
    <w:name w:val="Default Paragraph Font"/>
    <w:uiPriority w:val="1"/>
    <w:semiHidden/>
    <w:unhideWhenUsed/>
  </w:style>
  <w:style w:type="table" w:styleId="9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2" w:default="1">
    <w:name w:val="No List"/>
    <w:uiPriority w:val="99"/>
    <w:semiHidden/>
    <w:unhideWhenUsed/>
  </w:style>
  <w:style w:type="paragraph" w:styleId="943">
    <w:name w:val="List Paragraph"/>
    <w:basedOn w:val="939"/>
    <w:uiPriority w:val="34"/>
    <w:qFormat/>
    <w:pPr>
      <w:contextualSpacing/>
      <w:ind w:left="720"/>
    </w:pPr>
  </w:style>
  <w:style w:type="paragraph" w:styleId="944">
    <w:name w:val="Header"/>
    <w:basedOn w:val="939"/>
    <w:link w:val="94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5" w:customStyle="1">
    <w:name w:val="Верхний колонтитул Знак"/>
    <w:basedOn w:val="940"/>
    <w:link w:val="944"/>
    <w:uiPriority w:val="99"/>
  </w:style>
  <w:style w:type="paragraph" w:styleId="946">
    <w:name w:val="Footer"/>
    <w:basedOn w:val="939"/>
    <w:link w:val="9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7" w:customStyle="1">
    <w:name w:val="Нижний колонтитул Знак"/>
    <w:basedOn w:val="940"/>
    <w:link w:val="946"/>
    <w:uiPriority w:val="99"/>
  </w:style>
  <w:style w:type="character" w:styleId="948" w:customStyle="1">
    <w:name w:val="product-details-list__container_block_description"/>
    <w:basedOn w:val="940"/>
  </w:style>
  <w:style w:type="character" w:styleId="949">
    <w:name w:val="Hyperlink"/>
    <w:basedOn w:val="940"/>
    <w:uiPriority w:val="99"/>
    <w:unhideWhenUsed/>
    <w:rPr>
      <w:color w:val="0563c1" w:themeColor="hyperlink"/>
      <w:u w:val="single"/>
    </w:rPr>
  </w:style>
  <w:style w:type="character" w:styleId="950" w:customStyle="1">
    <w:name w:val="Неразрешенное упоминание1"/>
    <w:basedOn w:val="940"/>
    <w:uiPriority w:val="99"/>
    <w:semiHidden/>
    <w:unhideWhenUsed/>
    <w:rPr>
      <w:color w:val="605e5c"/>
      <w:shd w:val="clear" w:color="auto" w:fill="e1dfdd"/>
    </w:rPr>
  </w:style>
  <w:style w:type="table" w:styleId="951">
    <w:name w:val="Table Grid"/>
    <w:basedOn w:val="9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2">
    <w:name w:val="footnote text"/>
    <w:basedOn w:val="939"/>
    <w:link w:val="95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53" w:customStyle="1">
    <w:name w:val="Текст сноски Знак"/>
    <w:basedOn w:val="940"/>
    <w:link w:val="952"/>
    <w:uiPriority w:val="99"/>
    <w:semiHidden/>
    <w:rPr>
      <w:sz w:val="20"/>
      <w:szCs w:val="20"/>
    </w:rPr>
  </w:style>
  <w:style w:type="character" w:styleId="954">
    <w:name w:val="footnote reference"/>
    <w:basedOn w:val="940"/>
    <w:uiPriority w:val="99"/>
    <w:semiHidden/>
    <w:unhideWhenUsed/>
    <w:rPr>
      <w:vertAlign w:val="superscript"/>
    </w:rPr>
  </w:style>
  <w:style w:type="paragraph" w:styleId="955" w:customStyle="1">
    <w:name w:val="Table Paragraph"/>
    <w:basedOn w:val="939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numbering" w:styleId="956" w:customStyle="1">
    <w:name w:val="Нет списка1"/>
    <w:next w:val="942"/>
    <w:uiPriority w:val="99"/>
    <w:semiHidden/>
    <w:unhideWhenUsed/>
  </w:style>
  <w:style w:type="table" w:styleId="957" w:customStyle="1">
    <w:name w:val="Сетка таблицы1"/>
    <w:basedOn w:val="941"/>
    <w:next w:val="9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8">
    <w:name w:val="FollowedHyperlink"/>
    <w:basedOn w:val="940"/>
    <w:uiPriority w:val="99"/>
    <w:semiHidden/>
    <w:unhideWhenUsed/>
    <w:rPr>
      <w:color w:val="954f72"/>
      <w:u w:val="single"/>
    </w:rPr>
  </w:style>
  <w:style w:type="paragraph" w:styleId="959" w:customStyle="1">
    <w:name w:val="msonormal"/>
    <w:basedOn w:val="9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0" w:customStyle="1">
    <w:name w:val="xl63"/>
    <w:basedOn w:val="939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1" w:customStyle="1">
    <w:name w:val="xl64"/>
    <w:basedOn w:val="939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2" w:customStyle="1">
    <w:name w:val="xl65"/>
    <w:basedOn w:val="939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 w:customStyle="1">
    <w:name w:val="xl66"/>
    <w:basedOn w:val="939"/>
    <w:pPr>
      <w:jc w:val="center"/>
      <w:spacing w:before="100" w:beforeAutospacing="1" w:after="100" w:afterAutospacing="1" w:line="240" w:lineRule="auto"/>
      <w:shd w:val="clear" w:color="000000" w:fill="d9d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64">
    <w:name w:val="annotation reference"/>
    <w:basedOn w:val="940"/>
    <w:uiPriority w:val="99"/>
    <w:semiHidden/>
    <w:unhideWhenUsed/>
    <w:rPr>
      <w:sz w:val="16"/>
      <w:szCs w:val="16"/>
    </w:rPr>
  </w:style>
  <w:style w:type="paragraph" w:styleId="965">
    <w:name w:val="annotation text"/>
    <w:basedOn w:val="939"/>
    <w:link w:val="96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66" w:customStyle="1">
    <w:name w:val="Текст примечания Знак"/>
    <w:basedOn w:val="940"/>
    <w:link w:val="965"/>
    <w:uiPriority w:val="99"/>
    <w:semiHidden/>
    <w:rPr>
      <w:sz w:val="20"/>
      <w:szCs w:val="20"/>
    </w:rPr>
  </w:style>
  <w:style w:type="paragraph" w:styleId="967">
    <w:name w:val="annotation subject"/>
    <w:basedOn w:val="965"/>
    <w:next w:val="965"/>
    <w:link w:val="968"/>
    <w:uiPriority w:val="99"/>
    <w:semiHidden/>
    <w:unhideWhenUsed/>
    <w:rPr>
      <w:b/>
      <w:bCs/>
    </w:rPr>
  </w:style>
  <w:style w:type="character" w:styleId="968" w:customStyle="1">
    <w:name w:val="Тема примечания Знак"/>
    <w:basedOn w:val="966"/>
    <w:link w:val="967"/>
    <w:uiPriority w:val="99"/>
    <w:semiHidden/>
    <w:rPr>
      <w:b/>
      <w:bCs/>
      <w:sz w:val="20"/>
      <w:szCs w:val="20"/>
    </w:rPr>
  </w:style>
  <w:style w:type="paragraph" w:styleId="969">
    <w:name w:val="Balloon Text"/>
    <w:basedOn w:val="939"/>
    <w:link w:val="97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70" w:customStyle="1">
    <w:name w:val="Текст выноски Знак"/>
    <w:basedOn w:val="940"/>
    <w:link w:val="969"/>
    <w:uiPriority w:val="99"/>
    <w:semiHidden/>
    <w:rPr>
      <w:rFonts w:ascii="Segoe UI" w:hAnsi="Segoe UI" w:cs="Segoe UI"/>
      <w:sz w:val="18"/>
      <w:szCs w:val="18"/>
    </w:rPr>
  </w:style>
  <w:style w:type="paragraph" w:styleId="971" w:customStyle="1">
    <w:name w:val="Normal (Web)"/>
    <w:basedOn w:val="892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2" w:customStyle="1">
    <w:name w:val="HTML Preformatted"/>
    <w:basedOn w:val="892"/>
    <w:link w:val="920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3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7F81-E19F-4393-8718-F0DBB7B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oksana.bratchenko</cp:lastModifiedBy>
  <cp:revision>50</cp:revision>
  <dcterms:created xsi:type="dcterms:W3CDTF">2025-04-10T07:59:00Z</dcterms:created>
  <dcterms:modified xsi:type="dcterms:W3CDTF">2026-08-20T17:06:54Z</dcterms:modified>
</cp:coreProperties>
</file>