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media/image4.wmf" ContentType="image/x-wmf"/>
  <Override PartName="/word/media/image5.wmf" ContentType="image/x-wmf"/>
  <Override PartName="/word/media/image1.wmf" ContentType="image/x-wmf"/>
  <Override PartName="/word/media/image2.wmf" ContentType="image/x-wmf"/>
  <Override PartName="/word/media/image3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8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Технико-экономическое обоснование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Федеральным законом № 44-ФЗ от 05.04.2013 «О контрактной системе </w:t>
        <w:br/>
        <w:t>в сфере закупок товаров, работ, услуг для обеспечения государственных и муниципальных нужд» был проведен мониторинг (анализ рынка) методом сопоставления рыночных цен.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рамках проведенного мониторинга была изучена общедоступная информация:</w:t>
      </w:r>
    </w:p>
    <w:p>
      <w:pPr>
        <w:pStyle w:val="Style50"/>
        <w:widowControl/>
        <w:tabs>
          <w:tab w:val="clear" w:pos="343"/>
          <w:tab w:val="left" w:pos="0" w:leader="none"/>
        </w:tabs>
        <w:spacing w:lineRule="auto" w:line="240"/>
        <w:ind w:firstLine="708"/>
        <w:jc w:val="both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 xml:space="preserve">- о рыночных ценах </w:t>
      </w:r>
      <w:r>
        <w:rPr>
          <w:color w:val="000000"/>
          <w:sz w:val="22"/>
          <w:szCs w:val="22"/>
        </w:rPr>
        <w:t xml:space="preserve">по </w:t>
      </w:r>
      <w:r>
        <w:rPr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оказанию услуги по обучению</w:t>
      </w:r>
      <w:r>
        <w:rPr>
          <w:sz w:val="22"/>
          <w:szCs w:val="22"/>
        </w:rPr>
        <w:t xml:space="preserve"> для нужд ФКУ ЦИТОВ ГУФСИН России по Приморскому краю</w:t>
      </w:r>
      <w:r>
        <w:rPr>
          <w:b/>
          <w:sz w:val="22"/>
          <w:szCs w:val="22"/>
        </w:rPr>
        <w:t xml:space="preserve"> </w:t>
      </w:r>
      <w:r>
        <w:rPr>
          <w:rStyle w:val="FontStyle73"/>
          <w:sz w:val="22"/>
          <w:szCs w:val="22"/>
        </w:rPr>
        <w:t>через сеть Интернет и организациях предоставляющих данные услуги;</w:t>
      </w:r>
    </w:p>
    <w:p>
      <w:pPr>
        <w:pStyle w:val="Style50"/>
        <w:widowControl/>
        <w:tabs>
          <w:tab w:val="clear" w:pos="343"/>
          <w:tab w:val="left" w:pos="709" w:leader="none"/>
        </w:tabs>
        <w:spacing w:lineRule="auto" w:line="240"/>
        <w:ind w:hanging="0"/>
        <w:jc w:val="both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ab/>
        <w:t xml:space="preserve">- о ценах, содержащихся в ранее заключенных контрактах опубликованных на интернет-портале </w:t>
      </w:r>
      <w:hyperlink r:id="rId2">
        <w:r>
          <w:rPr>
            <w:sz w:val="22"/>
            <w:szCs w:val="22"/>
            <w:lang w:val="en-US"/>
          </w:rPr>
          <w:t>zakupki</w:t>
        </w:r>
        <w:r>
          <w:rPr>
            <w:sz w:val="22"/>
            <w:szCs w:val="22"/>
          </w:rPr>
          <w:t>.</w:t>
        </w:r>
        <w:r>
          <w:rPr>
            <w:sz w:val="22"/>
            <w:szCs w:val="22"/>
            <w:lang w:val="en-US"/>
          </w:rPr>
          <w:t>gov</w:t>
        </w:r>
        <w:r>
          <w:rPr>
            <w:sz w:val="22"/>
            <w:szCs w:val="22"/>
          </w:rPr>
          <w:t>.</w:t>
        </w:r>
        <w:r>
          <w:rPr>
            <w:sz w:val="22"/>
            <w:szCs w:val="22"/>
            <w:lang w:val="en-US"/>
          </w:rPr>
          <w:t>ru</w:t>
        </w:r>
      </w:hyperlink>
      <w:r>
        <w:rPr>
          <w:rStyle w:val="FontStyle73"/>
          <w:sz w:val="22"/>
          <w:szCs w:val="22"/>
        </w:rPr>
        <w:t>;</w:t>
      </w:r>
    </w:p>
    <w:p>
      <w:pPr>
        <w:pStyle w:val="Style50"/>
        <w:widowControl/>
        <w:numPr>
          <w:ilvl w:val="0"/>
          <w:numId w:val="2"/>
        </w:numPr>
        <w:tabs>
          <w:tab w:val="clear" w:pos="343"/>
          <w:tab w:val="left" w:pos="0" w:leader="none"/>
        </w:tabs>
        <w:spacing w:lineRule="auto" w:line="240"/>
        <w:ind w:firstLine="708"/>
        <w:jc w:val="both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 xml:space="preserve">о ценах, содержащихся в иных источниках (рекламах, каталогах описания товаров </w:t>
        <w:br/>
        <w:t>и других предложений и т.д.).</w:t>
      </w:r>
    </w:p>
    <w:p>
      <w:pPr>
        <w:pStyle w:val="Style49"/>
        <w:widowControl/>
        <w:spacing w:lineRule="auto" w:line="240"/>
        <w:ind w:firstLine="708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 xml:space="preserve">С целью определения начальной (максимальной) цены контракта методом сопоставимых рыночных цен и определения </w:t>
      </w:r>
      <w:r>
        <w:rPr>
          <w:rStyle w:val="FontStyle73"/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организации</w:t>
      </w:r>
      <w:r>
        <w:rPr>
          <w:rStyle w:val="FontStyle7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обучению</w:t>
      </w:r>
      <w:r>
        <w:rPr>
          <w:sz w:val="22"/>
          <w:szCs w:val="22"/>
        </w:rPr>
        <w:t xml:space="preserve"> </w:t>
      </w:r>
      <w:r>
        <w:rPr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сотрудников</w:t>
      </w:r>
      <w:r>
        <w:rPr>
          <w:sz w:val="22"/>
          <w:szCs w:val="22"/>
        </w:rPr>
        <w:t xml:space="preserve">  ФКУ ЦИТОВ ГУФСИН России по Приморскому краю </w:t>
      </w:r>
      <w:r>
        <w:rPr>
          <w:rStyle w:val="FontStyle73"/>
          <w:sz w:val="22"/>
          <w:szCs w:val="22"/>
        </w:rPr>
        <w:t xml:space="preserve">через сеть Интернет были направлены письма с запросом ценовой информации организациям, выявленным в ходе анализа рынка и предоставляющим услуги, соответствующие техническому заданию </w:t>
      </w:r>
      <w:r>
        <w:rPr>
          <w:rStyle w:val="FontStyle73"/>
          <w:rFonts w:eastAsia="" w:eastAsiaTheme="minorEastAsia"/>
          <w:sz w:val="22"/>
          <w:szCs w:val="22"/>
        </w:rPr>
        <w:t>(</w:t>
      </w:r>
      <w:r>
        <w:rPr>
          <w:rStyle w:val="FontStyle73"/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РЦСМ №исх-25/ЦИТОВ/5-152 от 08.05.2026 г., ФБУ Дальневосточный ЦСМ № исх-25/ЦИТОВ/5-151 от 08.05.2026 г., ООО «Серконс» № исх-25/ЦИТОВ/5-154 от 08.05.2026 г., ФБУ Амурский ЦСМ № исх-25/ЦИТОВ/5-153 от 08.05.2026 г., ООО «ГК Империя Инструмента» № исх-25/ЦИТОВ/5-155 от 08.05.2026 г.</w:t>
      </w:r>
      <w:r>
        <w:rPr>
          <w:rStyle w:val="FontStyle73"/>
          <w:sz w:val="22"/>
          <w:szCs w:val="22"/>
        </w:rPr>
        <w:t>).</w:t>
      </w:r>
    </w:p>
    <w:p>
      <w:pPr>
        <w:pStyle w:val="Style49"/>
        <w:widowControl/>
        <w:spacing w:lineRule="auto" w:line="240"/>
        <w:ind w:hanging="0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ab/>
        <w:t>В соответствии с запросами о ценовой информации в адрес ФКУ ЦИТОВ ГУФСИН России по Приморскому краю поступило одно коммерческ</w:t>
      </w:r>
      <w:r>
        <w:rPr>
          <w:rStyle w:val="FontStyle73"/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ое</w:t>
      </w:r>
      <w:r>
        <w:rPr>
          <w:rStyle w:val="FontStyle73"/>
          <w:sz w:val="22"/>
          <w:szCs w:val="22"/>
        </w:rPr>
        <w:t xml:space="preserve"> предложен</w:t>
      </w:r>
      <w:r>
        <w:rPr>
          <w:rStyle w:val="FontStyle73"/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ие</w:t>
      </w:r>
      <w:r>
        <w:rPr>
          <w:rStyle w:val="FontStyle73"/>
          <w:sz w:val="22"/>
          <w:szCs w:val="22"/>
        </w:rPr>
        <w:t xml:space="preserve"> от </w:t>
      </w:r>
      <w:r>
        <w:rPr>
          <w:rStyle w:val="FontStyle73"/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ФБУ Дальневосточный ЦСМ</w:t>
      </w:r>
      <w:r>
        <w:rPr>
          <w:rStyle w:val="FontStyle73"/>
          <w:sz w:val="22"/>
          <w:szCs w:val="22"/>
        </w:rPr>
        <w:t>.</w:t>
      </w:r>
    </w:p>
    <w:p>
      <w:pPr>
        <w:pStyle w:val="Style50"/>
        <w:widowControl/>
        <w:tabs>
          <w:tab w:val="clear" w:pos="343"/>
          <w:tab w:val="left" w:pos="0" w:leader="none"/>
        </w:tabs>
        <w:spacing w:lineRule="auto" w:line="240"/>
        <w:ind w:hanging="0"/>
        <w:jc w:val="both"/>
        <w:rPr>
          <w:rStyle w:val="FontStyle73"/>
          <w:sz w:val="22"/>
          <w:szCs w:val="22"/>
        </w:rPr>
      </w:pPr>
      <w:r>
        <w:rPr>
          <w:rStyle w:val="FontStyle73"/>
          <w:sz w:val="22"/>
          <w:szCs w:val="22"/>
        </w:rPr>
        <w:tab/>
        <w:t>Был проработан мониторинг о ценах, содержащихся в иных источниках (рекламах, каталогах описания товаров и других предложений и т.д.) в сети Интернет:</w:t>
      </w:r>
    </w:p>
    <w:p>
      <w:pPr>
        <w:pStyle w:val="12"/>
        <w:numPr>
          <w:ilvl w:val="0"/>
          <w:numId w:val="3"/>
        </w:numPr>
        <w:shd w:val="clear" w:color="auto" w:fill="auto"/>
        <w:tabs>
          <w:tab w:val="clear" w:pos="343"/>
          <w:tab w:val="left" w:pos="1308" w:leader="none"/>
        </w:tabs>
        <w:spacing w:lineRule="auto" w:line="240" w:before="0" w:after="0"/>
        <w:ind w:left="20" w:right="20" w:firstLine="720"/>
        <w:jc w:val="both"/>
        <w:rPr>
          <w:rStyle w:val="FontStyle73"/>
          <w:spacing w:val="0"/>
          <w:sz w:val="22"/>
          <w:szCs w:val="22"/>
        </w:rPr>
      </w:pPr>
      <w:r>
        <w:rPr>
          <w:rFonts w:eastAsia="Calibri" w:cs="Times New Roman"/>
          <w:color w:val="auto"/>
          <w:spacing w:val="0"/>
          <w:kern w:val="0"/>
          <w:sz w:val="22"/>
          <w:szCs w:val="22"/>
          <w:lang w:val="ru-RU" w:eastAsia="en-US" w:bidi="ar-SA"/>
        </w:rPr>
        <w:t>Коммерческое предложение</w:t>
      </w:r>
      <w:r>
        <w:rPr>
          <w:spacing w:val="0"/>
          <w:sz w:val="22"/>
          <w:szCs w:val="22"/>
        </w:rPr>
        <w:t xml:space="preserve"> поставщика № 1 </w:t>
      </w:r>
      <w:r>
        <w:rPr>
          <w:rStyle w:val="FontStyle73"/>
          <w:sz w:val="22"/>
          <w:szCs w:val="22"/>
        </w:rPr>
        <w:t xml:space="preserve">(вх. № 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255</w:t>
      </w:r>
      <w:r>
        <w:rPr>
          <w:rStyle w:val="FontStyle73"/>
          <w:sz w:val="22"/>
          <w:szCs w:val="22"/>
        </w:rPr>
        <w:t xml:space="preserve"> от 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21</w:t>
      </w:r>
      <w:r>
        <w:rPr>
          <w:rStyle w:val="FontStyle73"/>
          <w:sz w:val="22"/>
          <w:szCs w:val="22"/>
        </w:rPr>
        <w:t>.0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5</w:t>
      </w:r>
      <w:r>
        <w:rPr>
          <w:rStyle w:val="FontStyle73"/>
          <w:sz w:val="22"/>
          <w:szCs w:val="22"/>
        </w:rPr>
        <w:t>.202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6</w:t>
      </w:r>
      <w:r>
        <w:rPr>
          <w:rStyle w:val="FontStyle73"/>
          <w:sz w:val="22"/>
          <w:szCs w:val="22"/>
        </w:rPr>
        <w:t>):</w:t>
      </w:r>
    </w:p>
    <w:tbl>
      <w:tblPr>
        <w:tblW w:w="9356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3966"/>
        <w:gridCol w:w="1538"/>
        <w:gridCol w:w="1158"/>
        <w:gridCol w:w="1276"/>
        <w:gridCol w:w="1418"/>
      </w:tblGrid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Наименование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Количество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Цена за один комплект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Общая стоимость</w:t>
            </w:r>
          </w:p>
        </w:tc>
      </w:tr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 w:eastAsia="Times New Roman" w:cs="Times New Roman"/>
                <w:color w:val="auto"/>
                <w:kern w:val="2"/>
                <w:sz w:val="16"/>
                <w:szCs w:val="16"/>
                <w:lang w:val="ru-RU" w:eastAsia="ar-SA" w:bidi="ar-SA"/>
              </w:rPr>
            </w:pPr>
            <w:r>
              <w:rPr>
                <w:rFonts w:eastAsia="Times New Roman" w:cs="Times New Roman" w:ascii="PT Astra Serif" w:hAnsi="PT Astra Serif"/>
                <w:color w:val="auto"/>
                <w:kern w:val="2"/>
                <w:sz w:val="16"/>
                <w:szCs w:val="16"/>
                <w:lang w:val="ru-RU" w:eastAsia="ar-SA" w:bidi="ar-SA"/>
              </w:rPr>
              <w:t>Организация поверки тестера заземления Fluke 1623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услуга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11200,00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11200</w:t>
            </w:r>
            <w:r>
              <w:rPr>
                <w:sz w:val="18"/>
              </w:rPr>
              <w:t xml:space="preserve"> рублей 00 копеек</w:t>
            </w:r>
          </w:p>
        </w:tc>
      </w:tr>
    </w:tbl>
    <w:p>
      <w:pPr>
        <w:pStyle w:val="12"/>
        <w:numPr>
          <w:ilvl w:val="0"/>
          <w:numId w:val="3"/>
        </w:numPr>
        <w:shd w:val="clear" w:color="auto" w:fill="auto"/>
        <w:tabs>
          <w:tab w:val="clear" w:pos="343"/>
          <w:tab w:val="left" w:pos="1308" w:leader="none"/>
        </w:tabs>
        <w:spacing w:lineRule="auto" w:line="240" w:before="0" w:after="0"/>
        <w:ind w:left="20" w:right="20" w:firstLine="720"/>
        <w:jc w:val="both"/>
        <w:rPr>
          <w:rStyle w:val="FontStyle73"/>
          <w:spacing w:val="0"/>
          <w:sz w:val="22"/>
          <w:szCs w:val="22"/>
        </w:rPr>
      </w:pPr>
      <w:r>
        <w:rPr>
          <w:rFonts w:eastAsia="Calibri" w:cs="Times New Roman"/>
          <w:color w:val="auto"/>
          <w:spacing w:val="0"/>
          <w:kern w:val="0"/>
          <w:sz w:val="22"/>
          <w:szCs w:val="22"/>
          <w:lang w:val="ru-RU" w:eastAsia="en-US" w:bidi="ar-SA"/>
        </w:rPr>
        <w:t xml:space="preserve">Коммерческое </w:t>
      </w:r>
      <w:r>
        <w:rPr>
          <w:spacing w:val="0"/>
          <w:sz w:val="22"/>
          <w:szCs w:val="22"/>
        </w:rPr>
        <w:t xml:space="preserve">предложение поставщика № 2 </w:t>
      </w:r>
      <w:r>
        <w:rPr>
          <w:rStyle w:val="FontStyle73"/>
          <w:sz w:val="22"/>
          <w:szCs w:val="22"/>
        </w:rPr>
        <w:t xml:space="preserve">(вх. № </w:t>
      </w:r>
      <w:r>
        <w:rPr>
          <w:rStyle w:val="FontStyle73"/>
          <w:rFonts w:eastAsia="Calibri" w:cs="Times New Roman"/>
          <w:spacing w:val="7"/>
          <w:kern w:val="0"/>
          <w:sz w:val="22"/>
          <w:szCs w:val="22"/>
          <w:lang w:eastAsia="en-US"/>
        </w:rPr>
        <w:t>2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54</w:t>
      </w:r>
      <w:r>
        <w:rPr>
          <w:rStyle w:val="FontStyle73"/>
          <w:sz w:val="22"/>
          <w:szCs w:val="22"/>
        </w:rPr>
        <w:t xml:space="preserve"> от 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21</w:t>
      </w:r>
      <w:r>
        <w:rPr>
          <w:rStyle w:val="FontStyle73"/>
          <w:sz w:val="22"/>
          <w:szCs w:val="22"/>
        </w:rPr>
        <w:t>.0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5</w:t>
      </w:r>
      <w:r>
        <w:rPr>
          <w:rStyle w:val="FontStyle73"/>
          <w:sz w:val="22"/>
          <w:szCs w:val="22"/>
        </w:rPr>
        <w:t>.202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6</w:t>
      </w:r>
      <w:r>
        <w:rPr>
          <w:rStyle w:val="FontStyle73"/>
          <w:sz w:val="22"/>
          <w:szCs w:val="22"/>
        </w:rPr>
        <w:t>):</w:t>
      </w:r>
    </w:p>
    <w:tbl>
      <w:tblPr>
        <w:tblW w:w="9356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3966"/>
        <w:gridCol w:w="1538"/>
        <w:gridCol w:w="1158"/>
        <w:gridCol w:w="1276"/>
        <w:gridCol w:w="1418"/>
      </w:tblGrid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Наименование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Количество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Цена за один комплект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Общая стоимость</w:t>
            </w:r>
          </w:p>
        </w:tc>
      </w:tr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 w:eastAsia="Times New Roman" w:cs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16"/>
                <w:szCs w:val="16"/>
                <w:u w:val="none"/>
                <w:em w:val="none"/>
                <w:lang w:val="ru-RU" w:eastAsia="ar-SA" w:bidi="ar-SA"/>
              </w:rPr>
            </w:pPr>
            <w:r>
              <w:rPr>
                <w:rStyle w:val="FontStyle73"/>
                <w:rFonts w:eastAsia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16"/>
                <w:szCs w:val="16"/>
                <w:u w:val="none"/>
                <w:em w:val="none"/>
                <w:lang w:val="ru-RU" w:eastAsia="ar-SA" w:bidi="ar-SA"/>
              </w:rPr>
              <w:t>Проведение поверки средства измерения: Тестер заземления Fluke 1623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услуга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 xml:space="preserve">10500 </w:t>
            </w:r>
            <w:r>
              <w:rPr>
                <w:sz w:val="18"/>
              </w:rPr>
              <w:t>рублей 00 копеек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35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10500</w:t>
            </w:r>
            <w:r>
              <w:rPr>
                <w:sz w:val="18"/>
              </w:rPr>
              <w:t xml:space="preserve"> рублей 00 копеек</w:t>
            </w:r>
          </w:p>
        </w:tc>
      </w:tr>
    </w:tbl>
    <w:p>
      <w:pPr>
        <w:pStyle w:val="12"/>
        <w:numPr>
          <w:ilvl w:val="0"/>
          <w:numId w:val="3"/>
        </w:numPr>
        <w:shd w:val="clear" w:color="auto" w:fill="auto"/>
        <w:tabs>
          <w:tab w:val="clear" w:pos="343"/>
          <w:tab w:val="left" w:pos="1308" w:leader="none"/>
        </w:tabs>
        <w:spacing w:lineRule="auto" w:line="240" w:before="0" w:after="0"/>
        <w:ind w:left="20" w:right="20" w:firstLine="720"/>
        <w:jc w:val="both"/>
        <w:rPr>
          <w:rStyle w:val="FontStyle73"/>
          <w:spacing w:val="0"/>
          <w:sz w:val="22"/>
          <w:szCs w:val="22"/>
        </w:rPr>
      </w:pPr>
      <w:r>
        <w:rPr>
          <w:rFonts w:eastAsia="Calibri" w:cs="Times New Roman"/>
          <w:color w:val="auto"/>
          <w:spacing w:val="0"/>
          <w:kern w:val="0"/>
          <w:sz w:val="22"/>
          <w:szCs w:val="22"/>
          <w:lang w:val="ru-RU" w:eastAsia="en-US" w:bidi="ar-SA"/>
        </w:rPr>
        <w:t xml:space="preserve">Коммерческое </w:t>
      </w:r>
      <w:r>
        <w:rPr>
          <w:spacing w:val="0"/>
          <w:sz w:val="22"/>
          <w:szCs w:val="22"/>
        </w:rPr>
        <w:t xml:space="preserve">предложение поставщика № 3 </w:t>
      </w:r>
      <w:r>
        <w:rPr>
          <w:rStyle w:val="FontStyle73"/>
          <w:sz w:val="22"/>
          <w:szCs w:val="22"/>
        </w:rPr>
        <w:t xml:space="preserve">(вх. № </w:t>
      </w:r>
      <w:r>
        <w:rPr>
          <w:rStyle w:val="FontStyle73"/>
          <w:rFonts w:eastAsia="Calibri" w:cs="Times New Roman"/>
          <w:spacing w:val="7"/>
          <w:kern w:val="0"/>
          <w:sz w:val="22"/>
          <w:szCs w:val="22"/>
          <w:lang w:eastAsia="en-US"/>
        </w:rPr>
        <w:t>2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 xml:space="preserve">53 </w:t>
      </w:r>
      <w:r>
        <w:rPr>
          <w:rStyle w:val="FontStyle73"/>
          <w:sz w:val="22"/>
          <w:szCs w:val="22"/>
        </w:rPr>
        <w:t xml:space="preserve">от 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21</w:t>
      </w:r>
      <w:r>
        <w:rPr>
          <w:rStyle w:val="FontStyle73"/>
          <w:sz w:val="22"/>
          <w:szCs w:val="22"/>
        </w:rPr>
        <w:t>.0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5</w:t>
      </w:r>
      <w:r>
        <w:rPr>
          <w:rStyle w:val="FontStyle73"/>
          <w:sz w:val="22"/>
          <w:szCs w:val="22"/>
        </w:rPr>
        <w:t>.202</w:t>
      </w:r>
      <w:r>
        <w:rPr>
          <w:rStyle w:val="FontStyle73"/>
          <w:rFonts w:eastAsia="Calibri" w:cs="Times New Roman"/>
          <w:color w:val="auto"/>
          <w:spacing w:val="7"/>
          <w:kern w:val="0"/>
          <w:sz w:val="22"/>
          <w:szCs w:val="22"/>
          <w:lang w:val="ru-RU" w:eastAsia="en-US" w:bidi="ar-SA"/>
        </w:rPr>
        <w:t>6</w:t>
      </w:r>
      <w:r>
        <w:rPr>
          <w:rStyle w:val="FontStyle73"/>
          <w:sz w:val="22"/>
          <w:szCs w:val="22"/>
        </w:rPr>
        <w:t>):</w:t>
      </w:r>
    </w:p>
    <w:tbl>
      <w:tblPr>
        <w:tblW w:w="9356" w:type="dxa"/>
        <w:jc w:val="left"/>
        <w:tblInd w:w="40" w:type="dxa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3966"/>
        <w:gridCol w:w="1538"/>
        <w:gridCol w:w="1158"/>
        <w:gridCol w:w="1276"/>
        <w:gridCol w:w="1418"/>
      </w:tblGrid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Наименование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23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Единица измерения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Количество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23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Цена за один комплект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</w:rPr>
              <w:t>Общая стоимость</w:t>
            </w:r>
          </w:p>
        </w:tc>
      </w:tr>
      <w:tr>
        <w:trPr/>
        <w:tc>
          <w:tcPr>
            <w:tcW w:w="3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Style w:val="FontStyle73"/>
                <w:rFonts w:eastAsia="Times New Roman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16"/>
                <w:szCs w:val="16"/>
                <w:u w:val="none"/>
                <w:em w:val="none"/>
                <w:lang w:val="ru-RU" w:eastAsia="ar-SA" w:bidi="ar-SA"/>
              </w:rPr>
              <w:t>Обучение</w:t>
            </w:r>
            <w:r>
              <w:rPr>
                <w:rStyle w:val="FontStyle73"/>
                <w:rFonts w:eastAsia="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 по программе </w:t>
            </w:r>
            <w:r>
              <w:rPr>
                <w:rStyle w:val="FontStyle73"/>
                <w:rFonts w:eastAsia="" w:cs="Times New Roman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 «Радиационная безопасность и радиационный контроль» </w:t>
            </w:r>
            <w:r>
              <w:rPr>
                <w:rStyle w:val="FontStyle73"/>
                <w:rFonts w:eastAsia="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Объем учебной нагрузки не менее </w:t>
            </w:r>
            <w:r>
              <w:rPr>
                <w:rStyle w:val="FontStyle73"/>
                <w:rFonts w:eastAsia="Times New Roman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zh-CN" w:bidi="ar-SA"/>
              </w:rPr>
              <w:t>72</w:t>
            </w:r>
            <w:r>
              <w:rPr>
                <w:rStyle w:val="FontStyle73"/>
                <w:rFonts w:eastAsia="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 xml:space="preserve"> час</w:t>
            </w:r>
            <w:r>
              <w:rPr>
                <w:rStyle w:val="FontStyle73"/>
                <w:rFonts w:eastAsia="Times New Roman" w:cs="Times New Roman" w:ascii="PT Astra Serif" w:hAnsi="PT Astra Serif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zh-CN" w:bidi="ar-SA"/>
              </w:rPr>
              <w:t>а</w:t>
            </w:r>
            <w:r>
              <w:rPr>
                <w:rStyle w:val="FontStyle73"/>
                <w:rFonts w:eastAsia="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>, по окончани</w:t>
            </w:r>
            <w:r>
              <w:rPr>
                <w:rStyle w:val="FontStyle73"/>
                <w:rFonts w:eastAsia="" w:cs="Times New Roman" w:ascii="PT Astra Serif" w:hAnsi="PT Astra Serif" w:eastAsiaTheme="minorEastAsia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16"/>
                <w:szCs w:val="16"/>
                <w:u w:val="none"/>
                <w:em w:val="none"/>
                <w:lang w:val="ru-RU" w:eastAsia="ru-RU" w:bidi="ar-SA"/>
              </w:rPr>
              <w:t>и обучения выдается диплом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услуга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23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11677</w:t>
            </w:r>
            <w:r>
              <w:rPr>
                <w:sz w:val="18"/>
              </w:rPr>
              <w:t xml:space="preserve">рублей </w:t>
            </w: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84</w:t>
            </w:r>
            <w:r>
              <w:rPr>
                <w:sz w:val="18"/>
              </w:rPr>
              <w:t xml:space="preserve"> копеек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exact" w:line="23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11677</w:t>
            </w:r>
            <w:r>
              <w:rPr>
                <w:sz w:val="18"/>
              </w:rPr>
              <w:t xml:space="preserve"> рублей </w:t>
            </w:r>
            <w:r>
              <w:rPr>
                <w:rFonts w:eastAsia="Times New Roman" w:cs="Times New Roman"/>
                <w:color w:val="auto"/>
                <w:kern w:val="2"/>
                <w:sz w:val="18"/>
                <w:szCs w:val="24"/>
                <w:lang w:val="ru-RU" w:eastAsia="ar-SA" w:bidi="ar-SA"/>
              </w:rPr>
              <w:t>84</w:t>
            </w:r>
            <w:r>
              <w:rPr>
                <w:sz w:val="18"/>
              </w:rPr>
              <w:t xml:space="preserve"> копеек</w:t>
            </w:r>
          </w:p>
        </w:tc>
      </w:tr>
    </w:tbl>
    <w:p>
      <w:pPr>
        <w:pStyle w:val="12"/>
        <w:shd w:val="clear" w:fill="FFFFFF"/>
        <w:ind w:left="-700" w:hanging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</w:r>
    </w:p>
    <w:p>
      <w:pPr>
        <w:pStyle w:val="12"/>
        <w:shd w:val="clear" w:color="auto" w:fill="auto"/>
        <w:tabs>
          <w:tab w:val="clear" w:pos="343"/>
          <w:tab w:val="left" w:pos="1308" w:leader="none"/>
        </w:tabs>
        <w:spacing w:lineRule="auto" w:line="240" w:before="0" w:after="0"/>
        <w:ind w:left="740" w:right="20" w:hanging="0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</w:r>
    </w:p>
    <w:tbl>
      <w:tblPr>
        <w:tblW w:w="9126" w:type="dxa"/>
        <w:jc w:val="left"/>
        <w:tblInd w:w="325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7"/>
        <w:gridCol w:w="1493"/>
        <w:gridCol w:w="619"/>
        <w:gridCol w:w="1807"/>
        <w:gridCol w:w="353"/>
        <w:gridCol w:w="2100"/>
        <w:gridCol w:w="2037"/>
      </w:tblGrid>
      <w:tr>
        <w:trPr/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ab/>
              <w:tab/>
            </w:r>
          </w:p>
        </w:tc>
        <w:tc>
          <w:tcPr>
            <w:tcW w:w="8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Цены за единицу товара (руб.)</w:t>
            </w:r>
          </w:p>
        </w:tc>
      </w:tr>
      <w:tr>
        <w:trPr/>
        <w:tc>
          <w:tcPr>
            <w:tcW w:w="7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Поставщик 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Поставщик 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Поставщик 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71" w:hRule="atLeast"/>
        </w:trPr>
        <w:tc>
          <w:tcPr>
            <w:tcW w:w="7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11200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10500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11677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,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84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exact" w:line="23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eastAsia="ar-SA"/>
              </w:rPr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Используемый метод определения НМЦК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обоснованием:</w:t>
            </w:r>
          </w:p>
        </w:tc>
        <w:tc>
          <w:tcPr>
            <w:tcW w:w="6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b/>
                <w:b/>
                <w:bCs/>
              </w:rPr>
            </w:pPr>
            <w:r>
              <w:rPr>
                <w:bCs/>
              </w:rPr>
              <w:t>Определение НМЦК в соответствии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с</w:t>
            </w:r>
            <w:r>
              <w:rPr>
                <w:b/>
                <w:bCs/>
              </w:rPr>
              <w:t xml:space="preserve"> </w:t>
            </w:r>
            <w:hyperlink r:id="rId3">
              <w:r>
                <w:rPr/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>
              <w:rPr>
                <w:b/>
                <w:bCs/>
              </w:rPr>
              <w:t xml:space="preserve">» </w:t>
            </w:r>
            <w:r>
              <w:rPr>
                <w:bCs/>
              </w:rPr>
              <w:t>методом сопоставимых рыночных цен. Метод сопоставимых рыночных цен является приоритетным при расчете НМЦК.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828" w:hRule="atLeast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Однородность совокупности значений выявленных цен, используемых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расчете Н(М)ЦК, ЦКЕП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Средняя арифметическая цена </w:t>
            </w:r>
            <w:r>
              <w:rPr>
                <w:rStyle w:val="Appleconvertedspace"/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> </w:t>
            </w: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единицы товара, работы, услуги </w:t>
            </w:r>
            <w:r>
              <w:rPr/>
              <w:t>&lt;ц&gt;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Среднее квадратичное отклонение</w:t>
            </w:r>
          </w:p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1028700" cy="4381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Коэффициент вариации цен V (%) (не должен превышать 33%)</w:t>
            </w:r>
          </w:p>
          <w:p>
            <w:pPr>
              <w:pStyle w:val="Normal"/>
              <w:jc w:val="center"/>
              <w:rPr/>
            </w:pPr>
            <w:r>
              <w:rPr/>
              <w:drawing>
                <wp:inline distT="0" distB="0" distL="0" distR="0">
                  <wp:extent cx="952500" cy="352425"/>
                  <wp:effectExtent l="0" t="0" r="0" b="0"/>
                  <wp:docPr id="2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53" w:hRule="atLeast"/>
        </w:trPr>
        <w:tc>
          <w:tcPr>
            <w:tcW w:w="7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ar-SA" w:bidi="ar-SA"/>
              </w:rPr>
              <w:t>11125,95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ar-SA" w:bidi="ar-SA"/>
              </w:rPr>
              <w:t>592,40</w:t>
            </w:r>
          </w:p>
        </w:tc>
        <w:tc>
          <w:tcPr>
            <w:tcW w:w="2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highlight w:val="white"/>
                <w:lang w:val="ru-RU" w:eastAsia="ar-SA" w:bidi="ar-SA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shd w:fill="FFFFFF" w:val="clear"/>
                <w:lang w:val="ru-RU" w:eastAsia="ar-SA" w:bidi="ar-SA"/>
              </w:rPr>
              <w:t>5,32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</w:tr>
      <w:tr>
        <w:trPr>
          <w:trHeight w:val="4850" w:hRule="atLeast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Расчет НМЦК</w:t>
            </w:r>
          </w:p>
        </w:tc>
        <w:tc>
          <w:tcPr>
            <w:tcW w:w="6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drawing>
                <wp:inline distT="0" distB="0" distL="0" distR="0">
                  <wp:extent cx="1619250" cy="409575"/>
                  <wp:effectExtent l="0" t="0" r="0" b="0"/>
                  <wp:docPr id="3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t xml:space="preserve">, </w:t>
            </w:r>
          </w:p>
          <w:p>
            <w:pPr>
              <w:pStyle w:val="ConsPlusNormal1"/>
              <w:jc w:val="both"/>
              <w:rPr>
                <w:sz w:val="20"/>
                <w:szCs w:val="20"/>
              </w:rPr>
            </w:pPr>
            <w:r>
              <w:rPr>
                <w:position w:val="-24"/>
                <w:sz w:val="20"/>
                <w:szCs w:val="20"/>
              </w:rPr>
              <w:t xml:space="preserve">где </w:t>
            </w:r>
          </w:p>
          <w:p>
            <w:pPr>
              <w:pStyle w:val="ConsPlusNormal1"/>
              <w:jc w:val="both"/>
              <w:rPr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676275" cy="228600"/>
                  <wp:effectExtent l="0" t="0" r="0" b="0"/>
                  <wp:docPr id="4" name="Рисунок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НМЦК, определяемая методом сопоставимых рыночных цен (анализа рынка);</w:t>
            </w:r>
          </w:p>
          <w:p>
            <w:pPr>
              <w:pStyle w:val="ConsPlusNormal1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v - количество (объем) закупаемого товара;</w:t>
            </w:r>
          </w:p>
          <w:p>
            <w:pPr>
              <w:pStyle w:val="ConsPlusNormal1"/>
              <w:ind w:firstLine="5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>
            <w:pPr>
              <w:pStyle w:val="ConsPlusNormal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i - номер источника ценовой информации;</w:t>
            </w:r>
          </w:p>
          <w:p>
            <w:pPr>
              <w:pStyle w:val="Normal"/>
              <w:spacing w:lineRule="exact" w:line="240"/>
              <w:ind w:firstLine="505"/>
              <w:jc w:val="both"/>
              <w:rPr>
                <w:sz w:val="20"/>
                <w:szCs w:val="20"/>
              </w:rPr>
            </w:pPr>
            <w:r>
              <w:rPr>
                <w:position w:val="-12"/>
                <w:sz w:val="20"/>
                <w:szCs w:val="20"/>
              </w:rPr>
              <w:t xml:space="preserve">     </w:t>
            </w:r>
            <w:r>
              <w:rPr/>
              <w:drawing>
                <wp:inline distT="0" distB="0" distL="0" distR="0">
                  <wp:extent cx="152400" cy="228600"/>
                  <wp:effectExtent l="0" t="0" r="0" b="0"/>
                  <wp:docPr id="5" name="Рисунок 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- цена </w:t>
            </w: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>единицы товара, работы, услуги,</w:t>
            </w:r>
            <w:r>
              <w:rPr>
                <w:sz w:val="20"/>
                <w:szCs w:val="20"/>
              </w:rPr>
              <w:t xml:space="preserve">, представленная в источнике с номером i, скорректированная с учетом коэффициентов (индексов), применяемых для пересчета цен товаров с учетом различий в характеристиках товаров, коммерческих и (или) финансовых условий поставки товара. </w:t>
            </w:r>
          </w:p>
          <w:p>
            <w:pPr>
              <w:pStyle w:val="Normal"/>
              <w:ind w:firstLine="5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как в расчете используются цены, полученные в ответ на запросы ценовой информации, корректировка условий не производится.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position w:val="-24"/>
              </w:rPr>
              <w:t xml:space="preserve">НМЦК рын.= </w:t>
            </w:r>
            <w:r>
              <w:rPr>
                <w:rFonts w:eastAsia="Times New Roman" w:cs="Times New Roman"/>
                <w:color w:val="000000"/>
                <w:kern w:val="2"/>
                <w:position w:val="-24"/>
                <w:sz w:val="24"/>
                <w:szCs w:val="24"/>
                <w:shd w:fill="FFFFFF" w:val="clear"/>
                <w:lang w:val="ru-RU" w:eastAsia="ar-SA" w:bidi="ar-SA"/>
              </w:rPr>
              <w:t xml:space="preserve">11125,95 </w:t>
            </w:r>
            <w:r>
              <w:rPr>
                <w:position w:val="-24"/>
              </w:rPr>
              <w:t>руб.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Потребность заказчика в </w:t>
      </w:r>
      <w:r>
        <w:rPr>
          <w:rFonts w:eastAsia="Times New Roman" w:cs="Times New Roman"/>
          <w:color w:val="auto"/>
          <w:kern w:val="2"/>
          <w:sz w:val="22"/>
          <w:szCs w:val="22"/>
          <w:lang w:val="en-US" w:eastAsia="ar-SA" w:bidi="ar-SA"/>
        </w:rPr>
        <w:t>оказании услуги по поверке</w:t>
      </w:r>
      <w:r>
        <w:rPr>
          <w:sz w:val="22"/>
          <w:szCs w:val="22"/>
        </w:rPr>
        <w:t xml:space="preserve"> в количестве </w:t>
      </w:r>
      <w:r>
        <w:rPr>
          <w:rFonts w:eastAsia="Times New Roman" w:cs="Times New Roman"/>
          <w:color w:val="auto"/>
          <w:kern w:val="2"/>
          <w:sz w:val="22"/>
          <w:szCs w:val="22"/>
          <w:lang w:val="ru-RU" w:eastAsia="ar-SA" w:bidi="ar-SA"/>
        </w:rPr>
        <w:t>1</w:t>
      </w:r>
      <w:r>
        <w:rPr>
          <w:sz w:val="22"/>
          <w:szCs w:val="22"/>
        </w:rPr>
        <w:t xml:space="preserve"> </w:t>
      </w:r>
      <w:r>
        <w:rPr>
          <w:rFonts w:eastAsia="Times New Roman" w:cs="Times New Roman"/>
          <w:color w:val="auto"/>
          <w:kern w:val="2"/>
          <w:sz w:val="22"/>
          <w:szCs w:val="22"/>
          <w:lang w:val="ru-RU" w:eastAsia="ar-SA" w:bidi="ar-SA"/>
        </w:rPr>
        <w:t>Fluke 1623</w:t>
      </w:r>
      <w:r>
        <w:rPr>
          <w:sz w:val="22"/>
          <w:szCs w:val="22"/>
        </w:rPr>
        <w:t>: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rFonts w:eastAsia="Times New Roman" w:cs="Times New Roman"/>
          <w:color w:val="auto"/>
          <w:kern w:val="2"/>
          <w:sz w:val="22"/>
          <w:szCs w:val="22"/>
          <w:lang w:val="ru-RU" w:eastAsia="ar-SA" w:bidi="ar-SA"/>
        </w:rPr>
        <w:t>11125,95</w:t>
      </w:r>
      <w:r>
        <w:rPr>
          <w:sz w:val="22"/>
          <w:szCs w:val="22"/>
        </w:rPr>
        <w:t xml:space="preserve"> рублей.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ВЫВОД:</w:t>
      </w:r>
      <w:r>
        <w:rPr>
          <w:sz w:val="22"/>
          <w:szCs w:val="22"/>
        </w:rPr>
        <w:t xml:space="preserve"> проведенны</w:t>
      </w:r>
      <w:r>
        <w:rPr>
          <w:rFonts w:eastAsia="Times New Roman" w:cs="Times New Roman"/>
          <w:color w:val="auto"/>
          <w:kern w:val="2"/>
          <w:sz w:val="22"/>
          <w:szCs w:val="22"/>
          <w:lang w:val="ru-RU" w:eastAsia="ar-SA" w:bidi="ar-SA"/>
        </w:rPr>
        <w:t>й</w:t>
      </w:r>
      <w:r>
        <w:rPr>
          <w:sz w:val="22"/>
          <w:szCs w:val="22"/>
        </w:rPr>
        <w:t xml:space="preserve"> анализ позволя</w:t>
      </w:r>
      <w:r>
        <w:rPr>
          <w:rFonts w:eastAsia="Times New Roman" w:cs="Times New Roman"/>
          <w:color w:val="auto"/>
          <w:kern w:val="2"/>
          <w:sz w:val="22"/>
          <w:szCs w:val="22"/>
          <w:lang w:val="ru-RU" w:eastAsia="ar-SA" w:bidi="ar-SA"/>
        </w:rPr>
        <w:t>е</w:t>
      </w:r>
      <w:r>
        <w:rPr>
          <w:sz w:val="22"/>
          <w:szCs w:val="22"/>
        </w:rPr>
        <w:t xml:space="preserve">т определить начальную максимальную цену Контракта в размере </w:t>
      </w:r>
      <w:r>
        <w:rPr>
          <w:rFonts w:eastAsia="Times New Roman" w:cs="Times New Roman"/>
          <w:b/>
          <w:color w:val="auto"/>
          <w:kern w:val="2"/>
          <w:sz w:val="22"/>
          <w:szCs w:val="22"/>
          <w:lang w:val="ru-RU" w:eastAsia="ar-SA" w:bidi="ar-SA"/>
        </w:rPr>
        <w:t>11125,95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</w:t>
      </w:r>
      <w:r>
        <w:rPr>
          <w:rFonts w:eastAsia="Times New Roman" w:cs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kern w:val="2"/>
          <w:sz w:val="23"/>
          <w:szCs w:val="22"/>
          <w:u w:val="none"/>
          <w:em w:val="none"/>
          <w:lang w:val="ru-RU" w:eastAsia="ar-SA" w:bidi="ar-SA"/>
        </w:rPr>
        <w:t>Одиннадцать тысяч сто двадцать пять рублей девяносто пять копеек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3"/>
          <w:u w:val="none"/>
          <w:em w:val="none"/>
        </w:rPr>
        <w:t>).</w:t>
      </w:r>
    </w:p>
    <w:p>
      <w:pPr>
        <w:pStyle w:val="Style49"/>
        <w:widowControl/>
        <w:spacing w:lineRule="auto" w:line="240"/>
        <w:ind w:firstLine="708"/>
        <w:rPr>
          <w:rStyle w:val="FontStyle73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Заказчик не указывает сведения о потенциальных поставщиках, сделавших коммерческое предложение во избежание нарушения Статьи 11 Федерального закона от 26.07.2006. № 135-ФЗ (ред. от 01.03.2011) «О защите конкуренции» и сговора участников размещения заказа. Коммерческие предложения хранятся у Заказчика.</w:t>
      </w:r>
    </w:p>
    <w:p>
      <w:pPr>
        <w:pStyle w:val="Style49"/>
        <w:widowControl/>
        <w:spacing w:lineRule="auto" w:line="240"/>
        <w:ind w:firstLine="708"/>
        <w:rPr>
          <w:rStyle w:val="FontStyle73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 xml:space="preserve">Старший инженер отделения монтажных, </w:t>
      </w:r>
    </w:p>
    <w:p>
      <w:pPr>
        <w:pStyle w:val="Normal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 xml:space="preserve">пусконаладочных, регламентных </w:t>
      </w:r>
    </w:p>
    <w:p>
      <w:pPr>
        <w:pStyle w:val="Normal"/>
        <w:rPr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и ремонтных работ</w:t>
      </w:r>
      <w:r>
        <w:rPr>
          <w:color w:val="000000"/>
          <w:sz w:val="22"/>
          <w:szCs w:val="22"/>
        </w:rPr>
        <w:t xml:space="preserve"> отдела </w:t>
      </w:r>
      <w:r>
        <w:rPr>
          <w:rFonts w:eastAsia="Times New Roman" w:cs="Times New Roman"/>
          <w:color w:val="000000"/>
          <w:kern w:val="2"/>
          <w:sz w:val="22"/>
          <w:szCs w:val="22"/>
          <w:lang w:eastAsia="ar-SA"/>
        </w:rPr>
        <w:t>ИТСОН</w:t>
      </w:r>
      <w:r>
        <w:rPr>
          <w:color w:val="000000"/>
          <w:sz w:val="22"/>
          <w:szCs w:val="22"/>
        </w:rPr>
        <w:t xml:space="preserve"> 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ФКУ ЦИТОВ ГУФСИН России по Приморскому краю</w:t>
        <w:tab/>
        <w:tab/>
        <w:tab/>
        <w:tab/>
        <w:tab/>
        <w:t xml:space="preserve">                     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А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 xml:space="preserve">. А. 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Ананченко</w:t>
      </w:r>
    </w:p>
    <w:p>
      <w:pPr>
        <w:pStyle w:val="Normal"/>
        <w:rPr>
          <w:rStyle w:val="FontStyle73"/>
          <w:sz w:val="22"/>
          <w:szCs w:val="22"/>
        </w:rPr>
      </w:pP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2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3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.0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7</w:t>
      </w:r>
      <w:r>
        <w:rPr>
          <w:rFonts w:eastAsia="Times New Roman" w:cs="Times New Roman"/>
          <w:color w:val="000000"/>
          <w:kern w:val="2"/>
          <w:sz w:val="22"/>
          <w:szCs w:val="22"/>
          <w:lang w:val="ru-RU" w:eastAsia="ar-SA" w:bidi="ar-SA"/>
        </w:rPr>
        <w:t>.2026</w:t>
      </w:r>
      <w:r>
        <w:rPr>
          <w:color w:val="000000"/>
          <w:sz w:val="22"/>
          <w:szCs w:val="22"/>
        </w:rPr>
        <w:t xml:space="preserve"> г.</w:t>
      </w:r>
    </w:p>
    <w:sectPr>
      <w:headerReference w:type="default" r:id="rId9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TimesDL">
    <w:charset w:val="01"/>
    <w:family w:val="roman"/>
    <w:pitch w:val="default"/>
  </w:font>
  <w:font w:name="Verdana">
    <w:charset w:val="01"/>
    <w:family w:val="roman"/>
    <w:pitch w:val="default"/>
  </w:font>
  <w:font w:name="Times New Roman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84149941"/>
    </w:sdtPr>
    <w:sdtContent>
      <w:p>
        <w:pPr>
          <w:pStyle w:val="Style3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65535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3"/>
        <w:spacing w:val="7"/>
        <w:i w:val="false"/>
        <w:u w:val="none"/>
        <w:b w:val="false"/>
        <w:szCs w:val="23"/>
        <w:iCs w:val="false"/>
        <w:bCs w:val="false"/>
        <w:w w:val="100"/>
        <w:rFonts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90"/>
  <w:defaultTabStop w:val="343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49bb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ar-SA" w:bidi="ar-SA"/>
    </w:rPr>
  </w:style>
  <w:style w:type="paragraph" w:styleId="1">
    <w:name w:val="Heading 1"/>
    <w:basedOn w:val="Style22"/>
    <w:qFormat/>
    <w:pPr/>
    <w:rPr/>
  </w:style>
  <w:style w:type="paragraph" w:styleId="3">
    <w:name w:val="Heading 3"/>
    <w:basedOn w:val="Normal"/>
    <w:next w:val="Style23"/>
    <w:link w:val="30"/>
    <w:qFormat/>
    <w:rsid w:val="003a49bb"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qFormat/>
    <w:rsid w:val="003a49bb"/>
    <w:rPr>
      <w:rFonts w:ascii="Cambria" w:hAnsi="Cambria" w:eastAsia="Times New Roman" w:cs="Cambria"/>
      <w:b/>
      <w:bCs/>
      <w:kern w:val="2"/>
      <w:sz w:val="26"/>
      <w:szCs w:val="26"/>
      <w:lang w:eastAsia="ar-SA"/>
    </w:rPr>
  </w:style>
  <w:style w:type="character" w:styleId="ConsPlusNormal" w:customStyle="1">
    <w:name w:val="ConsPlusNormal Знак"/>
    <w:link w:val="ConsPlusNormal"/>
    <w:qFormat/>
    <w:locked/>
    <w:rsid w:val="003a49bb"/>
    <w:rPr>
      <w:rFonts w:ascii="Arial" w:hAnsi="Arial" w:eastAsia="Times New Roman" w:cs="Arial"/>
      <w:kern w:val="2"/>
      <w:sz w:val="28"/>
      <w:szCs w:val="28"/>
      <w:lang w:eastAsia="ar-SA"/>
    </w:rPr>
  </w:style>
  <w:style w:type="character" w:styleId="Style12" w:customStyle="1">
    <w:name w:val="Основной текст Знак"/>
    <w:basedOn w:val="DefaultParagraphFont"/>
    <w:link w:val="a1"/>
    <w:uiPriority w:val="99"/>
    <w:qFormat/>
    <w:rsid w:val="003a49bb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FontStyle73" w:customStyle="1">
    <w:name w:val="Font Style73"/>
    <w:basedOn w:val="DefaultParagraphFont"/>
    <w:uiPriority w:val="99"/>
    <w:qFormat/>
    <w:rsid w:val="00d227f0"/>
    <w:rPr>
      <w:rFonts w:ascii="Times New Roman" w:hAnsi="Times New Roman" w:cs="Times New Roman"/>
      <w:sz w:val="24"/>
      <w:szCs w:val="24"/>
    </w:rPr>
  </w:style>
  <w:style w:type="character" w:styleId="Style13">
    <w:name w:val="Интернет-ссылка"/>
    <w:basedOn w:val="DefaultParagraphFont"/>
    <w:uiPriority w:val="99"/>
    <w:rsid w:val="00d227f0"/>
    <w:rPr>
      <w:color w:val="000080"/>
      <w:u w:val="single"/>
    </w:rPr>
  </w:style>
  <w:style w:type="character" w:styleId="Labeltextlot21" w:customStyle="1">
    <w:name w:val="label_text_lot_21"/>
    <w:qFormat/>
    <w:rsid w:val="00f3279c"/>
    <w:rPr>
      <w:color w:val="0000FF"/>
      <w:sz w:val="20"/>
      <w:szCs w:val="20"/>
    </w:rPr>
  </w:style>
  <w:style w:type="character" w:styleId="FontStyle99" w:customStyle="1">
    <w:name w:val="Font Style99"/>
    <w:basedOn w:val="DefaultParagraphFont"/>
    <w:uiPriority w:val="99"/>
    <w:qFormat/>
    <w:rsid w:val="00662dd5"/>
    <w:rPr>
      <w:rFonts w:ascii="Times New Roman" w:hAnsi="Times New Roman" w:cs="Times New Roman"/>
      <w:b/>
      <w:bCs/>
      <w:sz w:val="24"/>
      <w:szCs w:val="24"/>
    </w:rPr>
  </w:style>
  <w:style w:type="character" w:styleId="0pt" w:customStyle="1">
    <w:name w:val="Основной текст + Полужирный;Интервал 0 pt"/>
    <w:basedOn w:val="DefaultParagraphFont"/>
    <w:qFormat/>
    <w:rsid w:val="00ec5db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8"/>
      <w:w w:val="100"/>
      <w:sz w:val="23"/>
      <w:szCs w:val="23"/>
      <w:u w:val="none"/>
      <w:shd w:fill="FFFFFF" w:val="clear"/>
      <w:lang w:val="ru-RU"/>
    </w:rPr>
  </w:style>
  <w:style w:type="character" w:styleId="Appleconvertedspace" w:customStyle="1">
    <w:name w:val="apple-converted-space"/>
    <w:basedOn w:val="DefaultParagraphFont"/>
    <w:qFormat/>
    <w:rsid w:val="00ec5dbd"/>
    <w:rPr/>
  </w:style>
  <w:style w:type="character" w:styleId="Style14" w:customStyle="1">
    <w:name w:val="Текст выноски Знак"/>
    <w:basedOn w:val="DefaultParagraphFont"/>
    <w:link w:val="ad"/>
    <w:uiPriority w:val="99"/>
    <w:semiHidden/>
    <w:qFormat/>
    <w:rsid w:val="00ec5dbd"/>
    <w:rPr>
      <w:rFonts w:ascii="Tahoma" w:hAnsi="Tahoma" w:eastAsia="Times New Roman" w:cs="Tahoma"/>
      <w:kern w:val="2"/>
      <w:sz w:val="16"/>
      <w:szCs w:val="16"/>
      <w:lang w:eastAsia="ar-SA"/>
    </w:rPr>
  </w:style>
  <w:style w:type="character" w:styleId="Ipa" w:customStyle="1">
    <w:name w:val="ipa"/>
    <w:basedOn w:val="DefaultParagraphFont"/>
    <w:qFormat/>
    <w:rsid w:val="009376da"/>
    <w:rPr/>
  </w:style>
  <w:style w:type="character" w:styleId="2" w:customStyle="1">
    <w:name w:val="Основной текст (2)_"/>
    <w:link w:val="20"/>
    <w:uiPriority w:val="99"/>
    <w:qFormat/>
    <w:locked/>
    <w:rsid w:val="00c94688"/>
    <w:rPr>
      <w:rFonts w:ascii="Times New Roman" w:hAnsi="Times New Roman"/>
      <w:b/>
      <w:bCs/>
      <w:spacing w:val="10"/>
      <w:shd w:fill="FFFFFF" w:val="clear"/>
    </w:rPr>
  </w:style>
  <w:style w:type="character" w:styleId="Style15" w:customStyle="1">
    <w:name w:val="Верхний колонтитул Знак"/>
    <w:basedOn w:val="DefaultParagraphFont"/>
    <w:link w:val="af1"/>
    <w:uiPriority w:val="99"/>
    <w:qFormat/>
    <w:rsid w:val="00fa40ef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Style16" w:customStyle="1">
    <w:name w:val="Нижний колонтитул Знак"/>
    <w:basedOn w:val="DefaultParagraphFont"/>
    <w:link w:val="af3"/>
    <w:uiPriority w:val="99"/>
    <w:semiHidden/>
    <w:qFormat/>
    <w:rsid w:val="00fa40ef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Style17">
    <w:name w:val="Абзац списка Знак"/>
    <w:qFormat/>
    <w:rPr>
      <w:sz w:val="24"/>
    </w:rPr>
  </w:style>
  <w:style w:type="character" w:styleId="U">
    <w:name w:val="u"/>
    <w:qFormat/>
    <w:rPr/>
  </w:style>
  <w:style w:type="character" w:styleId="Style18">
    <w:name w:val="Название Знак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Style19">
    <w:name w:val="Без интервала Знак"/>
    <w:qFormat/>
    <w:rPr>
      <w:rFonts w:eastAsia="Times New Roman"/>
      <w:szCs w:val="28"/>
      <w:lang w:eastAsia="en-US"/>
    </w:rPr>
  </w:style>
  <w:style w:type="character" w:styleId="HTML">
    <w:name w:val="Стандартный HTML Знак"/>
    <w:qFormat/>
    <w:rPr>
      <w:rFonts w:ascii="Courier New" w:hAnsi="Courier New" w:eastAsia="Times New Roman"/>
      <w:color w:val="000000"/>
      <w:sz w:val="20"/>
      <w:szCs w:val="20"/>
    </w:rPr>
  </w:style>
  <w:style w:type="character" w:styleId="Match">
    <w:name w:val="match"/>
    <w:qFormat/>
    <w:rPr>
      <w:rFonts w:eastAsia="Times New Roman"/>
    </w:rPr>
  </w:style>
  <w:style w:type="character" w:styleId="Style20">
    <w:name w:val="Текст Знак"/>
    <w:qFormat/>
    <w:rPr>
      <w:rFonts w:ascii="Courier New" w:hAnsi="Courier New" w:eastAsia="Times New Roman"/>
      <w:lang w:eastAsia="ar-SA"/>
    </w:rPr>
  </w:style>
  <w:style w:type="character" w:styleId="ConsNormal">
    <w:name w:val="ConsNormal Знак"/>
    <w:qFormat/>
    <w:rPr>
      <w:rFonts w:ascii="Arial" w:hAnsi="Arial" w:eastAsia="Arial"/>
      <w:lang w:eastAsia="ar-SA"/>
    </w:rPr>
  </w:style>
  <w:style w:type="character" w:styleId="ConsNonformat">
    <w:name w:val="ConsNonformat Знак"/>
    <w:qFormat/>
    <w:rPr>
      <w:rFonts w:ascii="Courier New" w:hAnsi="Courier New" w:eastAsia="Courier New"/>
    </w:rPr>
  </w:style>
  <w:style w:type="character" w:styleId="32">
    <w:name w:val="Основной текст 3 Знак"/>
    <w:qFormat/>
    <w:rPr>
      <w:rFonts w:eastAsia="Times New Roman"/>
      <w:szCs w:val="16"/>
    </w:rPr>
  </w:style>
  <w:style w:type="character" w:styleId="Style21">
    <w:name w:val="Основной текст с отступом Знак"/>
    <w:qFormat/>
    <w:rPr>
      <w:rFonts w:eastAsia="Times New Roman"/>
    </w:rPr>
  </w:style>
  <w:style w:type="character" w:styleId="Pagenumber">
    <w:name w:val="page number"/>
    <w:qFormat/>
    <w:rPr>
      <w:rFonts w:eastAsia="Times New Roman"/>
    </w:rPr>
  </w:style>
  <w:style w:type="character" w:styleId="6">
    <w:name w:val="Заголовок 6 Знак"/>
    <w:qFormat/>
    <w:rPr>
      <w:rFonts w:ascii="Calibri" w:hAnsi="Calibri" w:eastAsia="Times New Roman"/>
      <w:b/>
      <w:bCs/>
    </w:rPr>
  </w:style>
  <w:style w:type="character" w:styleId="5">
    <w:name w:val="Заголовок 5 Знак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21">
    <w:name w:val="Заголовок 2 Знак"/>
    <w:qFormat/>
    <w:rPr>
      <w:rFonts w:ascii="Cambria" w:hAnsi="Cambria" w:eastAsia="Times New Roman"/>
      <w:b/>
      <w:bCs/>
      <w:i/>
      <w:iCs/>
      <w:sz w:val="28"/>
      <w:szCs w:val="28"/>
    </w:rPr>
  </w:style>
  <w:style w:type="character" w:styleId="11">
    <w:name w:val="Заголовок 1 Знак"/>
    <w:qFormat/>
    <w:rPr>
      <w:rFonts w:ascii="Cambria" w:hAnsi="Cambria" w:eastAsia="Times New Roman"/>
      <w:b/>
      <w:bCs/>
      <w:kern w:val="2"/>
      <w:sz w:val="32"/>
      <w:szCs w:val="32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3">
    <w:name w:val="Body Text"/>
    <w:basedOn w:val="Normal"/>
    <w:link w:val="a5"/>
    <w:uiPriority w:val="99"/>
    <w:unhideWhenUsed/>
    <w:rsid w:val="003a49bb"/>
    <w:pPr>
      <w:spacing w:before="0" w:after="120"/>
    </w:pPr>
    <w:rPr/>
  </w:style>
  <w:style w:type="paragraph" w:styleId="Style24">
    <w:name w:val="List"/>
    <w:basedOn w:val="Style23"/>
    <w:pPr/>
    <w:rPr>
      <w:rFonts w:ascii="PT Astra Serif" w:hAnsi="PT Astra Serif" w:cs="Noto Sans Devanagari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link w:val="ConsPlusNormal0"/>
    <w:qFormat/>
    <w:rsid w:val="003a49bb"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8"/>
      <w:szCs w:val="28"/>
      <w:lang w:val="ru-RU" w:eastAsia="ar-SA" w:bidi="ar-SA"/>
    </w:rPr>
  </w:style>
  <w:style w:type="paragraph" w:styleId="Iacaaiea" w:customStyle="1">
    <w:name w:val="Iacaaiea"/>
    <w:basedOn w:val="Normal"/>
    <w:qFormat/>
    <w:rsid w:val="003a49bb"/>
    <w:pPr>
      <w:tabs>
        <w:tab w:val="clear" w:pos="343"/>
        <w:tab w:val="left" w:pos="426" w:leader="none"/>
      </w:tabs>
      <w:spacing w:lineRule="atLeast" w:line="360" w:before="120" w:after="0"/>
      <w:jc w:val="center"/>
    </w:pPr>
    <w:rPr>
      <w:b/>
      <w:bCs/>
      <w:sz w:val="22"/>
      <w:szCs w:val="22"/>
    </w:rPr>
  </w:style>
  <w:style w:type="paragraph" w:styleId="Style27" w:customStyle="1">
    <w:name w:val="Перечисление"/>
    <w:basedOn w:val="Normal"/>
    <w:qFormat/>
    <w:rsid w:val="0083276f"/>
    <w:pPr>
      <w:tabs>
        <w:tab w:val="clear" w:pos="343"/>
        <w:tab w:val="left" w:pos="360" w:leader="none"/>
      </w:tabs>
      <w:suppressAutoHyphens w:val="false"/>
      <w:spacing w:lineRule="auto" w:line="360" w:before="120" w:after="0"/>
      <w:ind w:left="360" w:hanging="360"/>
      <w:jc w:val="both"/>
    </w:pPr>
    <w:rPr>
      <w:kern w:val="0"/>
      <w:szCs w:val="20"/>
      <w:lang w:eastAsia="ru-RU"/>
    </w:rPr>
  </w:style>
  <w:style w:type="paragraph" w:styleId="NormalWeb">
    <w:name w:val="Normal (Web)"/>
    <w:basedOn w:val="Normal"/>
    <w:uiPriority w:val="99"/>
    <w:qFormat/>
    <w:rsid w:val="0083276f"/>
    <w:pPr>
      <w:suppressAutoHyphens w:val="false"/>
      <w:spacing w:lineRule="auto" w:line="240" w:beforeAutospacing="1" w:afterAutospacing="1"/>
    </w:pPr>
    <w:rPr>
      <w:rFonts w:ascii="Arial" w:hAnsi="Arial" w:cs="Arial"/>
      <w:color w:val="333333"/>
      <w:kern w:val="0"/>
      <w:sz w:val="18"/>
      <w:szCs w:val="18"/>
      <w:lang w:eastAsia="ru-RU"/>
    </w:rPr>
  </w:style>
  <w:style w:type="paragraph" w:styleId="Style28" w:customStyle="1">
    <w:name w:val="Текст без отступа"/>
    <w:basedOn w:val="Normal"/>
    <w:qFormat/>
    <w:rsid w:val="001f5486"/>
    <w:pPr>
      <w:suppressAutoHyphens w:val="false"/>
      <w:spacing w:lineRule="auto" w:line="240"/>
      <w:ind w:left="57" w:right="57" w:firstLine="397"/>
      <w:jc w:val="both"/>
    </w:pPr>
    <w:rPr>
      <w:rFonts w:ascii="Arial" w:hAnsi="Arial"/>
      <w:kern w:val="0"/>
      <w:sz w:val="20"/>
      <w:szCs w:val="20"/>
      <w:lang w:eastAsia="ru-RU"/>
    </w:rPr>
  </w:style>
  <w:style w:type="paragraph" w:styleId="Style29" w:customStyle="1">
    <w:name w:val="Заголовочный"/>
    <w:basedOn w:val="Normal"/>
    <w:qFormat/>
    <w:rsid w:val="001f5486"/>
    <w:pPr>
      <w:keepNext w:val="true"/>
      <w:suppressAutoHyphens w:val="false"/>
      <w:spacing w:lineRule="auto" w:line="240"/>
      <w:ind w:left="170" w:right="170" w:hanging="0"/>
      <w:jc w:val="center"/>
    </w:pPr>
    <w:rPr>
      <w:rFonts w:ascii="Arial" w:hAnsi="Arial"/>
      <w:kern w:val="0"/>
      <w:sz w:val="20"/>
      <w:szCs w:val="20"/>
      <w:lang w:eastAsia="ru-RU"/>
    </w:rPr>
  </w:style>
  <w:style w:type="paragraph" w:styleId="Style30" w:customStyle="1">
    <w:name w:val="Дефис-список"/>
    <w:basedOn w:val="Normal"/>
    <w:qFormat/>
    <w:rsid w:val="009e4a50"/>
    <w:pPr>
      <w:tabs>
        <w:tab w:val="clear" w:pos="343"/>
        <w:tab w:val="left" w:pos="993" w:leader="none"/>
      </w:tabs>
      <w:suppressAutoHyphens w:val="false"/>
      <w:spacing w:lineRule="auto" w:line="240"/>
      <w:ind w:left="170" w:right="170" w:firstLine="680"/>
      <w:jc w:val="both"/>
    </w:pPr>
    <w:rPr>
      <w:rFonts w:ascii="Arial" w:hAnsi="Arial"/>
      <w:kern w:val="0"/>
      <w:sz w:val="20"/>
      <w:szCs w:val="20"/>
      <w:lang w:eastAsia="ru-RU"/>
    </w:rPr>
  </w:style>
  <w:style w:type="paragraph" w:styleId="Style31" w:customStyle="1">
    <w:name w:val="список перечисления"/>
    <w:basedOn w:val="Style23"/>
    <w:qFormat/>
    <w:rsid w:val="009e4a50"/>
    <w:pPr>
      <w:widowControl w:val="false"/>
      <w:tabs>
        <w:tab w:val="clear" w:pos="343"/>
        <w:tab w:val="left" w:pos="0" w:leader="none"/>
      </w:tabs>
      <w:suppressAutoHyphens w:val="false"/>
      <w:spacing w:lineRule="auto" w:line="240" w:before="0" w:after="0"/>
      <w:ind w:left="142" w:right="170" w:firstLine="425"/>
      <w:jc w:val="both"/>
    </w:pPr>
    <w:rPr>
      <w:rFonts w:ascii="Arial" w:hAnsi="Arial"/>
      <w:kern w:val="0"/>
      <w:sz w:val="20"/>
      <w:szCs w:val="20"/>
      <w:lang w:eastAsia="ru-RU"/>
    </w:rPr>
  </w:style>
  <w:style w:type="paragraph" w:styleId="Iauiue1" w:customStyle="1">
    <w:name w:val="Iau?iue1"/>
    <w:qFormat/>
    <w:rsid w:val="009e4a50"/>
    <w:pPr>
      <w:widowControl w:val="false"/>
      <w:suppressAutoHyphens w:val="true"/>
      <w:bidi w:val="0"/>
      <w:spacing w:lineRule="atLeast" w:line="360" w:before="0" w:after="0"/>
      <w:ind w:firstLine="567"/>
      <w:jc w:val="both"/>
    </w:pPr>
    <w:rPr>
      <w:rFonts w:ascii="TimesDL" w:hAnsi="TimesD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d227f0"/>
    <w:pPr>
      <w:spacing w:before="0" w:after="0"/>
      <w:ind w:left="720" w:hanging="0"/>
      <w:contextualSpacing/>
    </w:pPr>
    <w:rPr/>
  </w:style>
  <w:style w:type="paragraph" w:styleId="Style49" w:customStyle="1">
    <w:name w:val="Style49"/>
    <w:basedOn w:val="Normal"/>
    <w:uiPriority w:val="99"/>
    <w:qFormat/>
    <w:rsid w:val="00d227f0"/>
    <w:pPr>
      <w:widowControl w:val="false"/>
      <w:suppressAutoHyphens w:val="false"/>
      <w:spacing w:lineRule="exact" w:line="484"/>
      <w:ind w:firstLine="715"/>
      <w:jc w:val="both"/>
    </w:pPr>
    <w:rPr>
      <w:rFonts w:eastAsia="" w:eastAsiaTheme="minorEastAsia"/>
      <w:kern w:val="0"/>
      <w:lang w:eastAsia="ru-RU"/>
    </w:rPr>
  </w:style>
  <w:style w:type="paragraph" w:styleId="Style50" w:customStyle="1">
    <w:name w:val="Style50"/>
    <w:basedOn w:val="Normal"/>
    <w:uiPriority w:val="99"/>
    <w:qFormat/>
    <w:rsid w:val="00d227f0"/>
    <w:pPr>
      <w:widowControl w:val="false"/>
      <w:suppressAutoHyphens w:val="false"/>
      <w:spacing w:lineRule="exact" w:line="485"/>
      <w:ind w:firstLine="706"/>
    </w:pPr>
    <w:rPr>
      <w:rFonts w:eastAsia="" w:eastAsiaTheme="minorEastAsia"/>
      <w:kern w:val="0"/>
      <w:lang w:eastAsia="ru-RU"/>
    </w:rPr>
  </w:style>
  <w:style w:type="paragraph" w:styleId="Style151" w:customStyle="1">
    <w:name w:val="Style15"/>
    <w:basedOn w:val="Normal"/>
    <w:uiPriority w:val="99"/>
    <w:qFormat/>
    <w:rsid w:val="00a447cc"/>
    <w:pPr>
      <w:widowControl w:val="false"/>
      <w:suppressAutoHyphens w:val="false"/>
      <w:spacing w:lineRule="exact" w:line="322"/>
      <w:jc w:val="center"/>
    </w:pPr>
    <w:rPr>
      <w:rFonts w:eastAsia="" w:eastAsiaTheme="minorEastAsia"/>
      <w:kern w:val="0"/>
      <w:lang w:eastAsia="ru-RU"/>
    </w:rPr>
  </w:style>
  <w:style w:type="paragraph" w:styleId="Style61" w:customStyle="1">
    <w:name w:val="Style6"/>
    <w:basedOn w:val="Normal"/>
    <w:uiPriority w:val="99"/>
    <w:qFormat/>
    <w:rsid w:val="002c44ca"/>
    <w:pPr>
      <w:widowControl w:val="false"/>
      <w:suppressAutoHyphens w:val="false"/>
      <w:spacing w:lineRule="exact" w:line="322"/>
      <w:jc w:val="center"/>
    </w:pPr>
    <w:rPr>
      <w:rFonts w:eastAsia="" w:eastAsiaTheme="minorEastAsia"/>
      <w:kern w:val="0"/>
      <w:lang w:eastAsia="ru-RU"/>
    </w:rPr>
  </w:style>
  <w:style w:type="paragraph" w:styleId="Style201" w:customStyle="1">
    <w:name w:val="Style20"/>
    <w:basedOn w:val="Normal"/>
    <w:uiPriority w:val="99"/>
    <w:qFormat/>
    <w:rsid w:val="00207f94"/>
    <w:pPr>
      <w:widowControl w:val="false"/>
      <w:suppressAutoHyphens w:val="false"/>
      <w:spacing w:lineRule="auto" w:line="240"/>
      <w:jc w:val="center"/>
    </w:pPr>
    <w:rPr>
      <w:rFonts w:eastAsia="" w:eastAsiaTheme="minorEastAsia"/>
      <w:kern w:val="0"/>
      <w:lang w:eastAsia="ru-RU"/>
    </w:rPr>
  </w:style>
  <w:style w:type="paragraph" w:styleId="Style611" w:customStyle="1">
    <w:name w:val="Style61"/>
    <w:basedOn w:val="Normal"/>
    <w:uiPriority w:val="99"/>
    <w:qFormat/>
    <w:rsid w:val="00207f94"/>
    <w:pPr>
      <w:widowControl w:val="false"/>
      <w:suppressAutoHyphens w:val="false"/>
      <w:spacing w:lineRule="exact" w:line="371"/>
      <w:ind w:hanging="787"/>
    </w:pPr>
    <w:rPr>
      <w:rFonts w:eastAsia="" w:eastAsiaTheme="minorEastAsia"/>
      <w:kern w:val="0"/>
      <w:lang w:eastAsia="ru-RU"/>
    </w:rPr>
  </w:style>
  <w:style w:type="paragraph" w:styleId="12" w:customStyle="1">
    <w:name w:val="Основной текст12"/>
    <w:basedOn w:val="Normal"/>
    <w:qFormat/>
    <w:rsid w:val="00ec5dbd"/>
    <w:pPr>
      <w:widowControl w:val="false"/>
      <w:shd w:val="clear" w:color="auto" w:fill="FFFFFF"/>
      <w:suppressAutoHyphens w:val="false"/>
      <w:spacing w:lineRule="exact" w:line="326" w:before="0" w:after="60"/>
      <w:ind w:hanging="700"/>
      <w:jc w:val="center"/>
    </w:pPr>
    <w:rPr>
      <w:rFonts w:eastAsia="Calibri"/>
      <w:spacing w:val="7"/>
      <w:kern w:val="0"/>
      <w:sz w:val="23"/>
      <w:szCs w:val="23"/>
      <w:lang w:eastAsia="en-US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ec5dbd"/>
    <w:pPr>
      <w:spacing w:lineRule="auto" w:line="240"/>
    </w:pPr>
    <w:rPr>
      <w:rFonts w:ascii="Tahoma" w:hAnsi="Tahoma" w:cs="Tahoma"/>
      <w:sz w:val="16"/>
      <w:szCs w:val="16"/>
    </w:rPr>
  </w:style>
  <w:style w:type="paragraph" w:styleId="Style32" w:customStyle="1">
    <w:name w:val="Обычный по центру"/>
    <w:basedOn w:val="Normal"/>
    <w:qFormat/>
    <w:rsid w:val="007d5edf"/>
    <w:pPr>
      <w:widowControl w:val="false"/>
      <w:suppressAutoHyphens w:val="false"/>
      <w:spacing w:lineRule="auto" w:line="240"/>
      <w:jc w:val="center"/>
    </w:pPr>
    <w:rPr>
      <w:color w:val="000000"/>
      <w:kern w:val="0"/>
      <w:szCs w:val="20"/>
      <w:lang w:eastAsia="ru-RU"/>
    </w:rPr>
  </w:style>
  <w:style w:type="paragraph" w:styleId="NoSpacing">
    <w:name w:val="No Spacing"/>
    <w:uiPriority w:val="1"/>
    <w:qFormat/>
    <w:rsid w:val="006d14c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4"/>
      <w:szCs w:val="22"/>
      <w:lang w:val="ru-RU" w:eastAsia="ru-RU" w:bidi="ar-SA"/>
    </w:rPr>
  </w:style>
  <w:style w:type="paragraph" w:styleId="22" w:customStyle="1">
    <w:name w:val="Основной текст (2)"/>
    <w:basedOn w:val="Normal"/>
    <w:link w:val="2"/>
    <w:uiPriority w:val="99"/>
    <w:qFormat/>
    <w:rsid w:val="00c94688"/>
    <w:pPr>
      <w:widowControl w:val="false"/>
      <w:shd w:val="clear" w:color="auto" w:fill="FFFFFF"/>
      <w:suppressAutoHyphens w:val="false"/>
      <w:spacing w:lineRule="exact" w:line="259"/>
      <w:jc w:val="center"/>
    </w:pPr>
    <w:rPr>
      <w:rFonts w:eastAsia="Calibri" w:cs="" w:cstheme="minorBidi" w:eastAsiaTheme="minorHAnsi"/>
      <w:b/>
      <w:bCs/>
      <w:spacing w:val="10"/>
      <w:kern w:val="0"/>
      <w:sz w:val="22"/>
      <w:szCs w:val="22"/>
      <w:lang w:eastAsia="en-US"/>
    </w:rPr>
  </w:style>
  <w:style w:type="paragraph" w:styleId="Style33">
    <w:name w:val="Верхний и нижний колонтитулы"/>
    <w:basedOn w:val="Normal"/>
    <w:qFormat/>
    <w:pPr/>
    <w:rPr/>
  </w:style>
  <w:style w:type="paragraph" w:styleId="Style34">
    <w:name w:val="Header"/>
    <w:basedOn w:val="Normal"/>
    <w:link w:val="af2"/>
    <w:uiPriority w:val="99"/>
    <w:unhideWhenUsed/>
    <w:rsid w:val="00fa40ef"/>
    <w:pPr>
      <w:tabs>
        <w:tab w:val="clear" w:pos="343"/>
        <w:tab w:val="center" w:pos="4677" w:leader="none"/>
        <w:tab w:val="right" w:pos="9355" w:leader="none"/>
      </w:tabs>
      <w:spacing w:lineRule="auto" w:line="240"/>
    </w:pPr>
    <w:rPr/>
  </w:style>
  <w:style w:type="paragraph" w:styleId="Style35">
    <w:name w:val="Footer"/>
    <w:basedOn w:val="Normal"/>
    <w:link w:val="af4"/>
    <w:uiPriority w:val="99"/>
    <w:semiHidden/>
    <w:unhideWhenUsed/>
    <w:rsid w:val="00fa40ef"/>
    <w:pPr>
      <w:tabs>
        <w:tab w:val="clear" w:pos="343"/>
        <w:tab w:val="center" w:pos="4677" w:leader="none"/>
        <w:tab w:val="right" w:pos="9355" w:leader="none"/>
      </w:tabs>
      <w:spacing w:lineRule="auto" w:line="240"/>
    </w:pPr>
    <w:rPr/>
  </w:style>
  <w:style w:type="paragraph" w:styleId="23">
    <w:name w:val="Без интервала2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Liberation Serif"/>
      <w:color w:val="auto"/>
      <w:kern w:val="0"/>
      <w:sz w:val="24"/>
      <w:szCs w:val="22"/>
      <w:lang w:val="ru-RU" w:eastAsia="ar-SA" w:bidi="ar-SA"/>
    </w:rPr>
  </w:style>
  <w:style w:type="paragraph" w:styleId="111">
    <w:name w:val="Знак1 Знак Знак Знак1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 w:bidi="ar-SA"/>
    </w:rPr>
  </w:style>
  <w:style w:type="paragraph" w:styleId="Normalcxsplast">
    <w:name w:val="normalcxsplast"/>
    <w:basedOn w:val="Normal"/>
    <w:qFormat/>
    <w:pPr>
      <w:spacing w:before="280" w:after="280"/>
    </w:pPr>
    <w:rPr/>
  </w:style>
  <w:style w:type="paragraph" w:styleId="HTMLPreformatted">
    <w:name w:val="HTML Preformatted"/>
    <w:basedOn w:val="Normal"/>
    <w:qFormat/>
    <w:pPr>
      <w:tabs>
        <w:tab w:val="clear" w:pos="343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000000"/>
      <w:sz w:val="20"/>
      <w:szCs w:val="20"/>
      <w:lang w:bidi="ar-SA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Liberation Serif"/>
      <w:color w:val="auto"/>
      <w:kern w:val="0"/>
      <w:sz w:val="24"/>
      <w:szCs w:val="22"/>
      <w:lang w:val="ru-RU" w:eastAsia="ar-SA" w:bidi="ar-SA"/>
    </w:rPr>
  </w:style>
  <w:style w:type="paragraph" w:styleId="10">
    <w:name w:val="Знак10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33">
    <w:name w:val="Знак3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13">
    <w:name w:val="Знак1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24">
    <w:name w:val="Знак2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211">
    <w:name w:val="Основной текст 21"/>
    <w:basedOn w:val="Normal"/>
    <w:qFormat/>
    <w:pPr>
      <w:ind w:firstLine="709"/>
      <w:jc w:val="both"/>
    </w:pPr>
    <w:rPr>
      <w:sz w:val="28"/>
    </w:rPr>
  </w:style>
  <w:style w:type="paragraph" w:styleId="Style36">
    <w:name w:val="Знак"/>
    <w:basedOn w:val="Normal"/>
    <w:qFormat/>
    <w:pPr>
      <w:spacing w:lineRule="exact" w:line="240" w:before="0" w:after="160"/>
    </w:pPr>
    <w:rPr>
      <w:rFonts w:ascii="Verdana" w:hAnsi="Verdana" w:eastAsia="Verdana"/>
      <w:sz w:val="20"/>
      <w:szCs w:val="20"/>
      <w:lang w:val="en-US" w:eastAsia="ar-SA"/>
    </w:rPr>
  </w:style>
  <w:style w:type="paragraph" w:styleId="ConsNormal1">
    <w:name w:val="ConsNormal"/>
    <w:qFormat/>
    <w:pPr>
      <w:widowControl w:val="false"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Arial" w:cs="Liberation Serif"/>
      <w:color w:val="auto"/>
      <w:kern w:val="0"/>
      <w:sz w:val="20"/>
      <w:szCs w:val="20"/>
      <w:lang w:val="ru-RU" w:eastAsia="ar-SA" w:bidi="ar-SA"/>
    </w:rPr>
  </w:style>
  <w:style w:type="paragraph" w:styleId="ConsNonformat1">
    <w:name w:val="ConsNonformat"/>
    <w:qFormat/>
    <w:pPr>
      <w:widowControl w:val="false"/>
      <w:suppressAutoHyphens w:val="true"/>
      <w:bidi w:val="0"/>
      <w:spacing w:lineRule="auto" w:line="240" w:before="0" w:after="0"/>
      <w:ind w:right="19772" w:hanging="0"/>
      <w:jc w:val="left"/>
    </w:pPr>
    <w:rPr>
      <w:rFonts w:ascii="Courier New" w:hAnsi="Courier New" w:eastAsia="Courier New" w:cs="Liberation Serif"/>
      <w:color w:val="auto"/>
      <w:kern w:val="0"/>
      <w:sz w:val="20"/>
      <w:szCs w:val="20"/>
      <w:lang w:val="ru-RU" w:eastAsia="ar-SA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</w:rPr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f3279c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zakupki.gov.ru/" TargetMode="External"/><Relationship Id="rId3" Type="http://schemas.openxmlformats.org/officeDocument/2006/relationships/hyperlink" Target="garantf1://70373958.0" TargetMode="External"/><Relationship Id="rId4" Type="http://schemas.openxmlformats.org/officeDocument/2006/relationships/image" Target="media/image1.wmf"/><Relationship Id="rId5" Type="http://schemas.openxmlformats.org/officeDocument/2006/relationships/image" Target="media/image2.wmf"/><Relationship Id="rId6" Type="http://schemas.openxmlformats.org/officeDocument/2006/relationships/image" Target="media/image3.wmf"/><Relationship Id="rId7" Type="http://schemas.openxmlformats.org/officeDocument/2006/relationships/image" Target="media/image4.wmf"/><Relationship Id="rId8" Type="http://schemas.openxmlformats.org/officeDocument/2006/relationships/image" Target="media/image5.wmf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DCF4F-9B0A-4B19-B645-E736BCB9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6394</TotalTime>
  <Application>LibreOffice/6.4.7.2$Linux_X86_64 LibreOffice_project/40$Build-2</Application>
  <Pages>2</Pages>
  <Words>630</Words>
  <Characters>4147</Characters>
  <CharactersWithSpaces>4752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2025-09-22T10:33:10Z</cp:lastPrinted>
  <dcterms:modified xsi:type="dcterms:W3CDTF">2026-07-22T15:02:17Z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