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hanging="0"/>
        <w:jc w:val="right"/>
        <w:rPr>
          <w:rFonts w:ascii="PT Serif" w:hAnsi="PT Serif" w:cs="Times New Roman"/>
          <w:sz w:val="24"/>
          <w:szCs w:val="24"/>
        </w:rPr>
      </w:pPr>
      <w:r>
        <w:rPr>
          <w:rFonts w:cs="Times New Roman" w:ascii="PT Serif" w:hAnsi="PT Serif"/>
          <w:sz w:val="24"/>
          <w:szCs w:val="24"/>
        </w:rPr>
      </w:r>
    </w:p>
    <w:p>
      <w:pPr>
        <w:pStyle w:val="Normal"/>
        <w:jc w:val="center"/>
        <w:rPr>
          <w:rFonts w:ascii="PT Serif" w:hAnsi="PT Serif"/>
          <w:sz w:val="24"/>
          <w:szCs w:val="24"/>
        </w:rPr>
      </w:pPr>
      <w:r>
        <w:rPr>
          <w:rFonts w:ascii="PT Serif" w:hAnsi="PT Serif"/>
          <w:b/>
          <w:bCs/>
          <w:sz w:val="24"/>
          <w:szCs w:val="24"/>
        </w:rPr>
        <w:t>Техническое задание</w:t>
      </w:r>
    </w:p>
    <w:tbl>
      <w:tblPr>
        <w:tblW w:w="5000" w:type="pct"/>
        <w:jc w:val="left"/>
        <w:tblInd w:w="-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16"/>
        <w:gridCol w:w="3273"/>
        <w:gridCol w:w="6132"/>
      </w:tblGrid>
      <w:tr>
        <w:trPr>
          <w:trHeight w:val="1350" w:hRule="atLeast"/>
        </w:trPr>
        <w:tc>
          <w:tcPr>
            <w:tcW w:w="5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</w:rPr>
              <w:t>Наименование и описание объекта закупки,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ascii="PT Serif" w:hAnsi="PT Serif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</w:rPr>
              <w:t>ОКПД2 (КТРУ)</w:t>
            </w:r>
          </w:p>
        </w:tc>
        <w:tc>
          <w:tcPr>
            <w:tcW w:w="61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left"/>
              <w:rPr>
                <w:sz w:val="22"/>
              </w:rPr>
            </w:pPr>
            <w:r>
              <w:rPr>
                <w:rStyle w:val="Hyperlink"/>
                <w:rFonts w:eastAsia="Times New Roman" w:cs="Times New Roman" w:ascii="PT Serif" w:hAnsi="PT Serif"/>
                <w:b w:val="false"/>
                <w:bCs/>
                <w:i w:val="false"/>
                <w:iCs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-6"/>
                <w:kern w:val="0"/>
                <w:sz w:val="20"/>
                <w:szCs w:val="20"/>
                <w:u w:val="none"/>
                <w:effect w:val="none"/>
                <w:shd w:fill="auto" w:val="clear"/>
                <w:em w:val="none"/>
                <w:lang w:val="ru-RU" w:eastAsia="ru-RU" w:bidi="ar-SA"/>
              </w:rPr>
              <w:t xml:space="preserve">Оказание платных образовательных услуг на цикле профессиональная переподготовка: </w:t>
            </w:r>
            <w:r>
              <w:rPr>
                <w:rStyle w:val="Hyperlink"/>
                <w:rFonts w:cs="Times New Roman" w:ascii="PT Serif" w:hAnsi="PT Serif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0"/>
                <w:szCs w:val="20"/>
                <w:u w:val="none"/>
                <w:effect w:val="none"/>
                <w:shd w:fill="auto" w:val="clear"/>
                <w:em w:val="none"/>
                <w:lang w:val="ru-RU" w:eastAsia="en-US" w:bidi="ar-SA"/>
              </w:rPr>
              <w:t>«Обеспечение защиты информации ограниченного доступа, не содержащей сведения, составляющие государственную тайну»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85.42.19</w:t>
            </w:r>
          </w:p>
        </w:tc>
      </w:tr>
      <w:tr>
        <w:trPr>
          <w:trHeight w:val="1185" w:hRule="atLeast"/>
        </w:trPr>
        <w:tc>
          <w:tcPr>
            <w:tcW w:w="5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</w:rPr>
              <w:t>Количество/объем поставляемых товаров (выполняемых работ, оказываемых услуг)</w:t>
            </w:r>
          </w:p>
        </w:tc>
        <w:tc>
          <w:tcPr>
            <w:tcW w:w="61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 чел.</w:t>
            </w:r>
          </w:p>
        </w:tc>
      </w:tr>
      <w:tr>
        <w:trPr>
          <w:trHeight w:val="2257" w:hRule="atLeast"/>
        </w:trPr>
        <w:tc>
          <w:tcPr>
            <w:tcW w:w="5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2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</w:rPr>
              <w:t>Требование к качеству  поставляемых товаров (выполняемых работ, оказываемых услуг)</w:t>
            </w:r>
          </w:p>
        </w:tc>
        <w:tc>
          <w:tcPr>
            <w:tcW w:w="61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1"/>
              <w:widowControl w:val="false"/>
              <w:spacing w:lineRule="auto" w:line="24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PT Serif" w:hAnsi="PT Serif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en-US"/>
              </w:rPr>
              <w:t xml:space="preserve">Форма получения образования: очная форма обучения с применением дистанционных образовательных технологий (ДОТ). </w:t>
            </w:r>
            <w:r>
              <w:rPr>
                <w:rFonts w:ascii="PT Serif" w:hAnsi="PT Serif"/>
                <w:bCs/>
                <w:sz w:val="24"/>
                <w:szCs w:val="24"/>
                <w:shd w:fill="auto" w:val="clear"/>
              </w:rPr>
              <w:t>Проведение учебного процесса в соответствии с учебным планом, программой обучения и графиком (расписанием) занятий, утвержденными в установленном порядке.</w:t>
            </w:r>
          </w:p>
          <w:p>
            <w:pPr>
              <w:pStyle w:val="Style19"/>
              <w:widowControl w:val="false"/>
              <w:tabs>
                <w:tab w:val="clear" w:pos="1980"/>
              </w:tabs>
              <w:ind w:hanging="0" w:left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PT Serif" w:hAnsi="PT Serif"/>
                <w:bCs/>
                <w:sz w:val="24"/>
                <w:szCs w:val="24"/>
                <w:shd w:fill="auto" w:val="clear"/>
              </w:rPr>
              <w:t>Профессиональное обучение должно включать в себя теоретический и практический курс.</w:t>
            </w:r>
          </w:p>
          <w:p>
            <w:pPr>
              <w:pStyle w:val="Style19"/>
              <w:widowControl w:val="false"/>
              <w:tabs>
                <w:tab w:val="clear" w:pos="1980"/>
              </w:tabs>
              <w:ind w:hanging="0" w:left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PT Serif" w:hAnsi="PT Serif"/>
                <w:bCs/>
                <w:sz w:val="24"/>
                <w:szCs w:val="24"/>
                <w:shd w:fill="auto" w:val="clear"/>
              </w:rPr>
              <w:t xml:space="preserve">Срок профессионального обучения </w:t>
            </w:r>
            <w:r>
              <w:rPr>
                <w:rFonts w:ascii="PT Serif" w:hAnsi="PT Serif"/>
                <w:sz w:val="24"/>
                <w:szCs w:val="24"/>
                <w:shd w:fill="auto" w:val="clear"/>
              </w:rPr>
              <w:t>не менее 512 часов.</w:t>
            </w:r>
          </w:p>
        </w:tc>
      </w:tr>
      <w:tr>
        <w:trPr>
          <w:trHeight w:val="45" w:hRule="atLeast"/>
        </w:trPr>
        <w:tc>
          <w:tcPr>
            <w:tcW w:w="5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32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</w:rPr>
              <w:t>Требования к техническим характеристикам поставляемых товаров (выполняемых работ, оказываемых услуг)</w:t>
            </w:r>
          </w:p>
        </w:tc>
        <w:tc>
          <w:tcPr>
            <w:tcW w:w="61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Arial" w:cs="Times New Roman" w:ascii="PT Serif" w:hAnsi="PT Serif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ar-SA"/>
              </w:rPr>
              <w:t>Исполнитель обязан определить график проведения занятий, подготовить учебно-материальную базу (собственную или арендуемую), организовать учебный процесс.</w:t>
            </w:r>
          </w:p>
        </w:tc>
      </w:tr>
      <w:tr>
        <w:trPr>
          <w:trHeight w:val="3860" w:hRule="atLeast"/>
        </w:trPr>
        <w:tc>
          <w:tcPr>
            <w:tcW w:w="5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32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</w:rPr>
              <w:t>Требования к функциональным характеристикам (потребительским свойствам) поставляемых товаров (выполняемых работ, оказываемых услуг)</w:t>
            </w:r>
          </w:p>
        </w:tc>
        <w:tc>
          <w:tcPr>
            <w:tcW w:w="61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Style19"/>
              <w:widowControl w:val="false"/>
              <w:tabs>
                <w:tab w:val="clear" w:pos="1980"/>
              </w:tabs>
              <w:ind w:hanging="0" w:left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PT Serif" w:hAnsi="PT Serif"/>
                <w:bCs/>
                <w:sz w:val="24"/>
                <w:szCs w:val="24"/>
                <w:shd w:fill="auto" w:val="clear"/>
              </w:rPr>
              <w:t>Образовательная программа должна:</w:t>
            </w:r>
          </w:p>
          <w:p>
            <w:pPr>
              <w:pStyle w:val="Style19"/>
              <w:widowControl w:val="false"/>
              <w:tabs>
                <w:tab w:val="clear" w:pos="1980"/>
              </w:tabs>
              <w:ind w:hanging="0" w:left="0"/>
              <w:jc w:val="both"/>
              <w:rPr>
                <w:rFonts w:ascii="PT Serif" w:hAnsi="PT Serif"/>
                <w:bCs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PT Serif" w:hAnsi="PT Serif"/>
                <w:bCs/>
                <w:sz w:val="24"/>
                <w:szCs w:val="24"/>
                <w:shd w:fill="auto" w:val="clear"/>
              </w:rPr>
            </w:r>
          </w:p>
          <w:p>
            <w:pPr>
              <w:pStyle w:val="Style19"/>
              <w:widowControl w:val="false"/>
              <w:tabs>
                <w:tab w:val="clear" w:pos="1980"/>
              </w:tabs>
              <w:ind w:hanging="837" w:left="900"/>
              <w:jc w:val="both"/>
              <w:rPr>
                <w:highlight w:val="none"/>
                <w:shd w:fill="auto" w:val="clear"/>
              </w:rPr>
            </w:pPr>
            <w:r>
              <w:rPr>
                <w:rFonts w:ascii="PT Serif" w:hAnsi="PT Serif"/>
                <w:bCs/>
                <w:sz w:val="24"/>
                <w:szCs w:val="24"/>
                <w:shd w:fill="auto" w:val="clear"/>
              </w:rPr>
              <w:t>- включать очные лекционные и практические</w:t>
            </w:r>
          </w:p>
          <w:p>
            <w:pPr>
              <w:pStyle w:val="Style19"/>
              <w:widowControl w:val="false"/>
              <w:tabs>
                <w:tab w:val="clear" w:pos="1980"/>
              </w:tabs>
              <w:ind w:hanging="837" w:left="900"/>
              <w:jc w:val="both"/>
              <w:rPr>
                <w:highlight w:val="none"/>
                <w:shd w:fill="auto" w:val="clear"/>
              </w:rPr>
            </w:pPr>
            <w:r>
              <w:rPr>
                <w:rFonts w:ascii="PT Serif" w:hAnsi="PT Serif"/>
                <w:bCs/>
                <w:sz w:val="24"/>
                <w:szCs w:val="24"/>
                <w:shd w:fill="auto" w:val="clear"/>
              </w:rPr>
              <w:t>занятия;</w:t>
            </w:r>
          </w:p>
          <w:p>
            <w:pPr>
              <w:pStyle w:val="Style19"/>
              <w:widowControl w:val="false"/>
              <w:tabs>
                <w:tab w:val="clear" w:pos="1980"/>
              </w:tabs>
              <w:ind w:hanging="0" w:left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PT Serif" w:hAnsi="PT Serif"/>
                <w:bCs/>
                <w:sz w:val="24"/>
                <w:szCs w:val="24"/>
                <w:shd w:fill="auto" w:val="clear"/>
              </w:rPr>
              <w:t>- быть оптимальной по длительности обучения, а также по видам и нормативам учебной нагрузки.</w:t>
            </w:r>
          </w:p>
          <w:p>
            <w:pPr>
              <w:pStyle w:val="Style19"/>
              <w:widowControl w:val="false"/>
              <w:tabs>
                <w:tab w:val="clear" w:pos="1980"/>
              </w:tabs>
              <w:ind w:hanging="0" w:left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PT Serif" w:hAnsi="PT Serif"/>
                <w:bCs/>
                <w:sz w:val="24"/>
                <w:szCs w:val="24"/>
                <w:shd w:fill="auto" w:val="clear"/>
              </w:rPr>
              <w:t xml:space="preserve">- </w:t>
            </w:r>
            <w:r>
              <w:rPr>
                <w:rFonts w:eastAsia="Arial" w:cs="Times New Roman" w:ascii="PT Serif" w:hAnsi="PT Serif"/>
                <w:bCs/>
                <w:sz w:val="24"/>
                <w:szCs w:val="24"/>
                <w:shd w:fill="auto" w:val="clear"/>
                <w:lang w:eastAsia="ar-SA"/>
              </w:rPr>
              <w:t>быть ориентирована на современные инновационные образовательные технологии и средства обучения, в том числе активные методы, анализ конкретных ситуаций, использование теорий и практики принятия управленческих решений, дифференцированное обучение, применение современных методов контроля и управления образовательным процессом.</w:t>
            </w:r>
          </w:p>
          <w:p>
            <w:pPr>
              <w:pStyle w:val="Style19"/>
              <w:widowControl w:val="false"/>
              <w:tabs>
                <w:tab w:val="clear" w:pos="1980"/>
              </w:tabs>
              <w:ind w:hanging="0" w:left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Arial" w:cs="Times New Roman" w:ascii="PT Serif" w:hAnsi="PT Serif"/>
                <w:bCs/>
                <w:sz w:val="24"/>
                <w:szCs w:val="24"/>
                <w:shd w:fill="auto" w:val="clear"/>
                <w:lang w:eastAsia="ar-SA"/>
              </w:rPr>
              <w:t>- программа должна реализовываться с использованием учебно-методических материалов.</w:t>
            </w:r>
          </w:p>
          <w:p>
            <w:pPr>
              <w:pStyle w:val="Style19"/>
              <w:widowControl w:val="false"/>
              <w:tabs>
                <w:tab w:val="clear" w:pos="1980"/>
              </w:tabs>
              <w:ind w:hanging="0" w:left="0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310" w:hRule="atLeast"/>
        </w:trPr>
        <w:tc>
          <w:tcPr>
            <w:tcW w:w="5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32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</w:rPr>
              <w:t>Требования к объему гарантий качества поставляемых товаров (выполняемых работ, оказываемых услуг)</w:t>
            </w:r>
          </w:p>
        </w:tc>
        <w:tc>
          <w:tcPr>
            <w:tcW w:w="61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1"/>
              <w:widowControl w:val="false"/>
              <w:spacing w:lineRule="auto" w:line="240"/>
              <w:jc w:val="both"/>
              <w:rPr>
                <w:highlight w:val="none"/>
                <w:shd w:fill="auto" w:val="clear"/>
              </w:rPr>
            </w:pPr>
            <w:r>
              <w:rPr>
                <w:rFonts w:ascii="PT Serif" w:hAnsi="PT Serif"/>
                <w:bCs/>
                <w:sz w:val="24"/>
                <w:szCs w:val="24"/>
                <w:shd w:fill="auto" w:val="clear"/>
              </w:rPr>
              <w:t>Обучающийся должен быть обеспечен необходимым комплектом учебно-методических материалов по разделам учебной программы</w:t>
            </w:r>
          </w:p>
          <w:p>
            <w:pPr>
              <w:pStyle w:val="Style19"/>
              <w:widowControl w:val="false"/>
              <w:tabs>
                <w:tab w:val="clear" w:pos="1980"/>
                <w:tab w:val="left" w:pos="708" w:leader="none"/>
              </w:tabs>
              <w:ind w:hanging="0" w:left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PT Serif" w:hAnsi="PT Serif"/>
                <w:bCs/>
                <w:color w:val="000000"/>
                <w:sz w:val="24"/>
                <w:szCs w:val="24"/>
                <w:shd w:fill="auto" w:val="clear"/>
              </w:rPr>
              <w:t>По окончанию обучения обучающая организация должна выдать диплом о профессиональной переподготовке установленного образца и отправить его на юридический адрес Заказчика, либо выдать его в виде электронного документа, образец которого устанавливается обучающей организацией самостоятельно.</w:t>
            </w:r>
          </w:p>
        </w:tc>
      </w:tr>
      <w:tr>
        <w:trPr>
          <w:trHeight w:val="1607" w:hRule="atLeast"/>
        </w:trPr>
        <w:tc>
          <w:tcPr>
            <w:tcW w:w="5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/>
                <w:color w:val="000000"/>
                <w:sz w:val="24"/>
                <w:szCs w:val="24"/>
              </w:rPr>
              <w:t>7.</w:t>
            </w:r>
          </w:p>
        </w:tc>
        <w:tc>
          <w:tcPr>
            <w:tcW w:w="32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pacing w:val="-4"/>
                <w:sz w:val="24"/>
                <w:szCs w:val="24"/>
              </w:rPr>
              <w:t xml:space="preserve">Место </w:t>
            </w: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</w:rPr>
              <w:t>поставки товаров (выполнения работ, оказания услуг)</w:t>
            </w:r>
          </w:p>
        </w:tc>
        <w:tc>
          <w:tcPr>
            <w:tcW w:w="61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Style19"/>
              <w:widowControl w:val="false"/>
              <w:tabs>
                <w:tab w:val="clear" w:pos="1980"/>
                <w:tab w:val="left" w:pos="708" w:leader="none"/>
              </w:tabs>
              <w:ind w:hanging="0" w:left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PT Serif" w:hAnsi="PT Serif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en-US"/>
              </w:rPr>
              <w:t xml:space="preserve">Место оказания услуг: г. </w:t>
            </w:r>
            <w:r>
              <w:rPr>
                <w:rFonts w:eastAsia="Calibri" w:cs="Times New Roman" w:ascii="PT Serif" w:hAnsi="PT Serif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en-US"/>
              </w:rPr>
              <w:t>Москва</w:t>
            </w:r>
            <w:r>
              <w:rPr>
                <w:rFonts w:eastAsia="Calibri" w:cs="Times New Roman" w:ascii="PT Serif" w:hAnsi="PT Serif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en-US"/>
              </w:rPr>
              <w:t>, по месту нахождения исполнителя.</w:t>
            </w:r>
          </w:p>
          <w:p>
            <w:pPr>
              <w:pStyle w:val="Style19"/>
              <w:widowControl w:val="false"/>
              <w:tabs>
                <w:tab w:val="clear" w:pos="1980"/>
                <w:tab w:val="left" w:pos="708" w:leader="none"/>
              </w:tabs>
              <w:ind w:hanging="0" w:left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PT Serif" w:hAnsi="PT Serif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en-US"/>
              </w:rPr>
            </w:r>
          </w:p>
          <w:p>
            <w:pPr>
              <w:pStyle w:val="Style19"/>
              <w:widowControl w:val="false"/>
              <w:tabs>
                <w:tab w:val="clear" w:pos="1980"/>
                <w:tab w:val="left" w:pos="708" w:leader="none"/>
              </w:tabs>
              <w:ind w:hanging="0" w:left="0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1861" w:hRule="atLeast"/>
        </w:trPr>
        <w:tc>
          <w:tcPr>
            <w:tcW w:w="5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/>
                <w:color w:val="000000"/>
                <w:sz w:val="24"/>
                <w:szCs w:val="24"/>
              </w:rPr>
              <w:t>8.</w:t>
            </w:r>
          </w:p>
        </w:tc>
        <w:tc>
          <w:tcPr>
            <w:tcW w:w="32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pacing w:val="-4"/>
                <w:sz w:val="24"/>
                <w:szCs w:val="24"/>
              </w:rPr>
              <w:t xml:space="preserve">Срок/периодичность </w:t>
            </w:r>
            <w:r>
              <w:rPr>
                <w:rFonts w:cs="Times New Roman" w:ascii="PT Serif" w:hAnsi="PT Serif"/>
                <w:b w:val="false"/>
                <w:bCs w:val="false"/>
                <w:color w:val="000000"/>
                <w:sz w:val="24"/>
                <w:szCs w:val="24"/>
              </w:rPr>
              <w:t>поставки товаров (выполнения работ, оказания услуг)</w:t>
            </w:r>
          </w:p>
        </w:tc>
        <w:tc>
          <w:tcPr>
            <w:tcW w:w="61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Style19"/>
              <w:widowControl w:val="false"/>
              <w:tabs>
                <w:tab w:val="clear" w:pos="1980"/>
                <w:tab w:val="left" w:pos="708" w:leader="none"/>
              </w:tabs>
              <w:ind w:hanging="0" w:left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PT Serif" w:hAnsi="PT Serif"/>
                <w:sz w:val="24"/>
                <w:szCs w:val="24"/>
                <w:shd w:fill="auto" w:val="clear"/>
              </w:rPr>
              <w:t>Занятия: 14.07.2026 — 02.12.2026</w:t>
            </w:r>
          </w:p>
          <w:p>
            <w:pPr>
              <w:pStyle w:val="Style19"/>
              <w:widowControl w:val="false"/>
              <w:tabs>
                <w:tab w:val="clear" w:pos="1980"/>
                <w:tab w:val="left" w:pos="708" w:leader="none"/>
              </w:tabs>
              <w:ind w:hanging="0" w:left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PT Serif" w:hAnsi="PT Serif"/>
                <w:sz w:val="24"/>
                <w:szCs w:val="24"/>
                <w:shd w:fill="auto" w:val="clear"/>
              </w:rPr>
              <w:t>Расписание занятий согласовывается с Заказчиком в течении 3-х рабочих дней с момента заключения государственного контракта.</w:t>
            </w:r>
          </w:p>
        </w:tc>
      </w:tr>
      <w:tr>
        <w:trPr>
          <w:trHeight w:val="3120" w:hRule="atLeast"/>
        </w:trPr>
        <w:tc>
          <w:tcPr>
            <w:tcW w:w="5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/>
                <w:color w:val="000000"/>
                <w:sz w:val="24"/>
                <w:szCs w:val="24"/>
              </w:rPr>
              <w:t>9.</w:t>
            </w:r>
          </w:p>
        </w:tc>
        <w:tc>
          <w:tcPr>
            <w:tcW w:w="32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PT Serif" w:hAnsi="PT Serif"/>
                <w:sz w:val="24"/>
                <w:szCs w:val="24"/>
              </w:rPr>
            </w:pPr>
            <w:r>
              <w:rPr>
                <w:rFonts w:cs="Times New Roman" w:ascii="PT Serif" w:hAnsi="PT Serif"/>
                <w:b w:val="false"/>
                <w:bCs w:val="false"/>
                <w:color w:val="000000"/>
                <w:spacing w:val="-4"/>
                <w:sz w:val="24"/>
                <w:szCs w:val="24"/>
              </w:rPr>
              <w:t>Дополнительные требования/особые условия</w:t>
            </w:r>
          </w:p>
        </w:tc>
        <w:tc>
          <w:tcPr>
            <w:tcW w:w="613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ascii="PT Serif" w:hAnsi="PT Serif"/>
                <w:sz w:val="24"/>
                <w:szCs w:val="24"/>
                <w:shd w:fill="auto" w:val="clear"/>
              </w:rPr>
              <w:t xml:space="preserve">Наличие </w:t>
            </w:r>
            <w:r>
              <w:rPr>
                <w:rFonts w:ascii="PT Serif" w:hAnsi="PT Serif"/>
                <w:iCs/>
                <w:sz w:val="24"/>
                <w:szCs w:val="24"/>
                <w:shd w:fill="auto" w:val="clear"/>
              </w:rPr>
              <w:t>действующей лицензии</w:t>
            </w:r>
            <w:r>
              <w:rPr>
                <w:rFonts w:ascii="PT Serif" w:hAnsi="PT Serif"/>
                <w:sz w:val="24"/>
                <w:szCs w:val="24"/>
                <w:shd w:fill="auto" w:val="clear"/>
              </w:rPr>
              <w:t xml:space="preserve"> на осуществление образовательной деятельности по указанной в приложении образовательной программе (Федеральный закон от 04.05.2011 № 99-ФЗ «О лицензировании отдельных видов деятельности»,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ascii="PT Serif" w:hAnsi="PT Serif"/>
                <w:sz w:val="24"/>
                <w:szCs w:val="24"/>
                <w:shd w:fill="auto" w:val="clear"/>
              </w:rPr>
              <w:t xml:space="preserve">Наличие </w:t>
            </w:r>
            <w:r>
              <w:rPr>
                <w:rStyle w:val="apple-converted-space"/>
                <w:rFonts w:ascii="PT Serif" w:hAnsi="PT Serif"/>
                <w:color w:val="464C55"/>
                <w:sz w:val="24"/>
                <w:szCs w:val="24"/>
                <w:shd w:fill="auto" w:val="clear"/>
              </w:rPr>
              <w:t>с</w:t>
            </w:r>
            <w:r>
              <w:rPr>
                <w:rFonts w:ascii="PT Serif" w:hAnsi="PT Serif"/>
                <w:sz w:val="24"/>
                <w:szCs w:val="24"/>
                <w:shd w:fill="auto" w:val="clear"/>
              </w:rPr>
              <w:t>видетельства о государственной аккредитации (</w:t>
            </w:r>
            <w:r>
              <w:rPr>
                <w:rFonts w:ascii="PT Serif" w:hAnsi="PT Serif"/>
                <w:bCs/>
                <w:color w:val="000000"/>
                <w:sz w:val="24"/>
                <w:szCs w:val="24"/>
                <w:shd w:fill="auto" w:val="clear"/>
              </w:rPr>
              <w:t>Постановление Правительства РФ от 18.11.2013 № 1039 «О государственной аккредитации образовательной деятельности»)</w:t>
            </w:r>
          </w:p>
          <w:p>
            <w:pPr>
              <w:pStyle w:val="Normal"/>
              <w:widowControl w:val="false"/>
              <w:jc w:val="both"/>
              <w:rPr>
                <w:rFonts w:ascii="PT Serif" w:hAnsi="PT Serif" w:eastAsia="Arial Unicode MS" w:cs="Times New Roman"/>
                <w:b w:val="false"/>
                <w:bCs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ru-RU"/>
              </w:rPr>
            </w:pPr>
            <w:r>
              <w:rPr>
                <w:rFonts w:eastAsia="Arial Unicode MS" w:cs="Times New Roman" w:ascii="PT Serif" w:hAnsi="PT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ru-RU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</w:rPr>
        <w:t>Требования к исполнителю</w:t>
      </w:r>
      <w:r>
        <w:rPr>
          <w:rFonts w:eastAsia="Times New Roman" w:cs="Times New Roman"/>
          <w:bCs/>
          <w:sz w:val="24"/>
          <w:szCs w:val="24"/>
        </w:rPr>
        <w:t xml:space="preserve">: 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bCs/>
        </w:rPr>
        <w:t>У</w:t>
      </w:r>
      <w:r>
        <w:rPr>
          <w:rFonts w:eastAsia="Times New Roman" w:cs="Times New Roman"/>
        </w:rPr>
        <w:t xml:space="preserve">слуга оказывается организацией, имеющей лицензию на оказание данного вида деятельности в соответствии с Федеральным законом от 29.12.2012 № 273-ФЗ «Об образовании в Российской Федерации» п. 1 ст.91. 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851" w:right="1134" w:gutter="0" w:header="709" w:top="133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Cambria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PT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11d1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spacing w:lineRule="auto" w:line="240" w:before="240" w:after="60"/>
      <w:outlineLvl w:val="0"/>
    </w:pPr>
    <w:rPr>
      <w:rFonts w:ascii="Calibri Light" w:hAnsi="Calibri Light" w:eastAsia="Times New Roman" w:cs="Times New Roman"/>
      <w:b/>
      <w:bCs/>
      <w:kern w:val="2"/>
      <w:sz w:val="32"/>
      <w:szCs w:val="32"/>
      <w:lang w:eastAsia="ru-RU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pacing w:before="200" w:after="0"/>
      <w:outlineLvl w:val="3"/>
    </w:pPr>
    <w:rPr>
      <w:rFonts w:ascii="Cambria" w:hAnsi="Cambria" w:eastAsia="Times New Roman" w:cs="Times New Roman"/>
      <w:b/>
      <w:bCs/>
      <w:i/>
      <w:iCs/>
      <w:color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9f102d"/>
    <w:rPr/>
  </w:style>
  <w:style w:type="character" w:styleId="Style13" w:customStyle="1">
    <w:name w:val="Нижний колонтитул Знак"/>
    <w:basedOn w:val="DefaultParagraphFont"/>
    <w:uiPriority w:val="99"/>
    <w:qFormat/>
    <w:rsid w:val="009f102d"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0022a3"/>
    <w:rPr>
      <w:rFonts w:ascii="Segoe UI" w:hAnsi="Segoe UI" w:eastAsia="Times New Roman" w:cs="Segoe UI"/>
      <w:sz w:val="18"/>
      <w:szCs w:val="18"/>
      <w:lang w:eastAsia="ru-RU"/>
    </w:rPr>
  </w:style>
  <w:style w:type="character" w:styleId="apple-converted-space">
    <w:name w:val="apple-converted-space"/>
    <w:qFormat/>
    <w:rPr/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7">
    <w:name w:val="Колонтитул"/>
    <w:basedOn w:val="Normal"/>
    <w:qFormat/>
    <w:pPr/>
    <w:rPr/>
  </w:style>
  <w:style w:type="paragraph" w:styleId="Style18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9f102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unhideWhenUsed/>
    <w:rsid w:val="009f102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0022a3"/>
    <w:pPr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pPr>
      <w:spacing w:lineRule="auto" w:line="240" w:before="0" w:after="120"/>
      <w:ind w:hanging="0" w:left="283"/>
    </w:pPr>
    <w:rPr>
      <w:rFonts w:ascii="Times New Roman" w:hAnsi="Times New Roman" w:eastAsia="Times New Roman" w:cs="Times New Roman"/>
      <w:sz w:val="24"/>
      <w:szCs w:val="24"/>
    </w:rPr>
  </w:style>
  <w:style w:type="paragraph" w:styleId="1">
    <w:name w:val="Обычный1"/>
    <w:qFormat/>
    <w:pPr>
      <w:widowControl w:val="false"/>
      <w:suppressAutoHyphens w:val="true"/>
      <w:bidi w:val="0"/>
      <w:spacing w:lineRule="auto" w:line="300" w:before="0" w:after="0"/>
      <w:jc w:val="left"/>
    </w:pPr>
    <w:rPr>
      <w:rFonts w:ascii="Times New Roman" w:hAnsi="Times New Roman" w:eastAsia="Arial" w:cs="Times New Roman"/>
      <w:color w:val="auto"/>
      <w:kern w:val="0"/>
      <w:sz w:val="22"/>
      <w:szCs w:val="20"/>
      <w:lang w:val="ru-RU" w:eastAsia="ar-SA" w:bidi="ar-SA"/>
    </w:rPr>
  </w:style>
  <w:style w:type="paragraph" w:styleId="Style19">
    <w:name w:val="Пункт"/>
    <w:basedOn w:val="Normal"/>
    <w:qFormat/>
    <w:pPr>
      <w:tabs>
        <w:tab w:val="clear" w:pos="708"/>
        <w:tab w:val="left" w:pos="1980" w:leader="none"/>
      </w:tabs>
      <w:ind w:hanging="504" w:left="1404"/>
      <w:jc w:val="both"/>
    </w:pPr>
    <w:rPr>
      <w:szCs w:val="28"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Application>LibreOffice/25.2.6.2$Linux_X86_64 LibreOffice_project/520$Build-2</Application>
  <AppVersion>15.0000</AppVersion>
  <Pages>2</Pages>
  <Words>379</Words>
  <Characters>2983</Characters>
  <CharactersWithSpaces>3324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2023-10-19T01:00:00Z</dcterms:created>
  <dc:creator>Часовитин Вячеслав Владимирович</dc:creator>
  <dc:description/>
  <dc:language>ru-RU</dc:language>
  <cp:lastModifiedBy/>
  <cp:lastPrinted>2026-07-17T10:16:34Z</cp:lastPrinted>
  <dcterms:modified xsi:type="dcterms:W3CDTF">2026-07-23T08:14:14Z</dcterms:modified>
  <cp:revision>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