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AD1E2A" w:rsidRPr="00AD1E2A" w:rsidRDefault="00DA0132" w:rsidP="00AD1E2A">
      <w:pPr>
        <w:pStyle w:val="af7"/>
        <w:ind w:left="0"/>
        <w:jc w:val="center"/>
        <w:rPr>
          <w:rFonts w:ascii="Times New Roman" w:hAnsi="Times New Roman"/>
        </w:rPr>
      </w:pPr>
      <w:r w:rsidRPr="00AD1E2A">
        <w:rPr>
          <w:rFonts w:ascii="Times New Roman" w:hAnsi="Times New Roman"/>
        </w:rPr>
        <w:t xml:space="preserve">ИКЗ </w:t>
      </w:r>
      <w:r w:rsidR="00AD1E2A" w:rsidRPr="00AD1E2A">
        <w:rPr>
          <w:rFonts w:ascii="Times New Roman" w:hAnsi="Times New Roman"/>
          <w:color w:val="000000"/>
        </w:rPr>
        <w:t>261782100688778430100100380000000244</w:t>
      </w:r>
      <w:r w:rsidR="00AD1E2A" w:rsidRPr="00AD1E2A">
        <w:rPr>
          <w:rFonts w:ascii="Times New Roman" w:hAnsi="Times New Roman"/>
        </w:rPr>
        <w:t xml:space="preserve"> </w:t>
      </w:r>
    </w:p>
    <w:p w:rsidR="009204BC" w:rsidRPr="00EE6A91" w:rsidRDefault="009204BC" w:rsidP="00AD1E2A">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7E5964"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ту осуществляется Поставщиком</w:t>
      </w:r>
      <w:r w:rsidR="009627D7" w:rsidRPr="007E5964">
        <w:rPr>
          <w:sz w:val="22"/>
          <w:szCs w:val="22"/>
        </w:rPr>
        <w:t xml:space="preserve"> </w:t>
      </w:r>
      <w:r w:rsidR="007E5964" w:rsidRPr="007E5964">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0" w:name="Доп_c6c36bf7_8"/>
      <w:r w:rsidR="007E5964" w:rsidRPr="007E5964">
        <w:rPr>
          <w:noProof/>
          <w:sz w:val="22"/>
          <w:szCs w:val="22"/>
        </w:rPr>
        <w:instrText xml:space="preserve"> FORMTEXT </w:instrText>
      </w:r>
      <w:r w:rsidR="007E5964" w:rsidRPr="007E5964">
        <w:rPr>
          <w:noProof/>
          <w:sz w:val="22"/>
          <w:szCs w:val="22"/>
        </w:rPr>
      </w:r>
      <w:r w:rsidR="007E5964" w:rsidRPr="007E5964">
        <w:rPr>
          <w:noProof/>
          <w:sz w:val="22"/>
          <w:szCs w:val="22"/>
        </w:rPr>
        <w:fldChar w:fldCharType="separate"/>
      </w:r>
      <w:r w:rsidR="007E5964" w:rsidRPr="007E5964">
        <w:rPr>
          <w:noProof/>
          <w:sz w:val="22"/>
          <w:szCs w:val="22"/>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- 3 (три)</w:t>
      </w:r>
      <w:r w:rsidR="007E5964" w:rsidRPr="007E5964">
        <w:rPr>
          <w:noProof/>
          <w:sz w:val="22"/>
          <w:szCs w:val="22"/>
        </w:rPr>
        <w:fldChar w:fldCharType="end"/>
      </w:r>
      <w:bookmarkEnd w:id="0"/>
      <w:r w:rsidR="007E5964" w:rsidRPr="007E5964">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xml:space="preserve">, п. Песочный, ул. </w:t>
      </w:r>
      <w:r w:rsidR="00387FDA" w:rsidRPr="00EC45FD">
        <w:rPr>
          <w:sz w:val="22"/>
          <w:szCs w:val="22"/>
        </w:rPr>
        <w:lastRenderedPageBreak/>
        <w:t>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E39AF" w:rsidRDefault="007E39AF" w:rsidP="000131E5">
      <w:pPr>
        <w:numPr>
          <w:ilvl w:val="1"/>
          <w:numId w:val="1"/>
        </w:numPr>
        <w:spacing w:line="240" w:lineRule="auto"/>
        <w:ind w:left="0" w:firstLine="709"/>
        <w:textAlignment w:val="auto"/>
        <w:rPr>
          <w:rFonts w:eastAsia="Times New Roman"/>
          <w:sz w:val="22"/>
          <w:szCs w:val="22"/>
        </w:rPr>
      </w:pPr>
      <w:r w:rsidRPr="007E39AF">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1" w:name="Доп_0ac5dc22_7"/>
      <w:r w:rsidRPr="007E39AF">
        <w:rPr>
          <w:noProof/>
          <w:sz w:val="22"/>
          <w:szCs w:val="22"/>
        </w:rPr>
        <w:instrText xml:space="preserve"> FORMTEXT </w:instrText>
      </w:r>
      <w:r w:rsidRPr="007E39AF">
        <w:rPr>
          <w:noProof/>
          <w:sz w:val="22"/>
          <w:szCs w:val="22"/>
        </w:rPr>
      </w:r>
      <w:r w:rsidRPr="007E39AF">
        <w:rPr>
          <w:noProof/>
          <w:sz w:val="22"/>
          <w:szCs w:val="22"/>
        </w:rPr>
        <w:fldChar w:fldCharType="separate"/>
      </w:r>
      <w:r w:rsidRPr="007E39AF">
        <w:rPr>
          <w:noProof/>
          <w:sz w:val="22"/>
          <w:szCs w:val="22"/>
        </w:rPr>
        <w:t>Остаточный срок годности товара на момент поставки не менее 60 %</w:t>
      </w:r>
      <w:r w:rsidRPr="007E39AF">
        <w:rPr>
          <w:noProof/>
          <w:sz w:val="22"/>
          <w:szCs w:val="22"/>
        </w:rPr>
        <w:fldChar w:fldCharType="end"/>
      </w:r>
      <w:bookmarkEnd w:id="1"/>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 xml:space="preserve">Товара по качеству, количеству, ассортименту осуществляется по УПД, </w:t>
      </w:r>
      <w:proofErr w:type="gramStart"/>
      <w:r w:rsidRPr="000B0A1F">
        <w:rPr>
          <w:sz w:val="22"/>
          <w:szCs w:val="22"/>
        </w:rPr>
        <w:t>оформленному</w:t>
      </w:r>
      <w:proofErr w:type="gramEnd"/>
      <w:r w:rsidRPr="000B0A1F">
        <w:rPr>
          <w:sz w:val="22"/>
          <w:szCs w:val="22"/>
        </w:rPr>
        <w:t xml:space="preserve">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w:t>
      </w:r>
      <w:r w:rsidRPr="00C46A9D">
        <w:rPr>
          <w:sz w:val="22"/>
          <w:szCs w:val="22"/>
        </w:rPr>
        <w:lastRenderedPageBreak/>
        <w:t>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 xml:space="preserve">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w:t>
      </w:r>
      <w:r w:rsidRPr="000B0A1F">
        <w:rPr>
          <w:sz w:val="22"/>
          <w:szCs w:val="22"/>
          <w:lang w:eastAsia="ar-SA"/>
        </w:rPr>
        <w:lastRenderedPageBreak/>
        <w:t>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5D003B">
              <w:rPr>
                <w:sz w:val="22"/>
                <w:szCs w:val="22"/>
                <w:lang w:eastAsia="en-US"/>
              </w:rPr>
              <w:t>, литера</w:t>
            </w:r>
            <w:proofErr w:type="gramStart"/>
            <w:r w:rsidR="005D003B">
              <w:rPr>
                <w:sz w:val="22"/>
                <w:szCs w:val="22"/>
                <w:lang w:eastAsia="en-US"/>
              </w:rPr>
              <w:t xml:space="preserve"> А</w:t>
            </w:r>
            <w:proofErr w:type="gramEnd"/>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/сч.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2" w:name="OLE_LINK12"/>
            <w:bookmarkStart w:id="3" w:name="OLE_LINK13"/>
            <w:bookmarkStart w:id="4" w:name="OLE_LINK14"/>
            <w:bookmarkStart w:id="5" w:name="OLE_LINK15"/>
          </w:p>
          <w:bookmarkEnd w:id="2"/>
          <w:bookmarkEnd w:id="3"/>
          <w:bookmarkEnd w:id="4"/>
          <w:bookmarkEnd w:id="5"/>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93"/>
        <w:gridCol w:w="4872"/>
        <w:gridCol w:w="1202"/>
        <w:gridCol w:w="1371"/>
        <w:gridCol w:w="850"/>
        <w:gridCol w:w="920"/>
        <w:gridCol w:w="993"/>
        <w:gridCol w:w="1140"/>
        <w:gridCol w:w="1206"/>
      </w:tblGrid>
      <w:tr w:rsidR="008372F1" w:rsidRPr="008372F1" w:rsidTr="008372F1">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8372F1" w:rsidRPr="008372F1" w:rsidRDefault="008372F1" w:rsidP="008372F1">
            <w:pPr>
              <w:pStyle w:val="af4"/>
              <w:jc w:val="center"/>
              <w:rPr>
                <w:rFonts w:eastAsia="Times New Roman"/>
                <w:sz w:val="22"/>
                <w:szCs w:val="22"/>
              </w:rPr>
            </w:pPr>
            <w:proofErr w:type="gramStart"/>
            <w:r w:rsidRPr="008372F1">
              <w:rPr>
                <w:sz w:val="22"/>
                <w:szCs w:val="22"/>
              </w:rPr>
              <w:t>п</w:t>
            </w:r>
            <w:proofErr w:type="gramEnd"/>
            <w:r w:rsidRPr="008372F1">
              <w:rPr>
                <w:sz w:val="22"/>
                <w:szCs w:val="22"/>
              </w:rPr>
              <w:t>/н</w:t>
            </w:r>
          </w:p>
        </w:tc>
        <w:tc>
          <w:tcPr>
            <w:tcW w:w="3293" w:type="dxa"/>
            <w:tcBorders>
              <w:top w:val="single" w:sz="4" w:space="0" w:color="auto"/>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Наименование Товара</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center"/>
              <w:rPr>
                <w:rFonts w:eastAsia="Times New Roman"/>
                <w:sz w:val="22"/>
                <w:szCs w:val="22"/>
              </w:rPr>
            </w:pPr>
            <w:r w:rsidRPr="008372F1">
              <w:rPr>
                <w:sz w:val="22"/>
                <w:szCs w:val="22"/>
              </w:rPr>
              <w:t>Характеристики с указанием производителя и страны происхождения товара</w:t>
            </w:r>
          </w:p>
        </w:tc>
        <w:tc>
          <w:tcPr>
            <w:tcW w:w="1202"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Код по ОКПД</w:t>
            </w:r>
            <w:proofErr w:type="gramStart"/>
            <w:r w:rsidRPr="008372F1">
              <w:rPr>
                <w:sz w:val="22"/>
                <w:szCs w:val="22"/>
              </w:rPr>
              <w:t>2</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Кол-во</w:t>
            </w:r>
          </w:p>
        </w:tc>
        <w:tc>
          <w:tcPr>
            <w:tcW w:w="92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НДС %</w:t>
            </w:r>
          </w:p>
        </w:tc>
        <w:tc>
          <w:tcPr>
            <w:tcW w:w="993"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Сумма (руб.)</w:t>
            </w:r>
          </w:p>
        </w:tc>
      </w:tr>
      <w:tr w:rsidR="008372F1" w:rsidRPr="008372F1" w:rsidTr="008372F1">
        <w:trPr>
          <w:trHeight w:val="581"/>
          <w:jc w:val="center"/>
        </w:trPr>
        <w:tc>
          <w:tcPr>
            <w:tcW w:w="665" w:type="dxa"/>
            <w:tcBorders>
              <w:top w:val="nil"/>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1</w:t>
            </w:r>
          </w:p>
        </w:tc>
        <w:tc>
          <w:tcPr>
            <w:tcW w:w="3293" w:type="dxa"/>
            <w:tcBorders>
              <w:top w:val="single" w:sz="4" w:space="0" w:color="auto"/>
              <w:left w:val="nil"/>
              <w:bottom w:val="single" w:sz="4" w:space="0" w:color="auto"/>
              <w:right w:val="single" w:sz="4" w:space="0" w:color="auto"/>
            </w:tcBorders>
            <w:shd w:val="clear" w:color="auto" w:fill="auto"/>
            <w:vAlign w:val="center"/>
          </w:tcPr>
          <w:p w:rsidR="009228AF" w:rsidRDefault="008372F1" w:rsidP="008372F1">
            <w:pPr>
              <w:pStyle w:val="af4"/>
              <w:jc w:val="center"/>
              <w:rPr>
                <w:sz w:val="22"/>
                <w:szCs w:val="22"/>
              </w:rPr>
            </w:pPr>
            <w:proofErr w:type="gramStart"/>
            <w:r w:rsidRPr="008372F1">
              <w:rPr>
                <w:sz w:val="22"/>
                <w:szCs w:val="22"/>
              </w:rPr>
              <w:t xml:space="preserve">Пробирка </w:t>
            </w:r>
            <w:proofErr w:type="spellStart"/>
            <w:r w:rsidRPr="008372F1">
              <w:rPr>
                <w:sz w:val="22"/>
                <w:szCs w:val="22"/>
              </w:rPr>
              <w:t>микроцентрифужная</w:t>
            </w:r>
            <w:proofErr w:type="spellEnd"/>
            <w:r w:rsidRPr="008372F1">
              <w:rPr>
                <w:sz w:val="22"/>
                <w:szCs w:val="22"/>
              </w:rPr>
              <w:t xml:space="preserve"> 2,0 мл (нестерильная,</w:t>
            </w:r>
            <w:proofErr w:type="gramEnd"/>
          </w:p>
          <w:p w:rsidR="008372F1" w:rsidRPr="008372F1" w:rsidRDefault="008372F1" w:rsidP="008372F1">
            <w:pPr>
              <w:pStyle w:val="af4"/>
              <w:jc w:val="center"/>
              <w:rPr>
                <w:sz w:val="22"/>
                <w:szCs w:val="22"/>
              </w:rPr>
            </w:pPr>
            <w:r w:rsidRPr="008372F1">
              <w:rPr>
                <w:sz w:val="22"/>
                <w:szCs w:val="22"/>
              </w:rPr>
              <w:t>без ДНК,</w:t>
            </w:r>
            <w:r w:rsidR="009228AF">
              <w:rPr>
                <w:sz w:val="22"/>
                <w:szCs w:val="22"/>
              </w:rPr>
              <w:t xml:space="preserve"> </w:t>
            </w:r>
            <w:proofErr w:type="spellStart"/>
            <w:r w:rsidRPr="008372F1">
              <w:rPr>
                <w:sz w:val="22"/>
                <w:szCs w:val="22"/>
              </w:rPr>
              <w:t>ДНКаз</w:t>
            </w:r>
            <w:proofErr w:type="spellEnd"/>
            <w:r w:rsidRPr="008372F1">
              <w:rPr>
                <w:sz w:val="22"/>
                <w:szCs w:val="22"/>
              </w:rPr>
              <w:t>,</w:t>
            </w:r>
            <w:r w:rsidR="009228AF">
              <w:rPr>
                <w:sz w:val="22"/>
                <w:szCs w:val="22"/>
              </w:rPr>
              <w:t xml:space="preserve"> </w:t>
            </w:r>
            <w:proofErr w:type="spellStart"/>
            <w:r w:rsidRPr="008372F1">
              <w:rPr>
                <w:sz w:val="22"/>
                <w:szCs w:val="22"/>
              </w:rPr>
              <w:t>РНКаз</w:t>
            </w:r>
            <w:proofErr w:type="spellEnd"/>
            <w:r w:rsidRPr="008372F1">
              <w:rPr>
                <w:sz w:val="22"/>
                <w:szCs w:val="22"/>
              </w:rPr>
              <w:t>,</w:t>
            </w:r>
            <w:r w:rsidR="009228AF">
              <w:rPr>
                <w:sz w:val="22"/>
                <w:szCs w:val="22"/>
              </w:rPr>
              <w:t xml:space="preserve"> </w:t>
            </w:r>
            <w:r w:rsidRPr="008372F1">
              <w:rPr>
                <w:sz w:val="22"/>
                <w:szCs w:val="22"/>
              </w:rPr>
              <w:t>ингибиторов ПЦР)</w:t>
            </w:r>
          </w:p>
        </w:tc>
        <w:tc>
          <w:tcPr>
            <w:tcW w:w="4872" w:type="dxa"/>
            <w:tcBorders>
              <w:top w:val="nil"/>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left"/>
              <w:rPr>
                <w:sz w:val="22"/>
                <w:szCs w:val="22"/>
              </w:rPr>
            </w:pPr>
            <w:proofErr w:type="spellStart"/>
            <w:r w:rsidRPr="008372F1">
              <w:rPr>
                <w:sz w:val="22"/>
                <w:szCs w:val="22"/>
              </w:rPr>
              <w:t>Микропробирка</w:t>
            </w:r>
            <w:proofErr w:type="spellEnd"/>
            <w:r w:rsidRPr="008372F1">
              <w:rPr>
                <w:sz w:val="22"/>
                <w:szCs w:val="22"/>
              </w:rPr>
              <w:t xml:space="preserve"> для хранения образцов и проведения исследований, конической формы, с крышкой.     </w:t>
            </w:r>
            <w:r w:rsidRPr="008372F1">
              <w:rPr>
                <w:sz w:val="22"/>
                <w:szCs w:val="22"/>
              </w:rPr>
              <w:br/>
              <w:t xml:space="preserve">Материал изготовления: ультрачистый прозрачный бесцветный полипропилен (РР).    </w:t>
            </w:r>
            <w:r w:rsidRPr="008372F1">
              <w:rPr>
                <w:sz w:val="22"/>
                <w:szCs w:val="22"/>
              </w:rPr>
              <w:br/>
              <w:t xml:space="preserve">Крышка: плоская, прикреплённая, защёлкивающаяся с фиксатором.   </w:t>
            </w:r>
            <w:r w:rsidRPr="008372F1">
              <w:rPr>
                <w:sz w:val="22"/>
                <w:szCs w:val="22"/>
              </w:rPr>
              <w:br/>
              <w:t xml:space="preserve">Тонкая мембрана в центре крышки для прокола: наличие.   </w:t>
            </w:r>
            <w:r w:rsidRPr="008372F1">
              <w:rPr>
                <w:sz w:val="22"/>
                <w:szCs w:val="22"/>
              </w:rPr>
              <w:br/>
              <w:t>Градуировка: наличие.</w:t>
            </w:r>
            <w:r w:rsidRPr="008372F1">
              <w:rPr>
                <w:sz w:val="22"/>
                <w:szCs w:val="22"/>
              </w:rPr>
              <w:br/>
              <w:t xml:space="preserve">Поле для записи: наличие.   </w:t>
            </w:r>
            <w:r w:rsidRPr="008372F1">
              <w:rPr>
                <w:sz w:val="22"/>
                <w:szCs w:val="22"/>
              </w:rPr>
              <w:br/>
              <w:t>Стерильность: нестерильная.</w:t>
            </w:r>
            <w:r w:rsidRPr="008372F1">
              <w:rPr>
                <w:sz w:val="22"/>
                <w:szCs w:val="22"/>
              </w:rPr>
              <w:br/>
              <w:t xml:space="preserve">Биологическая чистота: отсутствие ДНК, </w:t>
            </w:r>
            <w:proofErr w:type="spellStart"/>
            <w:r w:rsidRPr="008372F1">
              <w:rPr>
                <w:sz w:val="22"/>
                <w:szCs w:val="22"/>
              </w:rPr>
              <w:t>ДНКаз</w:t>
            </w:r>
            <w:proofErr w:type="spellEnd"/>
            <w:r w:rsidRPr="008372F1">
              <w:rPr>
                <w:sz w:val="22"/>
                <w:szCs w:val="22"/>
              </w:rPr>
              <w:t xml:space="preserve">, </w:t>
            </w:r>
            <w:proofErr w:type="spellStart"/>
            <w:r w:rsidRPr="008372F1">
              <w:rPr>
                <w:sz w:val="22"/>
                <w:szCs w:val="22"/>
              </w:rPr>
              <w:t>РНКаз</w:t>
            </w:r>
            <w:proofErr w:type="spellEnd"/>
            <w:r w:rsidRPr="008372F1">
              <w:rPr>
                <w:sz w:val="22"/>
                <w:szCs w:val="22"/>
              </w:rPr>
              <w:t xml:space="preserve">, ингибиторов ПЦР.   </w:t>
            </w:r>
            <w:r w:rsidRPr="008372F1">
              <w:rPr>
                <w:sz w:val="22"/>
                <w:szCs w:val="22"/>
              </w:rPr>
              <w:br/>
              <w:t xml:space="preserve">Устойчивость к </w:t>
            </w:r>
            <w:proofErr w:type="spellStart"/>
            <w:r w:rsidRPr="008372F1">
              <w:rPr>
                <w:sz w:val="22"/>
                <w:szCs w:val="22"/>
              </w:rPr>
              <w:t>автоклавированию</w:t>
            </w:r>
            <w:proofErr w:type="spellEnd"/>
            <w:r w:rsidRPr="008372F1">
              <w:rPr>
                <w:sz w:val="22"/>
                <w:szCs w:val="22"/>
              </w:rPr>
              <w:t xml:space="preserve"> без потери свойств материала при температуре +121</w:t>
            </w:r>
            <w:proofErr w:type="gramStart"/>
            <w:r w:rsidRPr="008372F1">
              <w:rPr>
                <w:sz w:val="22"/>
                <w:szCs w:val="22"/>
              </w:rPr>
              <w:t>°С</w:t>
            </w:r>
            <w:proofErr w:type="gramEnd"/>
            <w:r w:rsidRPr="008372F1">
              <w:rPr>
                <w:sz w:val="22"/>
                <w:szCs w:val="22"/>
              </w:rPr>
              <w:t xml:space="preserve"> в течение 20 мин.       </w:t>
            </w:r>
            <w:r w:rsidRPr="008372F1">
              <w:rPr>
                <w:sz w:val="22"/>
                <w:szCs w:val="22"/>
              </w:rPr>
              <w:br/>
              <w:t xml:space="preserve">Устойчивость к замораживанию без потери свойств материала при температуре -80°С     </w:t>
            </w:r>
            <w:r w:rsidRPr="008372F1">
              <w:rPr>
                <w:sz w:val="22"/>
                <w:szCs w:val="22"/>
              </w:rPr>
              <w:br/>
              <w:t>Устойчивость к центрифугированию при 5000g</w:t>
            </w:r>
            <w:r w:rsidRPr="008372F1">
              <w:rPr>
                <w:sz w:val="22"/>
                <w:szCs w:val="22"/>
              </w:rPr>
              <w:br/>
              <w:t>Рабочий объём    ≥ 1,8 и ≤ 2,0 кубический сантиметр; ^миллилитр.</w:t>
            </w:r>
            <w:r w:rsidRPr="008372F1">
              <w:rPr>
                <w:sz w:val="22"/>
                <w:szCs w:val="22"/>
              </w:rPr>
              <w:br/>
              <w:t>Количество в упаковке: ≥ 400 и ≤ 500 штук.</w:t>
            </w:r>
          </w:p>
        </w:tc>
        <w:tc>
          <w:tcPr>
            <w:tcW w:w="1202"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roofErr w:type="spellStart"/>
            <w:r w:rsidRPr="008372F1">
              <w:rPr>
                <w:sz w:val="22"/>
                <w:szCs w:val="22"/>
              </w:rPr>
              <w:t>упак</w:t>
            </w:r>
            <w:proofErr w:type="spellEnd"/>
          </w:p>
        </w:tc>
        <w:tc>
          <w:tcPr>
            <w:tcW w:w="1371"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32.50.50.190</w:t>
            </w:r>
          </w:p>
        </w:tc>
        <w:tc>
          <w:tcPr>
            <w:tcW w:w="850"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20</w:t>
            </w:r>
          </w:p>
        </w:tc>
        <w:tc>
          <w:tcPr>
            <w:tcW w:w="920"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bookmarkStart w:id="6" w:name="_GoBack"/>
            <w:bookmarkEnd w:id="6"/>
          </w:p>
        </w:tc>
        <w:tc>
          <w:tcPr>
            <w:tcW w:w="993"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8372F1" w:rsidRPr="008372F1" w:rsidRDefault="008372F1" w:rsidP="008372F1">
            <w:pPr>
              <w:pStyle w:val="af4"/>
              <w:rPr>
                <w:sz w:val="22"/>
                <w:szCs w:val="22"/>
              </w:rPr>
            </w:pPr>
          </w:p>
        </w:tc>
      </w:tr>
      <w:tr w:rsidR="008372F1" w:rsidRPr="008372F1" w:rsidTr="008372F1">
        <w:trPr>
          <w:trHeight w:val="581"/>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center"/>
              <w:rPr>
                <w:rFonts w:eastAsia="Times New Roman"/>
                <w:sz w:val="22"/>
                <w:szCs w:val="22"/>
              </w:rPr>
            </w:pPr>
            <w:r w:rsidRPr="008372F1">
              <w:rPr>
                <w:sz w:val="22"/>
                <w:szCs w:val="22"/>
              </w:rPr>
              <w:t>2</w:t>
            </w:r>
          </w:p>
        </w:tc>
        <w:tc>
          <w:tcPr>
            <w:tcW w:w="3293" w:type="dxa"/>
            <w:tcBorders>
              <w:top w:val="single" w:sz="4" w:space="0" w:color="auto"/>
              <w:left w:val="nil"/>
              <w:bottom w:val="single" w:sz="4" w:space="0" w:color="auto"/>
              <w:right w:val="single" w:sz="4" w:space="0" w:color="auto"/>
            </w:tcBorders>
            <w:shd w:val="clear" w:color="auto" w:fill="auto"/>
            <w:vAlign w:val="center"/>
          </w:tcPr>
          <w:p w:rsidR="009228AF" w:rsidRDefault="008372F1" w:rsidP="008372F1">
            <w:pPr>
              <w:pStyle w:val="af4"/>
              <w:jc w:val="center"/>
              <w:rPr>
                <w:sz w:val="22"/>
                <w:szCs w:val="22"/>
              </w:rPr>
            </w:pPr>
            <w:r w:rsidRPr="008372F1">
              <w:rPr>
                <w:sz w:val="22"/>
                <w:szCs w:val="22"/>
              </w:rPr>
              <w:t xml:space="preserve">Пипетка для переноса жидкостей (Пастера) 2 мл </w:t>
            </w:r>
          </w:p>
          <w:p w:rsidR="008372F1" w:rsidRPr="008372F1" w:rsidRDefault="008372F1" w:rsidP="008372F1">
            <w:pPr>
              <w:pStyle w:val="af4"/>
              <w:jc w:val="center"/>
              <w:rPr>
                <w:sz w:val="22"/>
                <w:szCs w:val="22"/>
              </w:rPr>
            </w:pPr>
            <w:r w:rsidRPr="008372F1">
              <w:rPr>
                <w:sz w:val="22"/>
                <w:szCs w:val="22"/>
              </w:rPr>
              <w:t>(ПЭ нестерильная)</w:t>
            </w:r>
          </w:p>
        </w:tc>
        <w:tc>
          <w:tcPr>
            <w:tcW w:w="4872" w:type="dxa"/>
            <w:tcBorders>
              <w:top w:val="single" w:sz="4" w:space="0" w:color="auto"/>
              <w:left w:val="single" w:sz="4" w:space="0" w:color="auto"/>
              <w:bottom w:val="single" w:sz="4" w:space="0" w:color="auto"/>
              <w:right w:val="single" w:sz="4" w:space="0" w:color="auto"/>
            </w:tcBorders>
            <w:shd w:val="clear" w:color="auto" w:fill="auto"/>
            <w:vAlign w:val="center"/>
          </w:tcPr>
          <w:p w:rsidR="008372F1" w:rsidRPr="008372F1" w:rsidRDefault="008372F1" w:rsidP="008372F1">
            <w:pPr>
              <w:pStyle w:val="af4"/>
              <w:jc w:val="left"/>
              <w:rPr>
                <w:rFonts w:eastAsia="Times New Roman"/>
                <w:sz w:val="22"/>
                <w:szCs w:val="22"/>
              </w:rPr>
            </w:pPr>
            <w:r w:rsidRPr="008372F1">
              <w:rPr>
                <w:sz w:val="22"/>
                <w:szCs w:val="22"/>
              </w:rPr>
              <w:t>Пипетка для переноса (</w:t>
            </w:r>
            <w:proofErr w:type="spellStart"/>
            <w:r w:rsidRPr="008372F1">
              <w:rPr>
                <w:sz w:val="22"/>
                <w:szCs w:val="22"/>
              </w:rPr>
              <w:t>трансферная</w:t>
            </w:r>
            <w:proofErr w:type="spellEnd"/>
            <w:r w:rsidRPr="008372F1">
              <w:rPr>
                <w:sz w:val="22"/>
                <w:szCs w:val="22"/>
              </w:rPr>
              <w:t>) и неточного дозирования жидкостей, с интегрированным резервуаром; для одноразового использования.</w:t>
            </w:r>
            <w:r w:rsidRPr="008372F1">
              <w:rPr>
                <w:sz w:val="22"/>
                <w:szCs w:val="22"/>
              </w:rPr>
              <w:br/>
              <w:t xml:space="preserve">Материал изготовления: прозрачный бесцветный </w:t>
            </w:r>
            <w:r w:rsidRPr="008372F1">
              <w:rPr>
                <w:sz w:val="22"/>
                <w:szCs w:val="22"/>
              </w:rPr>
              <w:lastRenderedPageBreak/>
              <w:t xml:space="preserve">полиэтилен низкой плотности (LDPE) с низкими адгезивными свойствами.   </w:t>
            </w:r>
            <w:r w:rsidRPr="008372F1">
              <w:rPr>
                <w:sz w:val="22"/>
                <w:szCs w:val="22"/>
              </w:rPr>
              <w:br/>
              <w:t xml:space="preserve">Градуировка: неважно.   </w:t>
            </w:r>
            <w:r w:rsidRPr="008372F1">
              <w:rPr>
                <w:sz w:val="22"/>
                <w:szCs w:val="22"/>
              </w:rPr>
              <w:br/>
              <w:t xml:space="preserve">Стерильность: нестерильная. </w:t>
            </w:r>
            <w:r w:rsidRPr="008372F1">
              <w:rPr>
                <w:sz w:val="22"/>
                <w:szCs w:val="22"/>
              </w:rPr>
              <w:br/>
              <w:t>Максимальный объем переносимой жидкости ≥ 1,5 и ≤ 2 кубический сантиметр; ^миллилитр</w:t>
            </w:r>
            <w:r w:rsidRPr="008372F1">
              <w:rPr>
                <w:sz w:val="22"/>
                <w:szCs w:val="22"/>
              </w:rPr>
              <w:br/>
              <w:t>Количество в групповой упаковке: ≥ 400 и ≤ 500 штук.</w:t>
            </w:r>
          </w:p>
        </w:tc>
        <w:tc>
          <w:tcPr>
            <w:tcW w:w="1202"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lastRenderedPageBreak/>
              <w:t>Штука</w:t>
            </w:r>
          </w:p>
        </w:tc>
        <w:tc>
          <w:tcPr>
            <w:tcW w:w="1371"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32.50.50.190</w:t>
            </w:r>
          </w:p>
        </w:tc>
        <w:tc>
          <w:tcPr>
            <w:tcW w:w="85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r w:rsidRPr="008372F1">
              <w:rPr>
                <w:sz w:val="22"/>
                <w:szCs w:val="22"/>
              </w:rPr>
              <w:t>4 500</w:t>
            </w:r>
          </w:p>
        </w:tc>
        <w:tc>
          <w:tcPr>
            <w:tcW w:w="92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
        </w:tc>
        <w:tc>
          <w:tcPr>
            <w:tcW w:w="1140"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jc w:val="center"/>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8372F1" w:rsidRPr="008372F1" w:rsidRDefault="008372F1" w:rsidP="008372F1">
            <w:pPr>
              <w:pStyle w:val="af4"/>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6E" w:rsidRDefault="00C6326E">
      <w:r>
        <w:separator/>
      </w:r>
    </w:p>
  </w:endnote>
  <w:endnote w:type="continuationSeparator" w:id="0">
    <w:p w:rsidR="00C6326E" w:rsidRDefault="00C6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6E" w:rsidRDefault="00C6326E">
      <w:r>
        <w:separator/>
      </w:r>
    </w:p>
  </w:footnote>
  <w:footnote w:type="continuationSeparator" w:id="0">
    <w:p w:rsidR="00C6326E" w:rsidRDefault="00C63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1845"/>
    <w:rsid w:val="00175206"/>
    <w:rsid w:val="0019390B"/>
    <w:rsid w:val="00196839"/>
    <w:rsid w:val="001A0353"/>
    <w:rsid w:val="001A09ED"/>
    <w:rsid w:val="001A189A"/>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0F36"/>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003B"/>
    <w:rsid w:val="005D2B92"/>
    <w:rsid w:val="005D4264"/>
    <w:rsid w:val="005D652F"/>
    <w:rsid w:val="005E3A58"/>
    <w:rsid w:val="005F4D4C"/>
    <w:rsid w:val="0060752C"/>
    <w:rsid w:val="00611973"/>
    <w:rsid w:val="006156E3"/>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A6237"/>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326E"/>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33611"/>
    <w:rsid w:val="00E461C2"/>
    <w:rsid w:val="00E669D4"/>
    <w:rsid w:val="00E758DF"/>
    <w:rsid w:val="00E833AB"/>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2026-05-27T06:47:00Z</dcterms:created>
  <dcterms:modified xsi:type="dcterms:W3CDTF">2026-05-27T06:47:00Z</dcterms:modified>
</cp:coreProperties>
</file>