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71"/>
      </w:pPr>
      <w:r>
        <w:t xml:space="preserve">Государственный контракт № </w:t>
      </w:r>
      <w:r>
        <w:t xml:space="preserve">100201966126100150</w:t>
      </w:r>
      <w:r/>
    </w:p>
    <w:p>
      <w:pPr>
        <w:pStyle w:val="971"/>
      </w:pPr>
      <w:r>
        <w:t xml:space="preserve">на поставку </w:t>
      </w:r>
      <w:r>
        <w:t xml:space="preserve">USB-устройств </w:t>
      </w:r>
      <w:r>
        <w:t xml:space="preserve">для защищенного хранения ключей шифрования и ключей электронной подписи, с</w:t>
      </w:r>
      <w:r>
        <w:t xml:space="preserve">ертифицированныx</w:t>
      </w:r>
      <w:r>
        <w:rPr>
          <w:color w:val="ff0000"/>
          <w:highlight w:val="white"/>
        </w:rPr>
        <w:t xml:space="preserve"> </w:t>
      </w:r>
      <w:r>
        <w:t xml:space="preserve">ФСТЭК </w:t>
      </w:r>
      <w:r>
        <w:t xml:space="preserve">России </w:t>
      </w:r>
      <w:r/>
    </w:p>
    <w:p>
      <w:r/>
      <w:r/>
    </w:p>
    <w:tbl>
      <w:tblPr>
        <w:tblStyle w:val="98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5098"/>
      </w:tblGrid>
      <w:tr>
        <w:tblPrEx/>
        <w:trPr>
          <w:trHeight w:val="302"/>
        </w:trPr>
        <w:tc>
          <w:tcPr>
            <w:tcW w:w="5097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t xml:space="preserve">г. Москва</w:t>
            </w:r>
            <w:r/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jc w:val="right"/>
            </w:pPr>
            <w:r>
              <w:t xml:space="preserve">«___» ________ 2026</w:t>
            </w:r>
            <w:r>
              <w:t xml:space="preserve"> г.</w:t>
            </w:r>
            <w:r/>
          </w:p>
        </w:tc>
      </w:tr>
      <w:tr>
        <w:tblPrEx/>
        <w:trPr>
          <w:trHeight w:val="302"/>
        </w:trPr>
        <w:tc>
          <w:tcPr>
            <w:tcW w:w="509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jc w:val="right"/>
            </w:pPr>
            <w:r/>
            <w:r/>
          </w:p>
        </w:tc>
      </w:tr>
    </w:tbl>
    <w:p>
      <w:r>
        <w:t xml:space="preserve">М</w:t>
      </w:r>
      <w:r>
        <w:t xml:space="preserve">и</w:t>
      </w:r>
      <w:r>
        <w:t xml:space="preserve">н</w:t>
      </w:r>
      <w:r>
        <w:t xml:space="preserve">истерство энергетики Российской Федерации (Минэнерго России), именуемое </w:t>
        <w:br/>
        <w:t xml:space="preserve">в дальнейшем «Заказчик», в лице директора Департамента цифровой трансформации Мицкевича Феликса Владимировича, действующего на основании приказа Минэнерго России от 24.11.2021 </w:t>
        <w:br/>
        <w:t xml:space="preserve">№ 1286</w:t>
      </w:r>
      <w:r>
        <w:t xml:space="preserve"> </w:t>
      </w:r>
      <w:r>
        <w:t xml:space="preserve">и</w:t>
      </w:r>
      <w:r>
        <w:t xml:space="preserve"> доверенности от 03.03.2025 № СЦ-3295/14, с одной стороны, </w:t>
        <w:br/>
        <w:t xml:space="preserve">и </w:t>
      </w:r>
      <w:r>
        <w:rPr>
          <w:sz w:val="24"/>
          <w:szCs w:val="26"/>
        </w:rPr>
        <w:t xml:space="preserve">публичное акционерное общество «СОФТЛАЙН» </w:t>
      </w:r>
      <w:r>
        <w:rPr>
          <w:sz w:val="24"/>
          <w:szCs w:val="26"/>
        </w:rPr>
        <w:t xml:space="preserve">(ПАО «СОФТЛАЙН»)</w:t>
      </w:r>
      <w:r>
        <w:t xml:space="preserve">, именуемое </w:t>
        <w:br/>
        <w:t xml:space="preserve">в дальнейшем «Поставщик», в лице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генер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ального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директора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Лаврова Владимира Евгеньевича</w:t>
      </w:r>
      <w:r>
        <w:t xml:space="preserve">, действующего на основании Устава, с другой стороны, в д</w:t>
      </w:r>
      <w:r>
        <w:t xml:space="preserve">а</w:t>
      </w:r>
      <w:r>
        <w:t xml:space="preserve">ль</w:t>
      </w:r>
      <w:r>
        <w:t xml:space="preserve">н</w:t>
      </w:r>
      <w:r>
        <w:t xml:space="preserve">ейшем именуемые «Стороны», </w:t>
        <w:br/>
        <w:t xml:space="preserve">в соответствии с пунктом 4 части 1 статьи 93 Федерального закона от 05.04.2013 № 44-ФЗ </w:t>
        <w:br/>
        <w:t xml:space="preserve">«О контрактной системе в сфере закупок товаров, услуг для обеспечения государственных </w:t>
        <w:br/>
        <w:t xml:space="preserve">и муниципальных нужд» (далее – Закон о контрактной си</w:t>
      </w:r>
      <w:r>
        <w:t xml:space="preserve">стеме) заключили настоящий государственный контракт (далее – Контракт) о нижеследующем</w:t>
      </w:r>
      <w:r/>
    </w:p>
    <w:p>
      <w:pPr>
        <w:pStyle w:val="972"/>
      </w:pPr>
      <w:r>
        <w:t xml:space="preserve">Предмет Контракта</w:t>
      </w:r>
      <w:r/>
    </w:p>
    <w:p>
      <w:pPr>
        <w:pStyle w:val="973"/>
        <w:ind w:left="0" w:firstLine="709"/>
        <w:tabs>
          <w:tab w:val="left" w:pos="1134" w:leader="none"/>
        </w:tabs>
      </w:pPr>
      <w:r>
        <w:t xml:space="preserve">Поставщик</w:t>
      </w:r>
      <w:r>
        <w:t xml:space="preserve"> обязуется пос</w:t>
      </w:r>
      <w:r>
        <w:t xml:space="preserve">тавить </w:t>
      </w:r>
      <w:r>
        <w:t xml:space="preserve">USB-устройства для защищенного хранения ключей шифрования и ключей электронной подписи сертифицированный ФСТЭК</w:t>
      </w:r>
      <w:r>
        <w:t xml:space="preserve"> </w:t>
      </w:r>
      <w:r>
        <w:t xml:space="preserve">России </w:t>
      </w:r>
      <w:r>
        <w:t xml:space="preserve">(далее – Товар)</w:t>
      </w:r>
      <w:r>
        <w:t xml:space="preserve"> в соответс</w:t>
      </w:r>
      <w:r>
        <w:t xml:space="preserve">твии с Техническим заданием (Приложение № 1 к Контракту) и со</w:t>
      </w:r>
      <w:r>
        <w:t xml:space="preserve"> </w:t>
      </w:r>
      <w:r>
        <w:t xml:space="preserve">С</w:t>
      </w:r>
      <w:r>
        <w:t xml:space="preserve">пецификаци</w:t>
      </w:r>
      <w:r>
        <w:t xml:space="preserve">ей</w:t>
      </w:r>
      <w:r>
        <w:t xml:space="preserve"> (</w:t>
      </w:r>
      <w:r>
        <w:t xml:space="preserve">Приложение № 2</w:t>
      </w:r>
      <w:r>
        <w:t xml:space="preserve"> </w:t>
      </w:r>
      <w:r>
        <w:t xml:space="preserve">к</w:t>
      </w:r>
      <w:r>
        <w:t xml:space="preserve"> </w:t>
      </w:r>
      <w:r>
        <w:t xml:space="preserve"> Контракту)</w:t>
      </w:r>
      <w:r>
        <w:t xml:space="preserve">, котор</w:t>
      </w:r>
      <w:r>
        <w:t xml:space="preserve">ая</w:t>
      </w:r>
      <w:r>
        <w:t xml:space="preserve"> явля</w:t>
      </w:r>
      <w:r>
        <w:t xml:space="preserve">е</w:t>
      </w:r>
      <w:r>
        <w:t xml:space="preserve">тся</w:t>
      </w:r>
      <w:r>
        <w:t xml:space="preserve"> неотъемлемой частью настоящего Контракта.</w:t>
      </w:r>
      <w:r/>
    </w:p>
    <w:p>
      <w:pPr>
        <w:pStyle w:val="973"/>
        <w:ind w:left="0" w:firstLine="709"/>
        <w:tabs>
          <w:tab w:val="left" w:pos="1134" w:leader="none"/>
        </w:tabs>
      </w:pPr>
      <w:r>
        <w:t xml:space="preserve">Право на Товар переходит к Заказчику со дня его поставки Заказчику и оплаты полной стоимости Товара.</w:t>
      </w:r>
      <w:r/>
    </w:p>
    <w:p>
      <w:pPr>
        <w:pStyle w:val="973"/>
        <w:ind w:left="0" w:firstLine="709"/>
        <w:tabs>
          <w:tab w:val="left" w:pos="1134" w:leader="none"/>
        </w:tabs>
      </w:pPr>
      <w:r>
        <w:t xml:space="preserve">П</w:t>
      </w:r>
      <w:r>
        <w:t xml:space="preserve">оставляемый Товар должен быть новым товаром (тов</w:t>
      </w:r>
      <w:r>
        <w:t xml:space="preserve">ар</w:t>
      </w:r>
      <w:r>
        <w:t xml:space="preserve">ом, который не был </w:t>
        <w:br/>
        <w:t xml:space="preserve">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</w:t>
        <w:br/>
        <w:t xml:space="preserve">в случае, если иное не предусмотрено описанием объекта закупки</w:t>
      </w:r>
      <w:r>
        <w:t xml:space="preserve">.</w:t>
      </w:r>
      <w:r/>
    </w:p>
    <w:p>
      <w:pPr>
        <w:pStyle w:val="973"/>
        <w:ind w:left="0" w:firstLine="709"/>
        <w:spacing w:before="240"/>
        <w:tabs>
          <w:tab w:val="left" w:pos="1134" w:leader="none"/>
        </w:tabs>
      </w:pPr>
      <w:r>
        <w:t xml:space="preserve">Идентификационный код закупк</w:t>
      </w:r>
      <w:r>
        <w:t xml:space="preserve">и</w:t>
      </w:r>
      <w:r>
        <w:t xml:space="preserve">:</w:t>
      </w:r>
      <w:r>
        <w:t xml:space="preserve"> </w:t>
      </w:r>
      <w:r>
        <w:t xml:space="preserve">261770584752977050100100360000000244.</w:t>
      </w:r>
      <w:r/>
    </w:p>
    <w:p>
      <w:pPr>
        <w:pStyle w:val="973"/>
        <w:ind w:left="0" w:firstLine="709"/>
        <w:tabs>
          <w:tab w:val="left" w:pos="1134" w:leader="none"/>
        </w:tabs>
      </w:pPr>
      <w:r>
        <w:t xml:space="preserve">КМИ: </w:t>
      </w:r>
      <w:r>
        <w:t xml:space="preserve">022.00100022.22.Э.50023.26</w:t>
      </w:r>
      <w:r/>
    </w:p>
    <w:p>
      <w:pPr>
        <w:pStyle w:val="973"/>
        <w:ind w:left="0" w:firstLine="709"/>
        <w:tabs>
          <w:tab w:val="left" w:pos="1134" w:leader="none"/>
        </w:tabs>
      </w:pPr>
      <w:r>
        <w:t xml:space="preserve">Заказчиком установлено требование об отсутствии в предусмотренном Законом </w:t>
      </w:r>
      <w:r>
        <w:br/>
        <w:t xml:space="preserve">о контрактной системе реестре недобросовестных поставщиков (подрядчиков, исполнителей) информации о Поставщике, в том числе о лицах, информация о которых содержится в заявке </w:t>
      </w:r>
      <w:r>
        <w:br/>
        <w:t xml:space="preserve">на участие в закупке в соответствии с подпунктом «в» пункта 1 части 1 статьи 43 Закона </w:t>
        <w:br/>
        <w:t xml:space="preserve">о контрактной системе, включенной в такой реестр в связи с отказом от исполнения контракта </w:t>
        <w:br/>
        <w:t xml:space="preserve">по причине введения </w:t>
      </w:r>
      <w:r>
        <w:t xml:space="preserve">в отношении заказчика политических или экономических санкций иностранными государствами, совмещающими недружественные действия в отношении Российской Федерации, граждан Российской Федерации или российских юридических ли</w:t>
      </w:r>
      <w:r>
        <w:t xml:space="preserve">ц, и (или) введения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  <w:r/>
    </w:p>
    <w:p>
      <w:pPr>
        <w:pStyle w:val="972"/>
      </w:pPr>
      <w:r>
        <w:t xml:space="preserve">Цена контракта и порядок </w:t>
      </w:r>
      <w:r>
        <w:t xml:space="preserve">расчетов</w:t>
      </w:r>
      <w:r/>
    </w:p>
    <w:p>
      <w:pPr>
        <w:pStyle w:val="987"/>
        <w:numPr>
          <w:ilvl w:val="0"/>
          <w:numId w:val="9"/>
        </w:numPr>
        <w:ind w:left="0" w:firstLine="709"/>
        <w:tabs>
          <w:tab w:val="left" w:pos="1134" w:leader="none"/>
        </w:tabs>
        <w:outlineLvl w:val="9"/>
      </w:pPr>
      <w:r>
        <w:rPr>
          <w:bCs/>
          <w:lang w:eastAsia="ar-SA"/>
        </w:rPr>
        <w:t xml:space="preserve">Цена Контракта составляет </w:t>
      </w:r>
      <w:r>
        <w:rPr>
          <w:bCs/>
          <w:lang w:eastAsia="ar-SA"/>
        </w:rPr>
        <w:t xml:space="preserve">562 500</w:t>
      </w:r>
      <w:r>
        <w:rPr>
          <w:bCs/>
          <w:lang w:eastAsia="ar-SA"/>
        </w:rPr>
        <w:t xml:space="preserve"> (п</w:t>
      </w:r>
      <w:r>
        <w:rPr>
          <w:bCs/>
          <w:lang w:eastAsia="ar-SA"/>
        </w:rPr>
        <w:t xml:space="preserve">ятьсот шестьдесят две тысячи пятьсот</w:t>
      </w:r>
      <w:r>
        <w:rPr>
          <w:bCs/>
          <w:lang w:eastAsia="ar-SA"/>
        </w:rPr>
        <w:t xml:space="preserve">) рублей 00 копеек, в том числе НДС 22 </w:t>
      </w:r>
      <w:r>
        <w:t xml:space="preserve">%</w:t>
      </w:r>
      <w:r>
        <w:rPr>
          <w:bCs/>
          <w:lang w:eastAsia="ar-SA"/>
        </w:rPr>
        <w:t xml:space="preserve"> </w:t>
      </w:r>
      <w:r>
        <w:rPr>
          <w:bCs/>
          <w:lang w:eastAsia="ar-SA"/>
        </w:rPr>
        <w:t xml:space="preserve">101 434</w:t>
      </w:r>
      <w:r>
        <w:rPr>
          <w:bCs/>
          <w:lang w:eastAsia="ar-SA"/>
        </w:rPr>
        <w:t xml:space="preserve"> (с</w:t>
      </w:r>
      <w:r>
        <w:rPr>
          <w:bCs/>
          <w:lang w:eastAsia="ar-SA"/>
        </w:rPr>
        <w:t xml:space="preserve">то одна тысяча четыреста тридцать четыре</w:t>
      </w:r>
      <w:r>
        <w:rPr>
          <w:bCs/>
          <w:lang w:eastAsia="ar-SA"/>
        </w:rPr>
        <w:t xml:space="preserve">) рубля 43 копейки и включает в себя расходы на уплату налогов, пошлин и иных обязательных платежей, </w:t>
        <w:br/>
        <w:t xml:space="preserve">в том числе, расхо</w:t>
      </w:r>
      <w:r>
        <w:rPr>
          <w:bCs/>
          <w:lang w:eastAsia="ar-SA"/>
        </w:rPr>
        <w:t xml:space="preserve">дов за доставку, подъем и разгрузку Товара.</w:t>
      </w:r>
      <w:r>
        <w:rPr>
          <w:bCs/>
          <w:lang w:eastAsia="ar-SA"/>
        </w:rPr>
      </w:r>
      <w:r/>
    </w:p>
    <w:p>
      <w:pPr>
        <w:pStyle w:val="987"/>
        <w:numPr>
          <w:ilvl w:val="0"/>
          <w:numId w:val="9"/>
        </w:numPr>
        <w:ind w:left="0" w:firstLine="709"/>
        <w:tabs>
          <w:tab w:val="left" w:pos="1134" w:leader="none"/>
        </w:tabs>
        <w:outlineLvl w:val="9"/>
      </w:pPr>
      <w:r>
        <w:rPr>
          <w:bCs/>
          <w:lang w:eastAsia="ar-SA"/>
        </w:rPr>
        <w:t xml:space="preserve">Цена Контракта является твёрдой и определяется на весь срок исполнения Контракта </w:t>
        <w:br/>
        <w:t xml:space="preserve">и не подлежит изменению.</w:t>
      </w:r>
      <w:r>
        <w:rPr>
          <w:bCs/>
          <w:lang w:eastAsia="ar-SA"/>
        </w:rPr>
      </w:r>
      <w:r/>
    </w:p>
    <w:p>
      <w:pPr>
        <w:pStyle w:val="987"/>
        <w:numPr>
          <w:ilvl w:val="0"/>
          <w:numId w:val="9"/>
        </w:numPr>
        <w:ind w:left="0" w:firstLine="709"/>
        <w:tabs>
          <w:tab w:val="left" w:pos="1134" w:leader="none"/>
        </w:tabs>
        <w:outlineLvl w:val="9"/>
      </w:pPr>
      <w:r>
        <w:rPr>
          <w:bCs/>
          <w:lang w:eastAsia="ar-SA"/>
        </w:rPr>
        <w:t xml:space="preserve">Все расчеты за поставленный Товар осуществляются в рублях и производятся путем безналичного перечисления денежных средств на расчетный счет Поставщика. </w:t>
      </w:r>
      <w:r>
        <w:rPr>
          <w:bCs/>
          <w:lang w:eastAsia="ar-SA"/>
        </w:rPr>
      </w:r>
      <w:r/>
    </w:p>
    <w:p>
      <w:pPr>
        <w:pStyle w:val="987"/>
        <w:numPr>
          <w:ilvl w:val="0"/>
          <w:numId w:val="9"/>
        </w:numPr>
        <w:ind w:left="0" w:firstLine="709"/>
        <w:tabs>
          <w:tab w:val="left" w:pos="1134" w:leader="none"/>
        </w:tabs>
        <w:outlineLvl w:val="9"/>
      </w:pPr>
      <w:r>
        <w:rPr>
          <w:bCs/>
          <w:lang w:eastAsia="ar-SA"/>
        </w:rPr>
        <w:t xml:space="preserve">О</w:t>
      </w:r>
      <w:r>
        <w:rPr>
          <w:bCs/>
          <w:lang w:eastAsia="ar-SA"/>
        </w:rPr>
        <w:t xml:space="preserve">плата по настоящему Контракту осуществляется за фактически поставленный Товар на основании Акта приема-передачи товара (Приложение № 3 к  Контракту) с приложением счета, счета фактуры и товарной  накладной или универсального передаточного докумен</w:t>
      </w:r>
      <w:r>
        <w:rPr>
          <w:bCs/>
          <w:lang w:eastAsia="ar-SA"/>
        </w:rPr>
        <w:t xml:space="preserve">та в течение 7 (семи) рабочих дней после подписания Заказчиком Акта приема-передачи товара (Приложение </w:t>
        <w:br/>
        <w:t xml:space="preserve">№ 3 к Контракту). </w:t>
      </w:r>
      <w:r>
        <w:rPr>
          <w:bCs/>
          <w:lang w:eastAsia="ar-SA"/>
        </w:rPr>
      </w:r>
      <w:r/>
    </w:p>
    <w:p>
      <w:pPr>
        <w:pStyle w:val="987"/>
        <w:numPr>
          <w:ilvl w:val="0"/>
          <w:numId w:val="9"/>
        </w:numPr>
        <w:ind w:left="0" w:firstLine="709"/>
        <w:tabs>
          <w:tab w:val="left" w:pos="1134" w:leader="none"/>
        </w:tabs>
        <w:outlineLvl w:val="9"/>
      </w:pPr>
      <w:r>
        <w:rPr>
          <w:bCs/>
          <w:lang w:eastAsia="ar-SA"/>
        </w:rPr>
        <w:t xml:space="preserve">Финансирование по настоящему Контракту осуществляется за счет средств федерального бюджета.</w:t>
      </w:r>
      <w:r>
        <w:rPr>
          <w:bCs/>
          <w:lang w:eastAsia="ar-SA"/>
        </w:rPr>
      </w:r>
      <w:r/>
    </w:p>
    <w:p>
      <w:pPr>
        <w:pStyle w:val="987"/>
        <w:numPr>
          <w:ilvl w:val="0"/>
          <w:numId w:val="9"/>
        </w:numPr>
        <w:ind w:left="0" w:firstLine="709"/>
        <w:tabs>
          <w:tab w:val="left" w:pos="1134" w:leader="none"/>
        </w:tabs>
        <w:outlineLvl w:val="9"/>
      </w:pPr>
      <w:r>
        <w:rPr>
          <w:bCs/>
          <w:lang w:eastAsia="ar-SA"/>
        </w:rPr>
        <w:t xml:space="preserve">В</w:t>
      </w:r>
      <w:r>
        <w:rPr>
          <w:bCs/>
          <w:lang w:eastAsia="ar-SA"/>
        </w:rPr>
        <w:t xml:space="preserve"> </w:t>
      </w:r>
      <w:r>
        <w:rPr>
          <w:bCs/>
          <w:lang w:eastAsia="ar-SA"/>
        </w:rPr>
        <w:t xml:space="preserve">случае неисполнения Поставщиком требований об уплате неустоек (пеней), предъявляемых Заказчиком, Заказчик производит оплату по Контракту за вычетом соответствующего размера неустойки (пени). Исполнение обязательства Поставщиком </w:t>
        <w:br/>
        <w:t xml:space="preserve">по перечислению неустойки (</w:t>
      </w:r>
      <w:r>
        <w:rPr>
          <w:bCs/>
          <w:lang w:eastAsia="ar-SA"/>
        </w:rPr>
        <w:t xml:space="preserve">п</w:t>
      </w:r>
      <w:r>
        <w:rPr>
          <w:bCs/>
          <w:lang w:eastAsia="ar-SA"/>
        </w:rPr>
        <w:t xml:space="preserve">ени) в доход</w:t>
      </w:r>
      <w:r>
        <w:rPr>
          <w:bCs/>
          <w:lang w:eastAsia="ar-SA"/>
        </w:rPr>
        <w:t xml:space="preserve"> </w:t>
      </w:r>
      <w:r>
        <w:rPr>
          <w:bCs/>
          <w:lang w:eastAsia="ar-SA"/>
        </w:rPr>
        <w:t xml:space="preserve">бюджетов бюджетной системы Российской Федерации в указанном случае возлагается на Заказчика и осуществляется последним на основании платежного документа с указанием Поставщика, за которого осуществляется перечисление неустойки (пени) </w:t>
        <w:br/>
        <w:t xml:space="preserve">в доход соответствующ</w:t>
      </w:r>
      <w:r>
        <w:rPr>
          <w:bCs/>
          <w:lang w:eastAsia="ar-SA"/>
        </w:rPr>
        <w:t xml:space="preserve">его бюджета.</w:t>
      </w:r>
      <w:r>
        <w:rPr>
          <w:bCs/>
          <w:lang w:eastAsia="ar-SA"/>
        </w:rPr>
      </w:r>
      <w:r/>
    </w:p>
    <w:p>
      <w:pPr>
        <w:pStyle w:val="972"/>
        <w:ind w:left="357" w:hanging="357"/>
        <w:spacing w:before="120" w:after="120"/>
      </w:pPr>
      <w:r>
        <w:t xml:space="preserve">Условия поставки Товара</w:t>
      </w:r>
      <w:r/>
    </w:p>
    <w:p>
      <w:pPr>
        <w:numPr>
          <w:ilvl w:val="0"/>
          <w:numId w:val="34"/>
        </w:numPr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9"/>
      </w:pPr>
      <w:r>
        <w:rPr>
          <w:color w:val="000000"/>
          <w:lang w:eastAsia="ar-SA"/>
        </w:rPr>
        <w:t xml:space="preserve">Место поставки Товара – административное здание Заказчика (далее – офис), расположенное по </w:t>
      </w:r>
      <w:r>
        <w:rPr>
          <w:lang w:eastAsia="ar-SA"/>
        </w:rPr>
        <w:t xml:space="preserve">адресу: г. Москва, ул. Щепкина, д. 42, </w:t>
      </w:r>
      <w:r>
        <w:t xml:space="preserve">стр. 1, кабинет 1808</w:t>
      </w:r>
      <w:r>
        <w:t xml:space="preserve">, этаж 18</w:t>
      </w:r>
      <w:r>
        <w:t xml:space="preserve">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3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Срок поставки Товара: в течение </w:t>
      </w:r>
      <w:r>
        <w:t xml:space="preserve">14</w:t>
      </w:r>
      <w:r>
        <w:t xml:space="preserve"> (</w:t>
      </w:r>
      <w:r>
        <w:t xml:space="preserve">четырнадцати</w:t>
      </w:r>
      <w:r>
        <w:t xml:space="preserve">) календарны</w:t>
      </w:r>
      <w:r>
        <w:t xml:space="preserve">х</w:t>
      </w:r>
      <w:r>
        <w:t xml:space="preserve"> дней</w:t>
      </w:r>
      <w:r>
        <w:rPr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 xml:space="preserve">с даты заключения</w:t>
      </w:r>
      <w:r>
        <w:rPr>
          <w:color w:val="000000"/>
          <w:lang w:eastAsia="ar-SA"/>
        </w:rPr>
        <w:t xml:space="preserve"> Контракта. 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3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Поставщик осуществляет в офис Заказчика поставку, разгрузку и подъём Товара своими силами и за свой счет.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3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Товар должен быть упакован и замаркирован в соответствии с действующими стандартами. Упаковка (тара) должна гарантировать целостность и сохранность Товара </w:t>
      </w:r>
      <w:r>
        <w:rPr>
          <w:color w:val="000000"/>
          <w:lang w:eastAsia="ar-SA"/>
        </w:rPr>
        <w:br/>
        <w:t xml:space="preserve">при перевозке и хранении. Упаковка (тара) не должна содержать вскрытие, вмятин, порезов </w:t>
      </w:r>
      <w:r>
        <w:rPr>
          <w:color w:val="000000"/>
          <w:lang w:eastAsia="ar-SA"/>
        </w:rPr>
        <w:br/>
        <w:t xml:space="preserve">и обеспечивать сохранность при транспортировке и хранении. Упаковка (тара) Товара </w:t>
      </w:r>
      <w:r>
        <w:rPr>
          <w:color w:val="000000"/>
          <w:lang w:eastAsia="ar-SA"/>
        </w:rPr>
        <w:br/>
        <w:t xml:space="preserve">и </w:t>
      </w:r>
      <w:r>
        <w:rPr>
          <w:color w:val="000000"/>
          <w:lang w:eastAsia="ar-SA"/>
        </w:rPr>
        <w:t xml:space="preserve">комплектующих</w:t>
      </w:r>
      <w:r>
        <w:rPr>
          <w:color w:val="000000"/>
          <w:lang w:eastAsia="ar-SA"/>
        </w:rPr>
        <w:t xml:space="preserve">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</w:t>
      </w:r>
      <w:r>
        <w:rPr>
          <w:color w:val="000000"/>
          <w:lang w:eastAsia="ar-SA"/>
        </w:rPr>
        <w:br/>
        <w:t xml:space="preserve">или листы).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3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Поставщик сопроводительным письмом предоставляет Заказчику в день поставки Товара Акт приема-передачи товара (Приложение № 3 к Контракту) с приложением счета, товарной накладной и счета-фактуры или универсального передаточного документа.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3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Право на Товар переходит к Заказчику со дня его поставки Заказчику и оплаты полной стоимости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3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Заказчик в течение 10 (десяти) рабочих дней со дня получения Акта приема-передачи товара (Приложение № 3 к Контракту) обязан подписать представленный Поставщиком акт </w:t>
      </w:r>
      <w:r>
        <w:rPr>
          <w:color w:val="000000"/>
          <w:lang w:eastAsia="ar-SA"/>
        </w:rPr>
        <w:br/>
        <w:t xml:space="preserve">(или дать мотивированный отказ) и отправить второй экземпляр по адресу, указанному </w:t>
      </w:r>
      <w:r>
        <w:rPr>
          <w:color w:val="000000"/>
          <w:lang w:eastAsia="ar-SA"/>
        </w:rPr>
        <w:br/>
        <w:t xml:space="preserve">в настоящем Контракте.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972"/>
        <w:ind w:left="357" w:hanging="357"/>
        <w:spacing w:before="120" w:after="120"/>
      </w:pPr>
      <w:r>
        <w:t xml:space="preserve">Обязанности Сторон</w:t>
      </w:r>
      <w:r/>
    </w:p>
    <w:p>
      <w:pPr>
        <w:numPr>
          <w:ilvl w:val="0"/>
          <w:numId w:val="36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Обязанности Поставщика: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37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Поставить Товар в офис Заказчика в сроки в соответствии с условиями настоящего Контракта.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37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Передать Товар, который по количеству, качеству и описанию соответствует Техническому заданию (Приложение № 1 к настоящему Контракту) и Спецификации (Приложение № 2 к настоящему Контракту).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37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Своевременно и в полном объеме представить документы на оплату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36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Обязанности Заказчика: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38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Обеспечить оплату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38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Принять Товар в соответствии с разделом 3 настоящего Контракта, в том числе обеспечив приемку Товара, проверку Товара и соответствующей документации.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972"/>
        <w:ind w:left="357" w:hanging="357"/>
        <w:spacing w:before="120" w:after="120"/>
      </w:pPr>
      <w:r>
        <w:t xml:space="preserve">Ответственность Сторон</w:t>
      </w:r>
      <w:r/>
    </w:p>
    <w:p>
      <w:pPr>
        <w:numPr>
          <w:ilvl w:val="0"/>
          <w:numId w:val="39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За неисполнение или ненадлежащее исполнение своих обязательств по настоящему Контракту Заказчик и Поставщик несут ответственность в соответствии с законодательством Российской Федерации.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39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возникновения споров Стороны обязуются принять все меры для их разрешения путем договоренности.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39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просрочки исполнения Поставщиком обязательства, предусмотренного настоящим Контрактом, Заказчик вправе потребовать уплату неустойки (пени) в размере 1/300 действующей на день уплаты неустойки ключе</w:t>
      </w:r>
      <w:r>
        <w:rPr>
          <w:rFonts w:eastAsia="Arial Unicode MS"/>
          <w:lang w:eastAsia="ar-SA"/>
        </w:rPr>
        <w:t xml:space="preserve">вой ставки Центрального банка Российской Федерации за каждый день просрочки исполнения обязательства, предусмотренного настоящим Контрактом, начиная со дня, следующего после дня истечения, установленного настоящим Контрактом срока исполнения обязательства.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39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задержки платежей Заказчиком против срока, указанного в Контракте, Поставщик вправе потребовать от Заказчика выплату неустойки (п</w:t>
      </w:r>
      <w:r>
        <w:rPr>
          <w:rFonts w:eastAsia="Arial Unicode MS"/>
          <w:lang w:eastAsia="ar-SA"/>
        </w:rPr>
        <w:t xml:space="preserve">ени) на сумму задержанного платежа в размере 1/300 действующей на день уплаты неустойки ключевой ставки Центрального банка Российской Федерации за каждый день просрочки, начиная со дня, следующего за днем истечения срока оплаты, установленного в Контракте.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39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При недостижении дог</w:t>
      </w:r>
      <w:r>
        <w:rPr>
          <w:rFonts w:eastAsia="Arial Unicode MS"/>
          <w:lang w:eastAsia="ar-SA"/>
        </w:rPr>
        <w:t xml:space="preserve">оворенности все споры, разногласия или требования, возникающие из настоящего Контракта или в связи с ним, в том числе касающиеся его заключения, исполнения, нарушения, прекращения или недействительности, подлежат рассмотрению в Арбитражном суде г. Москвы. 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pStyle w:val="972"/>
        <w:ind w:left="357" w:hanging="357"/>
        <w:spacing w:before="120" w:after="120"/>
      </w:pPr>
      <w:r>
        <w:t xml:space="preserve">Срок действия Контракта</w:t>
      </w:r>
      <w:r/>
    </w:p>
    <w:p>
      <w:pPr>
        <w:numPr>
          <w:ilvl w:val="0"/>
          <w:numId w:val="40"/>
        </w:numPr>
        <w:ind w:left="0" w:firstLine="567"/>
        <w:spacing w:line="100" w:lineRule="atLeast"/>
        <w:shd w:val="clear" w:color="auto" w:fill="ffffff"/>
        <w:tabs>
          <w:tab w:val="left" w:pos="993" w:leader="none"/>
        </w:tabs>
        <w:rPr>
          <w:spacing w:val="-2"/>
          <w:lang w:eastAsia="ar-SA"/>
        </w:rPr>
        <w:outlineLvl w:val="9"/>
      </w:pPr>
      <w:r>
        <w:rPr>
          <w:color w:val="000000"/>
          <w:spacing w:val="-2"/>
          <w:lang w:eastAsia="ar-SA"/>
        </w:rPr>
        <w:t xml:space="preserve">Настоящий Контра</w:t>
      </w:r>
      <w:r>
        <w:rPr>
          <w:color w:val="000000"/>
          <w:spacing w:val="-2"/>
          <w:lang w:eastAsia="ar-SA"/>
        </w:rPr>
        <w:t xml:space="preserve">кт вст</w:t>
      </w:r>
      <w:r>
        <w:rPr>
          <w:color w:val="000000"/>
          <w:spacing w:val="-2"/>
          <w:lang w:eastAsia="ar-SA"/>
        </w:rPr>
        <w:t xml:space="preserve">упает в силу с даты его заключения Сторонами и действует </w:t>
      </w:r>
      <w:r>
        <w:rPr>
          <w:color w:val="000000"/>
          <w:spacing w:val="-2"/>
          <w:lang w:eastAsia="ar-SA"/>
        </w:rPr>
        <w:br/>
        <w:t xml:space="preserve">до полного выполнения Сторонами свои</w:t>
      </w:r>
      <w:r>
        <w:rPr>
          <w:color w:val="000000"/>
          <w:spacing w:val="-2"/>
          <w:lang w:eastAsia="ar-SA"/>
        </w:rPr>
        <w:t xml:space="preserve">х обязательств, но не позднее 30</w:t>
      </w:r>
      <w:r>
        <w:rPr>
          <w:color w:val="000000"/>
          <w:spacing w:val="-2"/>
          <w:lang w:eastAsia="ar-SA"/>
        </w:rPr>
        <w:t xml:space="preserve">.11.202</w:t>
      </w:r>
      <w:r>
        <w:rPr>
          <w:color w:val="000000"/>
          <w:spacing w:val="-2"/>
          <w:lang w:eastAsia="ar-SA"/>
        </w:rPr>
        <w:t xml:space="preserve">6</w:t>
      </w:r>
      <w:r>
        <w:rPr>
          <w:color w:val="000000"/>
          <w:spacing w:val="-2"/>
          <w:lang w:eastAsia="ar-SA"/>
        </w:rPr>
        <w:t xml:space="preserve">.</w:t>
      </w:r>
      <w:r>
        <w:rPr>
          <w:spacing w:val="-2"/>
          <w:lang w:eastAsia="ar-SA"/>
        </w:rPr>
      </w:r>
      <w:r>
        <w:rPr>
          <w:spacing w:val="-2"/>
          <w:lang w:eastAsia="ar-SA"/>
        </w:rPr>
      </w:r>
    </w:p>
    <w:p>
      <w:pPr>
        <w:pStyle w:val="972"/>
        <w:ind w:left="357" w:hanging="357"/>
        <w:spacing w:before="120" w:after="120"/>
      </w:pPr>
      <w:r>
        <w:t xml:space="preserve">Досрочное прекращение Контракта</w:t>
      </w:r>
      <w:r/>
    </w:p>
    <w:p>
      <w:pPr>
        <w:numPr>
          <w:ilvl w:val="0"/>
          <w:numId w:val="41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</w:t>
      </w:r>
      <w:r>
        <w:rPr>
          <w:color w:val="000000"/>
        </w:rPr>
        <w:br/>
        <w:t xml:space="preserve">с гражданским законодательством.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41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Заказчик вправе принять решение об одностороннем отказе от исполнения Контракта </w:t>
      </w:r>
      <w:r>
        <w:rPr>
          <w:color w:val="000000"/>
        </w:rPr>
        <w:br/>
        <w:t xml:space="preserve">в случае поставки Товара ненадлежащего качества, нарушении сроков поставки Товара и по иным основаниям,</w:t>
      </w:r>
      <w:r>
        <w:t xml:space="preserve"> </w:t>
      </w:r>
      <w:r>
        <w:rPr>
          <w:color w:val="000000"/>
        </w:rPr>
        <w:t xml:space="preserve">предусмотренным Гражданским кодексом Российской Федерации</w:t>
      </w:r>
      <w:r>
        <w:rPr>
          <w:rFonts w:eastAsia="Arial Unicode MS"/>
        </w:rPr>
        <w:t xml:space="preserve">.</w:t>
      </w:r>
      <w:r>
        <w:rPr>
          <w:lang w:eastAsia="ar-SA"/>
        </w:rPr>
      </w:r>
      <w:r>
        <w:rPr>
          <w:lang w:eastAsia="ar-SA"/>
        </w:rPr>
      </w:r>
    </w:p>
    <w:p>
      <w:pPr>
        <w:pStyle w:val="972"/>
        <w:ind w:left="357" w:hanging="357"/>
        <w:spacing w:before="120" w:after="120"/>
      </w:pPr>
      <w:r>
        <w:t xml:space="preserve">Обстоятельства непреодолимой силы (форс-мажор)</w:t>
      </w:r>
      <w:r/>
    </w:p>
    <w:p>
      <w:pPr>
        <w:numPr>
          <w:ilvl w:val="0"/>
          <w:numId w:val="4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Стороны освобождаются от ответственности за частичное или полное неисполнение обязательств по настоящему Контракту, если это неисполнение явилось следствием обстоятельств непреодолимой силы (форс-мажор).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4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О наступлении форс-мажорных обстоятельств, а также о предполагаемом сроке </w:t>
      </w:r>
      <w:r>
        <w:rPr>
          <w:color w:val="000000"/>
        </w:rPr>
        <w:br/>
        <w:t xml:space="preserve">их действия Сторона,</w:t>
      </w:r>
      <w:r>
        <w:rPr>
          <w:color w:val="000000"/>
        </w:rPr>
        <w:t xml:space="preserve"> для которой они наступили, извещает в письменной форме другую Сторону не позднее 3 (трех) рабочих дней с момента их наступления. Сроки исполнения обязательств переносятся пропорционально действию форс-мажорных обстоятельств, но не более чем на два месяца.</w:t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4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Неизвещение или несвоевременное извещение о наступлении таких обстоятельств лишает права любую из Сторон ссылаться на эти обстоятельства как на основание, освобождающее ее </w:t>
      </w:r>
      <w:r>
        <w:rPr>
          <w:color w:val="000000"/>
        </w:rPr>
        <w:br/>
        <w:t xml:space="preserve">от ответственности за несвоевременное исполнение обязательств по отношению к другой Стороне.</w:t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4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В случае если форс-мажорные обстоятельства продлятся более двух месяцев, Стороны вправе расторгнуть настоящий Контракт, создав комиссию из представителей Сторон </w:t>
      </w:r>
      <w:r>
        <w:rPr>
          <w:color w:val="000000"/>
        </w:rPr>
        <w:br/>
        <w:t xml:space="preserve">для урегулирования всех споров.</w:t>
      </w:r>
      <w:r>
        <w:rPr>
          <w:color w:val="000000"/>
        </w:rPr>
      </w:r>
      <w:r>
        <w:rPr>
          <w:color w:val="000000"/>
        </w:rPr>
      </w:r>
    </w:p>
    <w:p>
      <w:pPr>
        <w:pStyle w:val="972"/>
        <w:ind w:left="357" w:hanging="357"/>
        <w:spacing w:before="120" w:after="120"/>
      </w:pPr>
      <w:r>
        <w:t xml:space="preserve">Другие условия</w:t>
      </w:r>
      <w:r/>
    </w:p>
    <w:p>
      <w:pPr>
        <w:numPr>
          <w:ilvl w:val="0"/>
          <w:numId w:val="4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Все споры и разногласия, которые могут возникнуть по настоящему Контракту </w:t>
      </w:r>
      <w:r>
        <w:rPr>
          <w:color w:val="000000"/>
          <w:lang w:eastAsia="ar-SA"/>
        </w:rPr>
        <w:br/>
        <w:t xml:space="preserve">или в связи с ним, Стороны будут стремиться разрешить путем переговоров.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4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Настоящий Контракт составлен </w:t>
      </w:r>
      <w:r>
        <w:rPr>
          <w:color w:val="000000"/>
          <w:lang w:eastAsia="ar-SA"/>
        </w:rPr>
        <w:t xml:space="preserve">в форме электронного документа, подписанного усиленными электронными подписями Сторон.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4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Все приложения и изменения по основаниям, предусмотренным настоящим Контрактом, являются его неотъемлемой частью.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4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 изменении места нахождения и банковских реквизитов Стороны обязаны в течение </w:t>
      </w:r>
      <w:r>
        <w:rPr>
          <w:color w:val="000000"/>
          <w:lang w:eastAsia="ar-SA"/>
        </w:rPr>
        <w:br/>
        <w:t xml:space="preserve">5 (пяти) рабочих дней письменно известить об этом друг друга.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4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Приложения к Контракту: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567" w:firstLine="0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1 – Техническое задание;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jc w:val="left"/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2 – Спецификация;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jc w:val="left"/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3 – Форма акта приема-передачи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972"/>
        <w:rPr>
          <w:color w:val="000000"/>
          <w:lang w:eastAsia="ar-SA"/>
        </w:rPr>
      </w:pPr>
      <w:r/>
      <w:bookmarkStart w:id="2" w:name="_Ref94177724"/>
      <w:r>
        <w:rPr>
          <w:color w:val="000000"/>
          <w:lang w:eastAsia="ar-SA"/>
        </w:rPr>
        <w:t xml:space="preserve">Реквизиты Сторон</w:t>
      </w:r>
      <w:bookmarkEnd w:id="2"/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tbl>
      <w:tblPr>
        <w:tblStyle w:val="1000"/>
        <w:tblW w:w="1020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353"/>
        <w:gridCol w:w="4853"/>
      </w:tblGrid>
      <w:tr>
        <w:tblPrEx/>
        <w:trPr>
          <w:trHeight w:val="313"/>
        </w:trPr>
        <w:tc>
          <w:tcPr>
            <w:tcW w:w="5353" w:type="dxa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color w:val="000000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</w:rPr>
              <w:t xml:space="preserve">ЗАКАЗЧИК</w:t>
            </w:r>
            <w:r>
              <w:rPr>
                <w:b/>
                <w:color w:val="000000"/>
                <w:lang w:val="en-US"/>
              </w:rPr>
              <w:t xml:space="preserve">:</w:t>
            </w:r>
            <w:r>
              <w:rPr>
                <w:b/>
                <w:color w:val="000000"/>
                <w:lang w:val="en-US"/>
              </w:rPr>
            </w:r>
            <w:r>
              <w:rPr>
                <w:b/>
                <w:color w:val="000000"/>
                <w:lang w:val="en-US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color w:val="000000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</w:rPr>
              <w:t xml:space="preserve">ПОСТАВЩИК</w:t>
            </w:r>
            <w:r>
              <w:rPr>
                <w:b/>
                <w:color w:val="000000"/>
                <w:lang w:val="en-US"/>
              </w:rPr>
              <w:t xml:space="preserve">:</w:t>
            </w:r>
            <w:r>
              <w:rPr>
                <w:b/>
                <w:color w:val="000000"/>
                <w:lang w:val="en-US"/>
              </w:rPr>
            </w:r>
            <w:r>
              <w:rPr>
                <w:b/>
                <w:color w:val="000000"/>
                <w:lang w:val="en-US"/>
              </w:rPr>
            </w:r>
          </w:p>
        </w:tc>
      </w:tr>
      <w:tr>
        <w:tblPrEx/>
        <w:trPr>
          <w:trHeight w:val="313"/>
        </w:trPr>
        <w:tc>
          <w:tcPr>
            <w:tcW w:w="5353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Министерство энергетики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Российской Федерации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(Минэнерго России)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  <w:t xml:space="preserve">Публичное акционерное общество «СОФТЛАЙН» </w:t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ind w:firstLine="0"/>
              <w:rPr>
                <w:color w:val="000000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val="en-US"/>
              </w:rPr>
              <w:t xml:space="preserve">(ПАО «СОФТЛАЙН»)</w:t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760"/>
        </w:trPr>
        <w:tc>
          <w:tcPr>
            <w:tcW w:w="5353" w:type="dxa"/>
            <w:textDirection w:val="lrTb"/>
            <w:noWrap w:val="false"/>
          </w:tcPr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Юридический адрес: 109012, г. Москва, 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Китайгородский пр-д, д. 7 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Фактический адрес: 129110, г. Москва, 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Щепкина ул., д. 42, стр. 1, 2 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ИНН 7705847529, КПП 770501001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Банковские реквизиты: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Межрегиональное операционное УФК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(Минэнерго России, л/с 03951000220)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р/с 40102810045370000002 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в Операционном департаменте Банка России 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//Межрегиональное операционное УФК 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г. Москва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к/с 03211643000000019503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БИК 024501901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ОКПО/ОКТМО  00083641/45381000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E-mail: compred@minenergo.gov.ru</w:t>
            </w:r>
            <w:r>
              <w:rPr>
                <w:color w:val="000000"/>
              </w:rPr>
            </w:r>
            <w:r/>
          </w:p>
          <w:p>
            <w:pPr>
              <w:ind w:firstLine="0"/>
              <w:spacing w:line="276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Тел: (495) 631-89-18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right="34" w:firstLine="0"/>
              <w:jc w:val="left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Юридический адрес: </w:t>
            </w:r>
            <w:r>
              <w:rPr>
                <w:color w:val="000000"/>
              </w:rPr>
              <w:t xml:space="preserve">119021, г. Москва, вн.тер.г. муниципальный округ Хамовники, ул. Льва Толстого, д. 5, стр. 1, эт. 3, помещ. 1, ком. № 2, 2а (а-311),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Почтовый адрес: 115114, </w:t>
            </w:r>
            <w:r>
              <w:rPr>
                <w:color w:val="000000"/>
              </w:rPr>
              <w:t xml:space="preserve">г. Москва, Дербеневская наб., д. 7, стр. 8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jc w:val="left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ИНН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7736227885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jc w:val="left"/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КПП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770401001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  <w:p>
            <w:pPr>
              <w:ind w:right="34" w:firstLine="0"/>
              <w:jc w:val="left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КПП крупнейшего налогоплательщика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774950001,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jc w:val="left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Банковские реквизиты: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jc w:val="left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Наименование банка: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Банк ГПБ (АО)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р\с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40702810800000010453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к\с </w:t>
            </w:r>
            <w:r>
              <w:rPr>
                <w:color w:val="000000"/>
              </w:rPr>
              <w:t xml:space="preserve">30101810200000000823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БИК </w:t>
            </w:r>
            <w:r>
              <w:rPr>
                <w:color w:val="000000"/>
              </w:rPr>
              <w:t xml:space="preserve">044525823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ОКПО </w:t>
            </w:r>
            <w:r>
              <w:rPr>
                <w:color w:val="000000"/>
              </w:rPr>
              <w:t xml:space="preserve">59754311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highlight w:val="none"/>
              </w:rPr>
              <w:t xml:space="preserve">ОКАТО </w:t>
            </w:r>
            <w:r>
              <w:rPr>
                <w:color w:val="000000"/>
                <w:highlight w:val="none"/>
              </w:rPr>
              <w:t xml:space="preserve">45286590000</w:t>
            </w:r>
            <w:r>
              <w:rPr>
                <w:color w:val="000000"/>
                <w:highlight w:val="none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ОКТМО </w:t>
            </w:r>
            <w:r>
              <w:rPr>
                <w:color w:val="000000"/>
              </w:rPr>
              <w:t xml:space="preserve">45383000000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ОГРН </w:t>
            </w:r>
            <w:r>
              <w:rPr>
                <w:color w:val="000000"/>
              </w:rPr>
              <w:t xml:space="preserve">1027736009333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ОКВЭД 46.90,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е-</w:t>
            </w:r>
            <w:r>
              <w:rPr>
                <w:color w:val="000000"/>
              </w:rPr>
              <w:t xml:space="preserve">mail</w:t>
            </w:r>
            <w:r>
              <w:rPr>
                <w:color w:val="000000"/>
              </w:rPr>
              <w:t xml:space="preserve">: </w:t>
            </w:r>
            <w:r>
              <w:rPr>
                <w:color w:val="000000"/>
              </w:rPr>
              <w:t xml:space="preserve">corporate@softline.ru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тел. +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7(495)232-00-23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Дата постановки на учет в налоговом органе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  <w:t xml:space="preserve">21.02.2008</w:t>
            </w:r>
            <w:r>
              <w:rPr>
                <w:color w:val="000000"/>
                <w:lang w:val="en-US"/>
              </w:rPr>
              <w:t xml:space="preserve">.</w:t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ind w:right="34" w:firstLine="0"/>
              <w:rPr>
                <w:color w:val="000000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</w:tc>
      </w:tr>
      <w:tr>
        <w:tblPrEx/>
        <w:trPr>
          <w:trHeight w:val="1504"/>
        </w:trPr>
        <w:tc>
          <w:tcPr>
            <w:tcW w:w="5353" w:type="dxa"/>
            <w:textDirection w:val="lrTb"/>
            <w:noWrap w:val="false"/>
          </w:tcPr>
          <w:p>
            <w:pPr>
              <w:ind w:firstLine="0"/>
              <w:rPr>
                <w:b/>
              </w:rPr>
              <w:outlineLvl w:val="9"/>
            </w:pPr>
            <w:r>
              <w:rPr>
                <w:b/>
              </w:rPr>
              <w:t xml:space="preserve">ЗАКАЗЧИК</w:t>
            </w:r>
            <w:r>
              <w:rPr>
                <w:b/>
              </w:rPr>
              <w:t xml:space="preserve">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017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Директор Департамента цифровой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br/>
              <w:t xml:space="preserve">трансформации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</w:p>
          <w:p>
            <w:pPr>
              <w:ind w:right="1168" w:firstLine="0"/>
              <w:jc w:val="left"/>
              <w:rPr>
                <w:color w:val="000000" w:themeColor="text1"/>
              </w:rPr>
              <w:outlineLvl w:val="9"/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ind w:right="1168" w:firstLine="0"/>
              <w:jc w:val="left"/>
              <w:rPr>
                <w:color w:val="000000" w:themeColor="text1"/>
              </w:rPr>
              <w:outlineLvl w:val="9"/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ind w:right="1168" w:firstLine="0"/>
              <w:jc w:val="left"/>
              <w:rPr>
                <w:color w:val="000000" w:themeColor="text1"/>
              </w:rPr>
              <w:outlineLvl w:val="9"/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ind w:right="1168" w:firstLine="0"/>
              <w:jc w:val="left"/>
              <w:rPr>
                <w:color w:val="000000" w:themeColor="text1"/>
              </w:rPr>
              <w:outlineLvl w:val="9"/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ind w:firstLine="0"/>
              <w:outlineLvl w:val="9"/>
            </w:pPr>
            <w:r>
              <w:t xml:space="preserve">_______________________/Ф</w:t>
            </w:r>
            <w:r>
              <w:t xml:space="preserve">.В</w:t>
            </w:r>
            <w:r>
              <w:t xml:space="preserve">. </w:t>
            </w:r>
            <w:r>
              <w:t xml:space="preserve">Мицкевич/</w:t>
            </w:r>
            <w:r/>
          </w:p>
        </w:tc>
        <w:tc>
          <w:tcPr>
            <w:tcW w:w="4853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bCs/>
              </w:rPr>
              <w:t xml:space="preserve">ПОСТАВЩИК</w:t>
            </w:r>
            <w:r>
              <w:rPr>
                <w:b/>
                <w:color w:val="000000"/>
              </w:rPr>
              <w:t xml:space="preserve">: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  <w:p>
            <w:pPr>
              <w:ind w:firstLine="0"/>
              <w:rPr>
                <w:color w:val="000000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val="en-US"/>
              </w:rPr>
              <w:t xml:space="preserve">Генеральный директор</w:t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ind w:firstLine="0"/>
              <w:rPr>
                <w:b/>
                <w:bCs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</w:rPr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  <w:p>
            <w:pPr>
              <w:ind w:firstLine="0"/>
              <w:rPr>
                <w:b/>
                <w:bCs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  <w:p>
            <w:pPr>
              <w:ind w:firstLine="0"/>
              <w:rPr>
                <w:b/>
                <w:bCs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  <w:p>
            <w:pPr>
              <w:ind w:firstLine="0"/>
              <w:rPr>
                <w:b/>
                <w:bCs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</w:rPr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________________</w:t>
            </w:r>
            <w:r>
              <w:rPr>
                <w:color w:val="000000"/>
              </w:rPr>
              <w:t xml:space="preserve">__</w:t>
            </w:r>
            <w:r>
              <w:rPr>
                <w:color w:val="000000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ar-SA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ar-SA"/>
              </w:rPr>
              <w:t xml:space="preserve">В.Е. Лавров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ar-SA"/>
              </w:rPr>
              <w:t xml:space="preserve">/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87"/>
        </w:trPr>
        <w:tc>
          <w:tcPr>
            <w:tcW w:w="5353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М.П.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М.П.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ind w:firstLine="0"/>
        <w:jc w:val="left"/>
        <w:spacing w:line="259" w:lineRule="auto"/>
        <w:outlineLvl w:val="9"/>
      </w:pPr>
      <w:r/>
      <w:r/>
    </w:p>
    <w:p>
      <w:pPr>
        <w:ind w:firstLine="0"/>
        <w:jc w:val="left"/>
        <w:spacing w:line="259" w:lineRule="auto"/>
        <w:outlineLvl w:val="9"/>
      </w:pPr>
      <w:r/>
      <w:r/>
    </w:p>
    <w:p>
      <w:pPr>
        <w:ind w:firstLine="0"/>
        <w:jc w:val="left"/>
        <w:spacing w:line="259" w:lineRule="auto"/>
        <w:outlineLvl w:val="9"/>
      </w:pPr>
      <w:r/>
      <w:r/>
    </w:p>
    <w:p>
      <w:pPr>
        <w:pStyle w:val="979"/>
        <w:numPr>
          <w:ilvl w:val="0"/>
          <w:numId w:val="0"/>
        </w:numPr>
        <w:ind w:left="0" w:firstLine="0"/>
        <w:jc w:val="left"/>
      </w:pPr>
      <w:r/>
      <w:r/>
    </w:p>
    <w:p>
      <w:pPr>
        <w:pStyle w:val="979"/>
        <w:numPr>
          <w:ilvl w:val="0"/>
          <w:numId w:val="0"/>
        </w:numPr>
        <w:ind w:left="0" w:firstLine="0"/>
        <w:jc w:val="left"/>
      </w:pPr>
      <w:r/>
      <w:r/>
    </w:p>
    <w:p>
      <w:pPr>
        <w:pStyle w:val="979"/>
        <w:numPr>
          <w:ilvl w:val="0"/>
          <w:numId w:val="0"/>
        </w:numPr>
        <w:ind w:left="0" w:firstLine="0"/>
        <w:jc w:val="left"/>
      </w:pPr>
      <w:r/>
      <w:r/>
    </w:p>
    <w:p>
      <w:pPr>
        <w:pStyle w:val="979"/>
        <w:numPr>
          <w:ilvl w:val="0"/>
          <w:numId w:val="0"/>
        </w:numPr>
        <w:ind w:left="0" w:firstLine="0"/>
        <w:jc w:val="left"/>
      </w:pPr>
      <w:r/>
      <w:r/>
    </w:p>
    <w:p>
      <w:pPr>
        <w:pStyle w:val="979"/>
        <w:numPr>
          <w:ilvl w:val="0"/>
          <w:numId w:val="0"/>
        </w:numPr>
        <w:ind w:left="0" w:firstLine="0"/>
        <w:jc w:val="left"/>
        <w:sectPr>
          <w:headerReference w:type="default" r:id="rId9"/>
          <w:headerReference w:type="first" r:id="rId10"/>
          <w:footnotePr/>
          <w:endnotePr/>
          <w:type w:val="nextPage"/>
          <w:pgSz w:w="11906" w:h="16838" w:orient="portrait"/>
          <w:pgMar w:top="850" w:right="567" w:bottom="1531" w:left="1134" w:header="709" w:footer="709" w:gutter="0"/>
          <w:pgNumType w:start="1"/>
          <w:cols w:num="1" w:sep="0" w:space="708" w:equalWidth="1"/>
          <w:docGrid w:linePitch="360"/>
          <w:titlePg/>
        </w:sectPr>
      </w:pPr>
      <w:r/>
      <w:r/>
    </w:p>
    <w:p>
      <w:pPr>
        <w:jc w:val="right"/>
        <w:tabs>
          <w:tab w:val="center" w:pos="2420" w:leader="none"/>
          <w:tab w:val="left" w:pos="3840" w:leader="none"/>
        </w:tabs>
        <w:rPr>
          <w:color w:val="000000"/>
        </w:rPr>
      </w:pPr>
      <w:r>
        <w:rPr>
          <w:color w:val="000000"/>
        </w:rPr>
        <w:t xml:space="preserve">Приложение № 1</w:t>
      </w:r>
      <w:r>
        <w:rPr>
          <w:color w:val="000000"/>
        </w:rPr>
      </w:r>
      <w:r>
        <w:rPr>
          <w:color w:val="000000"/>
        </w:rPr>
      </w:r>
    </w:p>
    <w:p>
      <w:pPr>
        <w:jc w:val="right"/>
        <w:tabs>
          <w:tab w:val="center" w:pos="2420" w:leader="none"/>
          <w:tab w:val="left" w:pos="3840" w:leader="none"/>
        </w:tabs>
      </w:pPr>
      <w:r>
        <w:rPr>
          <w:color w:val="000000"/>
        </w:rPr>
        <w:t xml:space="preserve">к Контракту </w:t>
      </w:r>
      <w:r>
        <w:t xml:space="preserve">№ </w:t>
      </w:r>
      <w:r>
        <w:t xml:space="preserve">100201966126100150</w:t>
      </w:r>
      <w:r>
        <w:rPr>
          <w:color w:val="000000"/>
        </w:rPr>
      </w:r>
      <w:r/>
    </w:p>
    <w:p>
      <w:pPr>
        <w:jc w:val="right"/>
        <w:tabs>
          <w:tab w:val="center" w:pos="2420" w:leader="none"/>
          <w:tab w:val="left" w:pos="3840" w:leader="none"/>
        </w:tabs>
      </w:pPr>
      <w:r>
        <w:t xml:space="preserve">от «___» ________2026</w:t>
      </w:r>
      <w:r>
        <w:t xml:space="preserve"> г.</w:t>
      </w:r>
      <w:r/>
    </w:p>
    <w:p>
      <w:pPr>
        <w:pStyle w:val="1004"/>
      </w:pPr>
      <w:r>
        <w:t xml:space="preserve">ТЕХНИЧЕСКОЕ ЗАДАНИЕ</w:t>
      </w:r>
      <w:r/>
    </w:p>
    <w:p>
      <w:pPr>
        <w:pStyle w:val="971"/>
      </w:pPr>
      <w:r>
        <w:t xml:space="preserve">на </w:t>
      </w:r>
      <w:r>
        <w:t xml:space="preserve">п</w:t>
      </w:r>
      <w:r>
        <w:t xml:space="preserve">оставку </w:t>
      </w:r>
      <w:r>
        <w:t xml:space="preserve">USB-устройств </w:t>
      </w:r>
      <w:r>
        <w:t xml:space="preserve">для защищенного хранения ключей шифрования и ключей электронной подписи,</w:t>
      </w:r>
      <w:r>
        <w:t xml:space="preserve"> сертифицированных ФСТЭК </w:t>
      </w:r>
      <w:r>
        <w:t xml:space="preserve">России </w:t>
      </w:r>
      <w:r/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77"/>
      </w:pPr>
      <w:r>
        <w:t xml:space="preserve">Наименование закупки</w:t>
      </w:r>
      <w:r/>
    </w:p>
    <w:p>
      <w:r>
        <w:rPr>
          <w:bCs/>
        </w:rPr>
      </w:r>
      <w:r>
        <w:rPr>
          <w:bCs/>
        </w:rPr>
        <w:t xml:space="preserve">Поставка </w:t>
      </w:r>
      <w:r>
        <w:t xml:space="preserve">USB-устройств </w:t>
      </w:r>
      <w:r>
        <w:t xml:space="preserve">для защищенного хранения ключей шифрования и ключей электронной подписи,</w:t>
      </w:r>
      <w:r>
        <w:t xml:space="preserve"> сертифицированных ФСТЭК</w:t>
      </w:r>
      <w:r>
        <w:t xml:space="preserve"> </w:t>
      </w:r>
      <w:r>
        <w:t xml:space="preserve">России </w:t>
      </w:r>
      <w:r>
        <w:t xml:space="preserve">(далее – Товар) согласно Спецификации.</w:t>
      </w:r>
      <w:r/>
    </w:p>
    <w:p>
      <w:pPr>
        <w:pStyle w:val="977"/>
      </w:pPr>
      <w:r>
        <w:t xml:space="preserve">Сроки поставки Товара</w:t>
      </w:r>
      <w:r/>
    </w:p>
    <w:p>
      <w:r>
        <w:t xml:space="preserve">Поставка Товара осуществляется в течение </w:t>
      </w:r>
      <w:r>
        <w:t xml:space="preserve">14 (четырнадцати) календарных дней</w:t>
      </w:r>
      <w:r>
        <w:t xml:space="preserve"> </w:t>
      </w:r>
      <w:r>
        <w:t xml:space="preserve">с даты заключения</w:t>
      </w:r>
      <w:r>
        <w:t xml:space="preserve"> Контракта. </w:t>
      </w:r>
      <w:r/>
    </w:p>
    <w:p>
      <w:r>
        <w:t xml:space="preserve">Доставка, разгрузка, размещение Товара в помещениях Заказчика осуществляется в рабочие часы Заказчика (по рабочим дням с 9 часов 00 минут до 18 часов 00 минут; по пятницам</w:t>
      </w:r>
      <w:r>
        <w:br/>
        <w:t xml:space="preserve">и предпраздничным дням – с 9 часов 00 минут до 16 часов 45 минут) с учетом времени</w:t>
      </w:r>
      <w:r>
        <w:br/>
        <w:t xml:space="preserve">на разгрузку Товара в присутствии представителя Поставщика. </w:t>
      </w:r>
      <w:r/>
    </w:p>
    <w:p>
      <w:r>
        <w:t xml:space="preserve">Поставщик направляет Заказчику уведомление о готовности поставить Товар</w:t>
      </w:r>
      <w:r>
        <w:br/>
        <w:t xml:space="preserve">на электронный адрес: compred@minenergo.gov.ru не позднее 2 (двух) рабочих дней до начала поставки Товара. </w:t>
      </w:r>
      <w:r/>
    </w:p>
    <w:p>
      <w:r>
        <w:t xml:space="preserve">В уведомлении необходимо указать дату, время поставки Товара, номер и марку транспортного средства, фамилию, имя, отчество, паспортные данные водителя, грузчиков</w:t>
      </w:r>
      <w:r>
        <w:br/>
        <w:t xml:space="preserve">и уполномоченного представителя Поставщика.</w:t>
      </w:r>
      <w:r/>
    </w:p>
    <w:p>
      <w:r>
        <w:t xml:space="preserve">Электронный адрес compred@minenergo.gov.ru используется исключительно</w:t>
      </w:r>
      <w:r>
        <w:br/>
        <w:t xml:space="preserve">для уведомления Заказчика о готовности поставить Товар.</w:t>
      </w:r>
      <w:r/>
    </w:p>
    <w:p>
      <w:pPr>
        <w:ind w:firstLine="0"/>
      </w:pPr>
      <w:r/>
      <w:r/>
    </w:p>
    <w:p>
      <w:pPr>
        <w:pStyle w:val="977"/>
      </w:pPr>
      <w:r>
        <w:t xml:space="preserve">Место поставки Товара</w:t>
      </w:r>
      <w:r/>
    </w:p>
    <w:p>
      <w:r>
        <w:t xml:space="preserve">Поставка Товара осуществляется по адресу: 129110, г.</w:t>
      </w:r>
      <w:r>
        <w:t xml:space="preserve"> Москва, ул. Щепкина, д. 42, стр. 1, кабинет 1808, этаж 18 силами и транспортом Поставщика и за его счет. Доставка Товара, разгрузка-погрузка (подъем) в помещениях Заказчика сопровождается уполномоченным представителем Поставщика на основании доверенности.</w:t>
      </w:r>
      <w:r/>
    </w:p>
    <w:p>
      <w:r/>
      <w:r/>
    </w:p>
    <w:p>
      <w:pPr>
        <w:pStyle w:val="977"/>
        <w:numPr>
          <w:ilvl w:val="0"/>
          <w:numId w:val="0"/>
        </w:numPr>
      </w:pPr>
      <w:r>
        <w:t xml:space="preserve">4. </w:t>
      </w:r>
      <w:r>
        <w:t xml:space="preserve">Требования к маркировки Товара</w:t>
      </w:r>
      <w:r/>
    </w:p>
    <w:p>
      <w:r>
        <w:t xml:space="preserve">Маркировка Товара должна содержать все признаки, установленные производителем:</w:t>
      </w:r>
      <w:r/>
    </w:p>
    <w:p>
      <w:pPr>
        <w:pStyle w:val="976"/>
        <w:numPr>
          <w:ilvl w:val="0"/>
          <w:numId w:val="46"/>
        </w:numPr>
        <w:ind w:left="992" w:right="0" w:hanging="425"/>
      </w:pPr>
      <w:r>
        <w:t xml:space="preserve">голограммы, защитные пломбы, марки, содержащие все элементы защиты от подделок;</w:t>
      </w:r>
      <w:r/>
    </w:p>
    <w:p>
      <w:pPr>
        <w:pStyle w:val="976"/>
        <w:numPr>
          <w:ilvl w:val="0"/>
          <w:numId w:val="46"/>
        </w:numPr>
        <w:ind w:left="992" w:right="0" w:hanging="425"/>
      </w:pPr>
      <w:r>
        <w:t xml:space="preserve">корпус Товара не должен иметь потертостей, царапин, сколов и следов вскрытия.</w:t>
      </w:r>
      <w:r/>
    </w:p>
    <w:p>
      <w:pPr>
        <w:pStyle w:val="977"/>
        <w:numPr>
          <w:ilvl w:val="0"/>
          <w:numId w:val="0"/>
        </w:numPr>
        <w:ind w:left="0" w:firstLine="0"/>
        <w:rPr>
          <w:highlight w:val="white"/>
        </w:rPr>
      </w:pPr>
      <w:r>
        <w:rPr>
          <w:highlight w:val="white"/>
        </w:rPr>
        <w:t xml:space="preserve">5. </w:t>
      </w:r>
      <w:r>
        <w:rPr>
          <w:highlight w:val="white"/>
        </w:rPr>
        <w:t xml:space="preserve">Требования к упаковке Товара.</w:t>
      </w:r>
      <w:r>
        <w:rPr>
          <w:highlight w:val="white"/>
        </w:rPr>
      </w:r>
      <w:r>
        <w:rPr>
          <w:highlight w:val="white"/>
        </w:rPr>
      </w:r>
    </w:p>
    <w:p>
      <w:r>
        <w:t xml:space="preserve">Упаковка должна обеспечивать безопасность транспортировки Товара и сохранность его качества в течение гарантийного срока хранения.</w:t>
      </w:r>
      <w:r/>
    </w:p>
    <w:p>
      <w:pPr>
        <w:ind w:firstLine="0"/>
      </w:pPr>
      <w:r/>
      <w:r/>
    </w:p>
    <w:p>
      <w:pPr>
        <w:pStyle w:val="977"/>
        <w:numPr>
          <w:ilvl w:val="0"/>
          <w:numId w:val="0"/>
        </w:numPr>
        <w:ind w:left="0" w:firstLine="0"/>
      </w:pPr>
      <w:r>
        <w:t xml:space="preserve">6. Общие требования к Товару</w:t>
      </w:r>
      <w:r/>
    </w:p>
    <w:p>
      <w:pPr>
        <w:rPr>
          <w:color w:val="000000" w:themeColor="text1"/>
          <w:highlight w:val="none"/>
        </w:rPr>
      </w:pPr>
      <w:r>
        <w:rPr>
          <w:b/>
          <w:bCs/>
          <w:lang w:eastAsia="en-US"/>
        </w:rPr>
        <w:t xml:space="preserve">Код ОКПД</w:t>
      </w:r>
      <w:r>
        <w:rPr>
          <w:b/>
          <w:bCs/>
          <w:color w:val="000000" w:themeColor="text1"/>
          <w:highlight w:val="white"/>
          <w:lang w:eastAsia="en-US"/>
        </w:rPr>
        <w:t xml:space="preserve">2:</w:t>
      </w:r>
      <w:r>
        <w:rPr>
          <w:color w:val="000000" w:themeColor="text1"/>
          <w:highlight w:val="white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26.20.22.140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rPr>
          <w:color w:val="000000" w:themeColor="text1"/>
          <w:highlight w:val="white"/>
        </w:rPr>
      </w:pPr>
      <w:r>
        <w:rPr>
          <w:color w:val="000000" w:themeColor="text1"/>
          <w:highlight w:val="non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0" w:firstLine="708"/>
        <w:jc w:val="left"/>
        <w:sectPr>
          <w:footnotePr>
            <w:numRestart w:val="eachSect"/>
          </w:footnotePr>
          <w:endnotePr/>
          <w:type w:val="nextPage"/>
          <w:pgSz w:w="11906" w:h="16838" w:orient="portrait"/>
          <w:pgMar w:top="567" w:right="567" w:bottom="567" w:left="1134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b w:val="0"/>
          <w:bCs w:val="0"/>
        </w:rPr>
      </w:r>
      <w:r>
        <w:rPr>
          <w:b/>
          <w:bCs/>
        </w:rPr>
        <w:t xml:space="preserve">КТРУ:</w:t>
      </w:r>
      <w:r>
        <w:rPr>
          <w:bCs/>
        </w:rPr>
        <w:t xml:space="preserve"> </w:t>
      </w:r>
      <w:r>
        <w:t xml:space="preserve"> 26.20.21.120-00000014.</w:t>
      </w:r>
      <w:r/>
    </w:p>
    <w:p>
      <w:pPr>
        <w:ind w:firstLine="0"/>
      </w:pPr>
      <w:r>
        <w:rPr>
          <w:highlight w:val="none"/>
          <w:lang w:eastAsia="en-US"/>
        </w:rPr>
        <w:t xml:space="preserve">6.1. Состояние и качество товара</w:t>
      </w:r>
      <w:r>
        <w:rPr>
          <w:highlight w:val="none"/>
          <w:lang w:eastAsia="en-US"/>
        </w:rPr>
      </w:r>
      <w:r/>
    </w:p>
    <w:p>
      <w:pPr>
        <w:ind w:firstLine="708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  <w:t xml:space="preserve">Товар должен быть новым (не бывшим в употреблении, не восстановленным), не иметь повреждений и дефектов, быть свободным от прав третьих лиц.</w:t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708"/>
      </w:pPr>
      <w:r>
        <w:rPr>
          <w:highlight w:val="none"/>
          <w:lang w:eastAsia="en-US"/>
        </w:rPr>
        <w:t xml:space="preserve">Товар должен быть свободным от прав третьих лиц, гарантировать бесперебойную работу оборудования и обеспечивать полное с ним взаимодействие.</w:t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  <w:t xml:space="preserve">6.2. Совместимость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  <w:t xml:space="preserve">Товар не должен требовать</w:t>
      </w:r>
      <w:r>
        <w:rPr>
          <w:highlight w:val="none"/>
          <w:lang w:eastAsia="en-US"/>
        </w:rPr>
        <w:t xml:space="preserve"> установки специальных драйверов и готовы к работе сразу после подключения к компьютеру, а также совместимы с отечественными программными СКЗИ (криптопровайдерами) в основных операционных системах.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Поддерживаемые операционные системы: РЕД ОС и Astra Linux Special Edition, GNU/Linux.</w:t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  <w:t xml:space="preserve">6.3. Назначение и функциональность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Товар предназначен для аутентификации пользователей при доступе к информации, безопасного хранения паролей, ключей шифрования и ЭП, цифровых сертификатов.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Могут использоваться в качестве идентификаторов в программных, программно-аппаратных и аппаратных СЗИ.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Реализация криптографического функционала максимально безопасна: необходимые алгоритмы изначально присутствуют в микропрограмме, а не добавляются дополнительными загружаемыми модулями (апплетами, плагинами и т. п.).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Товар обеспечивает защищённое хранение ключей шифрования.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Товар поддерживает двухфакторную аутентификацию с использованием PIN-кода </w:t>
        <w:br/>
        <w:t xml:space="preserve">и носителя.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Товар имеет 32-битовый уникальный серийный номер.</w:t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  <w:t xml:space="preserve">6.4. Криптографические функции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Аппаратная реализация криптографических функций Товара должна обеспечивать поддержку: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ГОСТ Р 34.10-2012: генерация ключевых пар с проверкой качества, формирование </w:t>
        <w:br/>
        <w:t xml:space="preserve">и проверка электронной подписи, срок действия закрытых ключей — до 3 лет;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ГОСТ Р 34.11-2012: вычисление значения хеш-функции данных, в том числе с возможностью последующего формирования ЭП;</w:t>
      </w:r>
      <w:r>
        <w:rPr>
          <w:highlight w:val="none"/>
          <w:lang w:eastAsia="en-US"/>
        </w:rPr>
      </w:r>
      <w:r/>
    </w:p>
    <w:p>
      <w:pPr>
        <w:ind w:firstLine="708"/>
        <w:rPr>
          <w:highlight w:val="none"/>
          <w:lang w:eastAsia="en-US"/>
        </w:rPr>
      </w:pPr>
      <w:r>
        <w:rPr>
          <w:highlight w:val="none"/>
          <w:lang w:eastAsia="en-US"/>
        </w:rPr>
        <w:t xml:space="preserve">ГОСТ Р 34.12-2015/ГОСТ 34.12-2018: генерация и импорт ключей шифрования, шифрование данных в режимах простой замены, гаммирования и гаммирования с обратной связью, вычисление и проверка криптографической контрольной суммы данных (имитовставки ГОСТ).</w:t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708"/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  <w:t xml:space="preserve">ГОСТ 34.13-2018: режимы работы блочных шифров, используемые совместно с алгоритмами шифрования по ГОСТ 34.12-2018. </w:t>
      </w:r>
      <w:r/>
    </w:p>
    <w:p>
      <w:pPr>
        <w:ind w:firstLine="708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</w:pPr>
      <w:r>
        <w:rPr>
          <w:highlight w:val="none"/>
          <w:lang w:eastAsia="en-US"/>
        </w:rPr>
        <w:t xml:space="preserve">6.5. Поддерживаемые стандарты и интерфейсы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Товар должен соответствовать следующим стандартам: ISO/IEC 7816-4, 7816-8, 7816-12, PC/SC, Microsoft Crypto API и Microsoft Smartcard API, PKCS#11 (v. 2.10 и выше), X.509.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Поддержка стандартов: ISO/IEC 7816, PC/SC, CCID, PKCS#11 (v. 2.0 и выше).</w:t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  <w:t xml:space="preserve">6.6. Сертификация и соответствие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Товар должен соответствовать требованиям технического регламента Евразийского экономического союза (ТР ЕАЭС) и иметь необходимые сертификаты/декларации соответствия.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П</w:t>
      </w:r>
      <w:r>
        <w:rPr>
          <w:highlight w:val="none"/>
          <w:lang w:eastAsia="en-US"/>
        </w:rPr>
        <w:t xml:space="preserve">оставляемый Товар должен быть сертифицирован ФСТЭК не ниже 4-го оценочного уровня доверия (ОУД4) в соответствии с Требованиями по безопасности информации, устанавливающими уровни доверия к средствам технической защиты информации и средствам обеспечения без</w:t>
      </w:r>
      <w:r>
        <w:rPr>
          <w:highlight w:val="none"/>
          <w:lang w:eastAsia="en-US"/>
        </w:rPr>
        <w:t xml:space="preserve">опасности информационных технологий, утвержденными приказом ФСТЭК России от 02.06.2020 № 76. Также Поставщик должен представить заверенную копию сертификата соответствия ФСТЭК России на поставляемый Товар. </w:t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/>
    </w:p>
    <w:p>
      <w:pPr>
        <w:ind w:firstLine="0"/>
      </w:pPr>
      <w:r>
        <w:rPr>
          <w:highlight w:val="none"/>
          <w:lang w:eastAsia="en-US"/>
        </w:rPr>
        <w:t xml:space="preserve">6.7. Документация</w:t>
      </w:r>
      <w:r>
        <w:rPr>
          <w:highlight w:val="none"/>
          <w:lang w:eastAsia="en-US"/>
        </w:rPr>
      </w:r>
      <w:r/>
    </w:p>
    <w:p>
      <w:pPr>
        <w:ind w:firstLine="708"/>
        <w:rPr>
          <w:highlight w:val="none"/>
          <w:lang w:eastAsia="en-US"/>
        </w:rPr>
      </w:pPr>
      <w:r>
        <w:rPr>
          <w:highlight w:val="none"/>
          <w:lang w:eastAsia="en-US"/>
        </w:rPr>
        <w:t xml:space="preserve">В</w:t>
      </w:r>
      <w:r>
        <w:rPr>
          <w:highlight w:val="none"/>
          <w:lang w:eastAsia="en-US"/>
        </w:rPr>
        <w:t xml:space="preserve"> комплект поставки должен входить оригинальный комплект документации, оформленный и заверенный производителем (один комплект документации на всю партию товара). В список комплекта документации должны входить: формуляр; сертификат подлинности с перечнем иде</w:t>
      </w:r>
      <w:r>
        <w:rPr>
          <w:highlight w:val="none"/>
          <w:lang w:eastAsia="en-US"/>
        </w:rPr>
        <w:t xml:space="preserve">нтификаторов (серийных номеров); копия сертификата соответствия ФСТЭК России; CD-диск с комплектом документации в электронном виде.</w:t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708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</w:pPr>
      <w:r>
        <w:rPr>
          <w:highlight w:val="none"/>
          <w:lang w:eastAsia="en-US"/>
        </w:rPr>
        <w:t xml:space="preserve">6.8. Гарантия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Если производителем Товара установлены стандартные гарантийные сроки, превышающие гарантийный срок настоящего Технического задания, то гарантийный срок на поставляемый Товар устанавливается продолжительностью не менее срока, установленного производителем.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Все возможные расходы по обеспечению гарантийных обязательств в рамках Контракта покрываются за счет Поставщика.</w:t>
      </w:r>
      <w:r>
        <w:rPr>
          <w:highlight w:val="none"/>
          <w:lang w:eastAsia="en-US"/>
        </w:rPr>
      </w:r>
      <w:r/>
    </w:p>
    <w:p>
      <w:pPr>
        <w:ind w:firstLine="708"/>
      </w:pPr>
      <w:r>
        <w:rPr>
          <w:highlight w:val="none"/>
          <w:lang w:eastAsia="en-US"/>
        </w:rPr>
        <w:t xml:space="preserve">С</w:t>
      </w:r>
      <w:r>
        <w:rPr>
          <w:highlight w:val="none"/>
          <w:lang w:eastAsia="en-US"/>
        </w:rPr>
        <w:t xml:space="preserve">рок устранения неисправности вышедшего из строя Товара в течение гарантийного срока – не более 14 (четырнадцати) дней после получения заявки от Заказчика, на месте эксплуатации Товара (месте поставки). В случае необходимости перемещение вышедшего из строя </w:t>
      </w:r>
      <w:r>
        <w:rPr>
          <w:highlight w:val="none"/>
          <w:lang w:eastAsia="en-US"/>
        </w:rPr>
        <w:t xml:space="preserve">Товара </w:t>
        <w:br/>
        <w:t xml:space="preserve">в течение гарантийного срока осуществляется Поставщиком в обоих направлениях: от Заказчика (места поставки) и обратно.</w:t>
      </w:r>
      <w:r>
        <w:rPr>
          <w:highlight w:val="none"/>
          <w:lang w:eastAsia="en-US"/>
        </w:rPr>
      </w:r>
      <w:r/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  <w:t xml:space="preserve">6.9. Примечание о характеристиках</w:t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  <w:t xml:space="preserve">П</w:t>
      </w:r>
      <w:r>
        <w:rPr>
          <w:highlight w:val="none"/>
          <w:lang w:eastAsia="en-US"/>
        </w:rPr>
        <w:t xml:space="preserve">о</w:t>
      </w:r>
      <w:r>
        <w:rPr>
          <w:highlight w:val="none"/>
          <w:lang w:eastAsia="en-US"/>
        </w:rPr>
        <w:t xml:space="preserve">казатели, требования, условные обозначения и терминология, относящиеся к техническим </w:t>
        <w:br/>
        <w:t xml:space="preserve">и качественным характеристикам объекта закупки, не установленные техническими регламентами, стандартами и иными требованиями, предусмотренными законодательством Российско</w:t>
      </w:r>
      <w:r>
        <w:rPr>
          <w:highlight w:val="none"/>
          <w:lang w:eastAsia="en-US"/>
        </w:rPr>
        <w:t xml:space="preserve">й Федерации, указаны в соответствии с информацией о Товаре из открытых источников </w:t>
        <w:br/>
        <w:t xml:space="preserve">и использованы при описании объекта закупки.</w:t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  <w:sectPr>
          <w:footnotePr>
            <w:numRestart w:val="eachSect"/>
          </w:footnotePr>
          <w:endnotePr/>
          <w:type w:val="continuous"/>
          <w:pgSz w:w="11906" w:h="16838" w:orient="portrait"/>
          <w:pgMar w:top="567" w:right="567" w:bottom="1134" w:left="1134" w:header="709" w:footer="709" w:gutter="0"/>
          <w:cols w:num="1" w:sep="0" w:space="708" w:equalWidth="1"/>
          <w:docGrid w:linePitch="360"/>
          <w:titlePg/>
        </w:sect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0"/>
        <w:rPr>
          <w:highlight w:val="none"/>
          <w:lang w:eastAsia="en-US"/>
        </w:rPr>
      </w:pPr>
      <w:r>
        <w:rPr>
          <w:highlight w:val="none"/>
          <w:lang w:eastAsia="en-US"/>
        </w:rPr>
      </w:r>
      <w:r>
        <w:rPr>
          <w:highlight w:val="none"/>
          <w:lang w:eastAsia="en-US"/>
        </w:rPr>
      </w:r>
      <w:r>
        <w:rPr>
          <w:highlight w:val="none"/>
          <w:lang w:eastAsia="en-US"/>
        </w:rPr>
      </w:r>
    </w:p>
    <w:p>
      <w:pPr>
        <w:ind w:firstLine="426"/>
        <w:jc w:val="both"/>
        <w:spacing w:line="340" w:lineRule="atLeast"/>
        <w:widowControl w:val="off"/>
        <w:tabs>
          <w:tab w:val="left" w:pos="2848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lang w:eastAsia="en-US"/>
        </w:rPr>
        <w:t xml:space="preserve">Состав поставляемых Товаров представлен в Таблице 1.</w:t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ind w:firstLine="426"/>
        <w:jc w:val="both"/>
        <w:spacing w:line="340" w:lineRule="atLeast"/>
        <w:widowControl w:val="off"/>
        <w:tabs>
          <w:tab w:val="left" w:pos="2848" w:leader="none"/>
        </w:tabs>
        <w:rPr>
          <w:color w:val="000000" w:themeColor="text1"/>
          <w:highlight w:val="none"/>
        </w:rPr>
      </w:pPr>
      <w:r>
        <w:rPr>
          <w:sz w:val="24"/>
          <w:szCs w:val="24"/>
          <w:highlight w:val="none"/>
          <w:lang w:eastAsia="en-US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tbl>
      <w:tblPr>
        <w:tblStyle w:val="984"/>
        <w:tblW w:w="15023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314"/>
        <w:gridCol w:w="2174"/>
        <w:gridCol w:w="1417"/>
        <w:gridCol w:w="756"/>
        <w:gridCol w:w="376"/>
        <w:gridCol w:w="2034"/>
        <w:gridCol w:w="1701"/>
        <w:gridCol w:w="3496"/>
      </w:tblGrid>
      <w:tr>
        <w:tblPrEx/>
        <w:trPr>
          <w:trHeight w:val="1152"/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56" w:type="dxa"/>
            <w:vAlign w:val="top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№п/п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8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Тип объекта закупки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132" w:type="dxa"/>
            <w:vAlign w:val="top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Товарный знак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7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Позиции по КТРУ, ОКПД2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49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Количество (объем) и единица измерения товара, работы, услуги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5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88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Носитель ключевой и идентификационной информации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Товар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132" w:type="dxa"/>
            <w:vAlign w:val="top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Рутокен Lite 1010, серт. ФСТЭК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7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Носитель ключевой и идентификационной информации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26.20.21.120-00000014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26.20.22.140:Носители ключевой и идентификационной информации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49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0 Штук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 (шт.)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8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2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Характеристики объекта закупки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1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Наименование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4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Значение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41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Единица измерения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19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Инструкция по заполнению характеристики в заявке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14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:u w:val="none"/>
              </w:rPr>
              <w:t xml:space="preserve">Тип интерфейса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4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Контактный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41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19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14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Объем защищенной памяти (EEPROM)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4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≥ 128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410" w:type="dxa"/>
            <w:vAlign w:val="top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Килобайт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19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14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Поддержка операционных систем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4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Linux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41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19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14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Тип соединения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4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USB Type-A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41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19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14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Форм-фактор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4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USB-токен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41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19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</w:tbl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ind w:firstLine="0"/>
        <w:jc w:val="right"/>
        <w:tabs>
          <w:tab w:val="center" w:pos="2420" w:leader="none"/>
          <w:tab w:val="left" w:pos="3840" w:leader="none"/>
        </w:tabs>
        <w:rPr>
          <w:color w:val="000000"/>
          <w:sz w:val="20"/>
          <w:szCs w:val="20"/>
          <w:highlight w:val="none"/>
        </w:rPr>
      </w:pPr>
      <w:r>
        <w:rPr>
          <w:color w:val="000000"/>
          <w:sz w:val="20"/>
          <w:szCs w:val="20"/>
        </w:rPr>
        <w:t xml:space="preserve">Приложение № 2</w:t>
      </w:r>
      <w:r>
        <w:rPr>
          <w:color w:val="000000"/>
          <w:sz w:val="20"/>
          <w:szCs w:val="20"/>
          <w:highlight w:val="none"/>
        </w:rPr>
      </w:r>
      <w:r>
        <w:rPr>
          <w:color w:val="000000"/>
          <w:sz w:val="20"/>
          <w:szCs w:val="20"/>
          <w:highlight w:val="none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к Контракту </w:t>
      </w:r>
      <w:r>
        <w:rPr>
          <w:sz w:val="20"/>
          <w:szCs w:val="20"/>
        </w:rPr>
        <w:t xml:space="preserve">№ </w:t>
      </w:r>
      <w:r>
        <w:rPr>
          <w:sz w:val="20"/>
          <w:szCs w:val="20"/>
        </w:rPr>
        <w:t xml:space="preserve">100201966126100150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от «___» ________202</w:t>
      </w:r>
      <w:r>
        <w:rPr>
          <w:sz w:val="20"/>
          <w:szCs w:val="20"/>
        </w:rPr>
        <w:t xml:space="preserve">6</w:t>
      </w:r>
      <w:r>
        <w:rPr>
          <w:sz w:val="20"/>
          <w:szCs w:val="20"/>
        </w:rPr>
        <w:t xml:space="preserve"> г.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  <w:rPr>
          <w:sz w:val="20"/>
          <w:szCs w:val="20"/>
        </w:rPr>
      </w:pPr>
      <w:r>
        <w:rPr>
          <w:sz w:val="20"/>
          <w:szCs w:val="20"/>
        </w:rPr>
        <w:t xml:space="preserve">СПЕЦИФИКАЦИЯ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71"/>
        <w:rPr>
          <w:sz w:val="20"/>
          <w:szCs w:val="20"/>
        </w:rPr>
      </w:pPr>
      <w:r>
        <w:rPr>
          <w:sz w:val="20"/>
          <w:szCs w:val="20"/>
        </w:rPr>
        <w:t xml:space="preserve">на поставку </w:t>
      </w:r>
      <w:r>
        <w:rPr>
          <w:sz w:val="20"/>
          <w:szCs w:val="20"/>
        </w:rPr>
        <w:t xml:space="preserve">USB-устройств </w:t>
      </w:r>
      <w:r>
        <w:rPr>
          <w:sz w:val="20"/>
          <w:szCs w:val="20"/>
        </w:rPr>
        <w:t xml:space="preserve">для защищенного хранения ключей шифрования и ключей электронной подписи </w:t>
      </w:r>
      <w:r>
        <w:rPr>
          <w:sz w:val="20"/>
          <w:szCs w:val="20"/>
        </w:rPr>
        <w:t xml:space="preserve">сертифицированный ФСТЭК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России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Style w:val="984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8"/>
        <w:gridCol w:w="851"/>
        <w:gridCol w:w="1221"/>
        <w:gridCol w:w="2037"/>
        <w:gridCol w:w="1843"/>
        <w:gridCol w:w="1276"/>
        <w:gridCol w:w="850"/>
        <w:gridCol w:w="1277"/>
        <w:gridCol w:w="1134"/>
      </w:tblGrid>
      <w:tr>
        <w:tblPrEx/>
        <w:trPr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№п/п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968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51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Тип объекта закупки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221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То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варный знак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037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Позиции по КТРУ, ОКПД2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Количество (объем) и единица измерения товара, работы, услуги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276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Цена за единицу (в валюте контракта)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50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Ставка НДС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277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Страна происхождения товара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134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Сумма (в валюте контракта)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770"/>
        </w:trPr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left"/>
              <w:spacing w:before="0" w:after="0" w:line="233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968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оситель ключевой и идентификационной информации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51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Товар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221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Рутокен Lite 1010, серт. ФСТЭК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037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Носитель ключевой и идентификационной информации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26.20.21.120-00000014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26.20.22.140:Носители ключевой и идентификационной информации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250 шт.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276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2 250,00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50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22%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277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Россия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134" w:type="dxa"/>
            <w:vAlign w:val="top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562 500,00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502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Характеристики объекта закупки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gridSpan w:val="10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5024" w:type="dxa"/>
            <w:vAlign w:val="top"/>
            <w:textDirection w:val="lrTb"/>
            <w:noWrap w:val="false"/>
          </w:tcPr>
          <w:p>
            <w:pPr>
              <w:ind w:firstLine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Тип интерфейса</w:t>
              <w:tab/>
              <w:t xml:space="preserve">Контактный</w:t>
              <w:tab/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ind w:firstLine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Объем защищенной памяти (EEPROM)</w:t>
              <w:tab/>
              <w:t xml:space="preserve">≥ 128</w:t>
              <w:tab/>
              <w:t xml:space="preserve">Килобайт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ind w:firstLine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Поддержка операционных систем</w:t>
              <w:tab/>
              <w:t xml:space="preserve">Linux</w:t>
              <w:tab/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ind w:firstLine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Тип соединения</w:t>
              <w:tab/>
              <w:t xml:space="preserve">USB Type-A</w:t>
              <w:tab/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ind w:firstLine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Форм-фактор</w:t>
              <w:tab/>
              <w:t xml:space="preserve">USB-токен</w:t>
              <w:tab/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3890" w:type="dxa"/>
            <w:vAlign w:val="top"/>
            <w:textDirection w:val="lrTb"/>
            <w:noWrap w:val="false"/>
          </w:tcPr>
          <w:p>
            <w:pPr>
              <w:jc w:val="righ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Итого: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134" w:type="dxa"/>
            <w:vAlign w:val="top"/>
            <w:textDirection w:val="lrTb"/>
            <w:noWrap w:val="false"/>
          </w:tcPr>
          <w:p>
            <w:pPr>
              <w:ind w:firstLine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562 500,00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</w:tbl>
    <w:p>
      <w:pPr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Style w:val="1000"/>
        <w:tblW w:w="1020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353"/>
        <w:gridCol w:w="4853"/>
      </w:tblGrid>
      <w:tr>
        <w:tblPrEx/>
        <w:trPr/>
        <w:tc>
          <w:tcPr>
            <w:tcW w:w="5353" w:type="dxa"/>
            <w:textDirection w:val="lrTb"/>
            <w:noWrap w:val="false"/>
          </w:tcPr>
          <w:p>
            <w:pPr>
              <w:ind w:firstLine="0"/>
              <w:rPr>
                <w:b/>
                <w:sz w:val="20"/>
                <w:szCs w:val="20"/>
              </w:rPr>
              <w:outlineLvl w:val="9"/>
            </w:pPr>
            <w:r>
              <w:rPr>
                <w:b/>
                <w:sz w:val="20"/>
                <w:szCs w:val="20"/>
              </w:rPr>
              <w:t xml:space="preserve">ЗАКАЗЧИК</w:t>
            </w:r>
            <w:r>
              <w:rPr>
                <w:b/>
                <w:sz w:val="20"/>
                <w:szCs w:val="20"/>
              </w:rPr>
              <w:t xml:space="preserve">: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pStyle w:val="1017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  <w:shd w:val="clear" w:color="auto" w:fill="ffffff"/>
              </w:rPr>
              <w:t xml:space="preserve">Директор Департамента цифровой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  <w:shd w:val="clear" w:color="auto" w:fill="ffffff"/>
              </w:rPr>
              <w:br/>
              <w:t xml:space="preserve">трансформации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r>
          </w:p>
          <w:p>
            <w:pPr>
              <w:ind w:right="1168" w:firstLine="0"/>
              <w:jc w:val="left"/>
              <w:rPr>
                <w:sz w:val="20"/>
                <w:szCs w:val="20"/>
              </w:rPr>
              <w:outlineLvl w:val="9"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right="1168" w:firstLine="0"/>
              <w:jc w:val="left"/>
              <w:rPr>
                <w:sz w:val="20"/>
                <w:szCs w:val="20"/>
              </w:rPr>
              <w:outlineLvl w:val="9"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0"/>
              <w:rPr>
                <w:sz w:val="20"/>
                <w:szCs w:val="20"/>
              </w:rPr>
              <w:outlineLvl w:val="9"/>
            </w:pPr>
            <w:r>
              <w:rPr>
                <w:sz w:val="20"/>
                <w:szCs w:val="20"/>
              </w:rPr>
              <w:t xml:space="preserve">_______________________/Ф</w:t>
            </w:r>
            <w:r>
              <w:rPr>
                <w:sz w:val="20"/>
                <w:szCs w:val="20"/>
              </w:rPr>
              <w:t xml:space="preserve">.В. </w:t>
            </w:r>
            <w:r>
              <w:rPr>
                <w:sz w:val="20"/>
                <w:szCs w:val="20"/>
              </w:rPr>
              <w:t xml:space="preserve">Мицкевич/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bCs/>
                <w:sz w:val="20"/>
                <w:szCs w:val="20"/>
              </w:rPr>
              <w:t xml:space="preserve">ПОСТАВЩИК</w:t>
            </w:r>
            <w:r>
              <w:rPr>
                <w:b/>
                <w:color w:val="000000"/>
                <w:sz w:val="20"/>
                <w:szCs w:val="20"/>
              </w:rPr>
              <w:t xml:space="preserve">: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color w:val="000000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val="en-US"/>
              </w:rPr>
              <w:t xml:space="preserve">Генеральный директор</w:t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  <w:t xml:space="preserve">________________</w:t>
            </w:r>
            <w:r>
              <w:rPr>
                <w:color w:val="000000"/>
                <w:sz w:val="20"/>
                <w:szCs w:val="20"/>
              </w:rPr>
              <w:t xml:space="preserve">__</w:t>
            </w:r>
            <w:r>
              <w:rPr>
                <w:color w:val="000000"/>
                <w:sz w:val="20"/>
                <w:szCs w:val="20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ar-SA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ar-SA"/>
              </w:rPr>
              <w:t xml:space="preserve">В.Е. Лавров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ar-SA"/>
              </w:rPr>
              <w:t xml:space="preserve">/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353" w:type="dxa"/>
            <w:textDirection w:val="lrTb"/>
            <w:noWrap w:val="false"/>
          </w:tcPr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  <w:t xml:space="preserve">М.П.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sz w:val="20"/>
                <w:szCs w:val="20"/>
              </w:rPr>
              <w:t xml:space="preserve">М.П.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ind w:firstLine="0"/>
        <w:shd w:val="nil" w:color="auto"/>
        <w:outlineLvl w:val="9"/>
      </w:pPr>
      <w:r>
        <w:br w:type="page" w:clear="all"/>
      </w:r>
      <w:r/>
    </w:p>
    <w:p>
      <w:pPr>
        <w:ind w:firstLine="0"/>
        <w:jc w:val="left"/>
        <w:spacing w:after="160" w:line="259" w:lineRule="auto"/>
        <w:sectPr>
          <w:footnotePr>
            <w:numRestart w:val="eachSect"/>
          </w:footnotePr>
          <w:endnotePr/>
          <w:type w:val="nextPage"/>
          <w:pgSz w:w="16838" w:h="11906" w:orient="landscape"/>
          <w:pgMar w:top="1134" w:right="567" w:bottom="567" w:left="1134" w:header="709" w:footer="709" w:gutter="0"/>
          <w:cols w:num="1" w:sep="0" w:space="708" w:equalWidth="1"/>
          <w:docGrid w:linePitch="360"/>
          <w:titlePg/>
        </w:sectPr>
        <w:outlineLvl w:val="9"/>
      </w:pPr>
      <w:r/>
      <w:r/>
    </w:p>
    <w:p>
      <w:pPr>
        <w:ind w:firstLine="0"/>
        <w:jc w:val="left"/>
        <w:spacing w:after="160" w:line="259" w:lineRule="auto"/>
        <w:outlineLvl w:val="9"/>
      </w:pPr>
      <w:r/>
      <w:r/>
    </w:p>
    <w:p>
      <w:pPr>
        <w:ind w:firstLine="720"/>
        <w:jc w:val="right"/>
        <w:outlineLvl w:val="9"/>
      </w:pPr>
      <w:r>
        <w:rPr>
          <w:highlight w:val="none"/>
        </w:rPr>
        <w:t xml:space="preserve">Приложение № 3</w:t>
      </w:r>
      <w:r>
        <w:rPr>
          <w:highlight w:val="none"/>
        </w:rPr>
      </w:r>
      <w:r/>
    </w:p>
    <w:p>
      <w:pPr>
        <w:ind w:firstLine="720"/>
        <w:jc w:val="right"/>
        <w:rPr>
          <w:highlight w:val="none"/>
        </w:rPr>
        <w:outlineLvl w:val="9"/>
      </w:pPr>
      <w:r>
        <w:t xml:space="preserve">к </w:t>
      </w:r>
      <w:r>
        <w:rPr>
          <w:bCs/>
        </w:rPr>
        <w:t xml:space="preserve">Контракт</w:t>
      </w:r>
      <w:r>
        <w:t xml:space="preserve">у от «___» ________ 2026</w:t>
      </w:r>
      <w:r>
        <w:t xml:space="preserve"> г.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right"/>
        <w:outlineLvl w:val="9"/>
      </w:pPr>
      <w:r>
        <w:rPr>
          <w:bCs/>
        </w:rPr>
      </w:r>
      <w:r>
        <w:t xml:space="preserve">№ </w:t>
      </w:r>
      <w:r>
        <w:t xml:space="preserve">100201966126100150</w:t>
      </w:r>
      <w:r>
        <w:rPr>
          <w:bCs/>
        </w:rPr>
      </w:r>
      <w:r/>
    </w:p>
    <w:p>
      <w:pPr>
        <w:ind w:firstLine="0"/>
        <w:jc w:val="center"/>
        <w:rPr>
          <w:b/>
          <w:bCs/>
          <w:sz w:val="20"/>
          <w:szCs w:val="20"/>
        </w:rPr>
        <w:outlineLvl w:val="9"/>
      </w:pP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</w:p>
    <w:p>
      <w:pPr>
        <w:ind w:firstLine="0"/>
        <w:jc w:val="center"/>
        <w:rPr>
          <w:b/>
          <w:bCs/>
          <w:sz w:val="20"/>
          <w:szCs w:val="20"/>
        </w:rPr>
        <w:outlineLvl w:val="9"/>
      </w:pP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</w:p>
    <w:tbl>
      <w:tblPr>
        <w:tblStyle w:val="1000"/>
        <w:tblW w:w="1020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353"/>
        <w:gridCol w:w="4853"/>
      </w:tblGrid>
      <w:tr>
        <w:tblPrEx/>
        <w:trPr>
          <w:trHeight w:val="313"/>
        </w:trPr>
        <w:tc>
          <w:tcPr>
            <w:tcW w:w="53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 xml:space="preserve">ЗАКАЗЧИК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: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 xml:space="preserve">ПОСТАВЩИК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: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13"/>
        </w:trPr>
        <w:tc>
          <w:tcPr>
            <w:tcW w:w="535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Министерство энергетики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(Минэнерго России)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  <w:t xml:space="preserve">Публичное акционерное общество «СОФТЛАЙН» </w:t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ind w:firstLine="0"/>
              <w:rPr>
                <w:color w:val="000000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val="en-US"/>
              </w:rPr>
              <w:t xml:space="preserve">(ПАО «СОФТЛАЙН»)</w:t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760"/>
        </w:trPr>
        <w:tc>
          <w:tcPr>
            <w:tcW w:w="5353" w:type="dxa"/>
            <w:textDirection w:val="lrTb"/>
            <w:noWrap w:val="false"/>
          </w:tcPr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Юридический адрес: 109012, г. Москва,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Китайгородский пр-д, д. 7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Фактический адрес: 129110, г. Москва,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Щепкина ул., д. 42, стр. 1, 2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ИНН 7705847529, КПП 770501001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Банковские реквизиты: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Межрегиональное операционное УФК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(Минэнерго России, л/с 03951000220)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р/с 40102810045370000002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в Операционном департаменте Банка России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//Межрегиональное операционное УФК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г. Москва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к/с 03211643000000019503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БИК 024501901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ОКПО/ОКТМО  00083641/45381000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jc w:val="left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ar-SA"/>
              </w:rPr>
              <w:t xml:space="preserve">E-mail: compred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ar-SA"/>
              </w:rPr>
              <w:t xml:space="preserve">@minenergo.gov.ru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ind w:firstLine="0"/>
              <w:jc w:val="left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ar-SA"/>
              </w:rPr>
              <w:t xml:space="preserve">Тел: (495) 631-89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ar-SA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ar-SA"/>
              </w:rPr>
              <w:t xml:space="preserve"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firstLine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tcW w:w="4853" w:type="dxa"/>
            <w:textDirection w:val="lrTb"/>
            <w:noWrap w:val="false"/>
          </w:tcPr>
          <w:p>
            <w:pPr>
              <w:ind w:right="34" w:firstLine="0"/>
              <w:jc w:val="left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Юридический адрес: </w:t>
            </w:r>
            <w:r>
              <w:rPr>
                <w:color w:val="000000"/>
              </w:rPr>
              <w:t xml:space="preserve">119021, г. Москва, вн.тер.г. муниципальный округ Хамовники, ул. Льва Толстого, д. 5, стр. 1, эт. 3, помещ. 1, ком. № 2, 2а (а-311),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Почтовый адрес: 115114, </w:t>
            </w:r>
            <w:r>
              <w:rPr>
                <w:color w:val="000000"/>
              </w:rPr>
              <w:t xml:space="preserve">г. Москва, Дербеневская наб., д. 7, стр. 8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jc w:val="left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ИНН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7736227885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jc w:val="left"/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КПП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770401001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</w:p>
          <w:p>
            <w:pPr>
              <w:ind w:right="34" w:firstLine="0"/>
              <w:jc w:val="left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КПП крупнейшего налогоплательщика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highlight w:val="none"/>
              </w:rPr>
              <w:t xml:space="preserve">774950001,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jc w:val="left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Банковские реквизиты: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jc w:val="left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Наименование банка: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Банк ГПБ (АО)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р\с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40702810800000010453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к\с </w:t>
            </w:r>
            <w:r>
              <w:rPr>
                <w:color w:val="000000"/>
              </w:rPr>
              <w:t xml:space="preserve">30101810200000000823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БИК </w:t>
            </w:r>
            <w:r>
              <w:rPr>
                <w:color w:val="000000"/>
              </w:rPr>
              <w:t xml:space="preserve">044525823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ОКПО </w:t>
            </w:r>
            <w:r>
              <w:rPr>
                <w:color w:val="000000"/>
              </w:rPr>
              <w:t xml:space="preserve">59754311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highlight w:val="none"/>
              </w:rPr>
              <w:t xml:space="preserve">ОКАТО </w:t>
            </w:r>
            <w:r>
              <w:rPr>
                <w:color w:val="000000"/>
                <w:highlight w:val="none"/>
              </w:rPr>
              <w:t xml:space="preserve">45286590000</w:t>
            </w:r>
            <w:r>
              <w:rPr>
                <w:color w:val="000000"/>
                <w:highlight w:val="none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ОКТМО </w:t>
            </w:r>
            <w:r>
              <w:rPr>
                <w:color w:val="000000"/>
              </w:rPr>
              <w:t xml:space="preserve">45383000000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ОГРН </w:t>
            </w:r>
            <w:r>
              <w:rPr>
                <w:color w:val="000000"/>
              </w:rPr>
              <w:t xml:space="preserve">1027736009333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ОКВЭД 46.90,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е-</w:t>
            </w:r>
            <w:r>
              <w:rPr>
                <w:color w:val="000000"/>
              </w:rPr>
              <w:t xml:space="preserve">mail</w:t>
            </w:r>
            <w:r>
              <w:rPr>
                <w:color w:val="000000"/>
              </w:rPr>
              <w:t xml:space="preserve">: </w:t>
            </w:r>
            <w:r>
              <w:rPr>
                <w:color w:val="000000"/>
              </w:rPr>
              <w:t xml:space="preserve">corporate@softline.ru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тел. +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7(495)232-00-23</w:t>
            </w:r>
            <w:r>
              <w:rPr>
                <w:color w:val="000000"/>
              </w:rPr>
              <w:t xml:space="preserve">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</w:rPr>
              <w:t xml:space="preserve">Дата постановки на учет в налоговом органе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34" w:firstLine="0"/>
              <w:rPr>
                <w:color w:val="000000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  <w:t xml:space="preserve">21.02.2008</w:t>
            </w:r>
            <w:r>
              <w:rPr>
                <w:color w:val="000000"/>
                <w:lang w:val="en-US"/>
              </w:rPr>
              <w:t xml:space="preserve">.</w:t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ind w:right="34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ind w:right="34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</w:tr>
    </w:tbl>
    <w:p>
      <w:pPr>
        <w:ind w:firstLine="0"/>
        <w:rPr>
          <w:b/>
          <w:bCs/>
        </w:rPr>
        <w:outlineLvl w:val="9"/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firstLine="0"/>
        <w:rPr>
          <w:b/>
          <w:bCs/>
        </w:rPr>
        <w:outlineLvl w:val="9"/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  <w:t xml:space="preserve">ФОРМА АКТА ПРИЕМА-ПЕРЕДАЧИ ТОВАРА №___</w:t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lang w:eastAsia="ar-SA"/>
        </w:rPr>
        <w:outlineLvl w:val="9"/>
      </w:pPr>
      <w:r>
        <w:rPr>
          <w:b/>
          <w:bCs/>
          <w:lang w:eastAsia="ar-SA"/>
        </w:rPr>
        <w:t xml:space="preserve">по Контракту</w:t>
      </w:r>
      <w:r>
        <w:rPr>
          <w:b/>
          <w:lang w:eastAsia="ar-SA"/>
        </w:rPr>
        <w:t xml:space="preserve"> от «___» ___________ 202</w:t>
      </w:r>
      <w:r>
        <w:rPr>
          <w:b/>
          <w:lang w:eastAsia="ar-SA"/>
        </w:rPr>
        <w:t xml:space="preserve">6</w:t>
      </w:r>
      <w:r>
        <w:rPr>
          <w:b/>
          <w:lang w:eastAsia="ar-SA"/>
        </w:rPr>
        <w:t xml:space="preserve"> г. № ______________________________</w:t>
      </w:r>
      <w:r>
        <w:rPr>
          <w:b/>
          <w:lang w:eastAsia="ar-SA"/>
        </w:rPr>
      </w:r>
      <w:r>
        <w:rPr>
          <w:b/>
          <w:lang w:eastAsia="ar-SA"/>
        </w:rPr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423"/>
      </w:tblGrid>
      <w:tr>
        <w:tblPrEx/>
        <w:trPr/>
        <w:tc>
          <w:tcPr>
            <w:tcW w:w="460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г. Москва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tcW w:w="5423" w:type="dxa"/>
            <w:textDirection w:val="lrTb"/>
            <w:noWrap w:val="false"/>
          </w:tcPr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                              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    «___» ____________ 202</w:t>
            </w:r>
            <w:r>
              <w:rPr>
                <w:lang w:eastAsia="ar-SA"/>
              </w:rPr>
              <w:t xml:space="preserve">6</w:t>
            </w:r>
            <w:r>
              <w:rPr>
                <w:lang w:eastAsia="ar-SA"/>
              </w:rPr>
              <w:t xml:space="preserve"> г.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Министерство энергетики Российской Федерации (Минэнерго России), именуемое</w:t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в дальнейшем «Заказчик», в лице директора Департамента цифровой трансформации Мицкевича Феликса Владимировича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действующего на основании приказа Минэнерго России </w:t>
        <w:br/>
        <w:t xml:space="preserve">от 24.11.2021 № 1286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и доверенности от 03.03.2025 № СЦ-3295/14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и ________________________, именуемое в дальнейшем «Поставщик»,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лице_____________________________, действующего </w:t>
        <w:br/>
        <w:t xml:space="preserve">на основании________________________, с другой стороны, составили настоящий Акт </w:t>
        <w:br/>
        <w:t xml:space="preserve">о нижеследующем: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13"/>
        <w:tabs>
          <w:tab w:val="left" w:pos="851" w:leader="none"/>
        </w:tabs>
        <w:rPr>
          <w:highlight w:val="none"/>
        </w:rPr>
      </w:pPr>
      <w:r>
        <w:t xml:space="preserve">1.</w:t>
      </w:r>
      <w:r>
        <w:tab/>
        <w:t xml:space="preserve">В соответствии с условиями государственного контракта от «__» __________ 2026</w:t>
      </w:r>
      <w:r>
        <w:t xml:space="preserve"> г. № _______ </w:t>
      </w:r>
      <w:r>
        <w:br/>
        <w:t xml:space="preserve">(далее – Контракт) Поставщиком передан, а Заказчиком принят Товар по предмету закупки:</w:t>
      </w:r>
      <w:r>
        <w:t xml:space="preserve"> </w:t>
      </w:r>
      <w:r>
        <w:t xml:space="preserve">на поставку USB-устройств для защищенного хранения ключей шифрования и ключей электронной подписи сертифицированный ФСТЭК </w:t>
      </w:r>
      <w:r>
        <w:t xml:space="preserve">России </w:t>
      </w:r>
      <w:r>
        <w:rPr>
          <w:highlight w:val="none"/>
        </w:rPr>
      </w:r>
      <w:r>
        <w:rPr>
          <w:highlight w:val="none"/>
        </w:rPr>
      </w:r>
    </w:p>
    <w:p>
      <w:pPr>
        <w:ind w:left="13"/>
        <w:tabs>
          <w:tab w:val="left" w:pos="851" w:leader="none"/>
        </w:tabs>
      </w:pPr>
      <w:r>
        <w:rPr>
          <w:highlight w:val="none"/>
        </w:rPr>
      </w:r>
      <w:r>
        <w:rPr>
          <w:highlight w:val="none"/>
        </w:rPr>
      </w:r>
      <w:r/>
    </w:p>
    <w:p>
      <w:pPr>
        <w:ind w:left="13"/>
        <w:tabs>
          <w:tab w:val="left" w:pos="851" w:leader="none"/>
        </w:tabs>
      </w:pPr>
      <w:r>
        <w:t xml:space="preserve">2.</w:t>
      </w:r>
      <w:r>
        <w:tab/>
        <w:t xml:space="preserve">Контрактом предусмотрена поставка:</w:t>
      </w:r>
      <w:r/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6"/>
        <w:gridCol w:w="2457"/>
        <w:gridCol w:w="2420"/>
        <w:gridCol w:w="2422"/>
      </w:tblGrid>
      <w:tr>
        <w:tblPrEx/>
        <w:trPr>
          <w:jc w:val="center"/>
          <w:trHeight w:val="728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420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Наименование товарной позиции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205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val="en-US"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Количество</w:t>
            </w:r>
            <w:r>
              <w:rPr>
                <w:bCs/>
                <w:shd w:val="clear" w:color="auto" w:fill="ffffff"/>
                <w:lang w:eastAsia="ar-SA"/>
              </w:rPr>
              <w:t xml:space="preserve">, шт.</w:t>
            </w:r>
            <w:r>
              <w:rPr>
                <w:bCs/>
                <w:lang w:val="en-US" w:eastAsia="ar-SA"/>
              </w:rPr>
            </w:r>
            <w:r>
              <w:rPr>
                <w:bCs/>
                <w:lang w:val="en-US"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187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Цена за ед. (руб.), </w:t>
            </w:r>
            <w:r>
              <w:rPr>
                <w:bCs/>
                <w:shd w:val="clear" w:color="auto" w:fill="ffffff"/>
                <w:lang w:eastAsia="ar-SA"/>
              </w:rPr>
              <w:br/>
            </w:r>
            <w:r>
              <w:rPr>
                <w:bCs/>
                <w:shd w:val="clear" w:color="auto" w:fill="ffffff"/>
                <w:lang w:eastAsia="ar-SA"/>
              </w:rPr>
              <w:t xml:space="preserve">в т.ч. НДС </w:t>
            </w:r>
            <w:r>
              <w:rPr>
                <w:bCs/>
                <w:shd w:val="clear" w:color="auto" w:fill="ffffff"/>
                <w:lang w:eastAsia="ar-SA"/>
              </w:rPr>
              <w:br/>
            </w:r>
            <w:r>
              <w:rPr>
                <w:bCs/>
                <w:shd w:val="clear" w:color="auto" w:fill="ffffff"/>
                <w:lang w:eastAsia="ar-SA"/>
              </w:rPr>
              <w:t xml:space="preserve">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188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Сумма (в руб.), </w:t>
            </w:r>
            <w:r>
              <w:rPr>
                <w:bCs/>
                <w:shd w:val="clear" w:color="auto" w:fill="ffffff"/>
                <w:lang w:eastAsia="ar-SA"/>
              </w:rPr>
              <w:br/>
            </w:r>
            <w:r>
              <w:rPr>
                <w:bCs/>
                <w:shd w:val="clear" w:color="auto" w:fill="ffffff"/>
                <w:lang w:eastAsia="ar-SA"/>
              </w:rPr>
              <w:t xml:space="preserve">в т.ч. НДС </w:t>
            </w:r>
            <w:r>
              <w:rPr>
                <w:bCs/>
                <w:shd w:val="clear" w:color="auto" w:fill="ffffff"/>
                <w:lang w:eastAsia="ar-SA"/>
              </w:rPr>
              <w:br/>
            </w:r>
            <w:r>
              <w:rPr>
                <w:bCs/>
                <w:shd w:val="clear" w:color="auto" w:fill="ffffff"/>
                <w:lang w:eastAsia="ar-SA"/>
              </w:rPr>
              <w:t xml:space="preserve">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</w:tr>
      <w:tr>
        <w:tblPrEx/>
        <w:trPr>
          <w:jc w:val="center"/>
          <w:trHeight w:val="418" w:hRule="exact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420" w:type="pct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205" w:type="pct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187" w:type="pct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188" w:type="pct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vertAlign w:val="superscript"/>
                <w:lang w:eastAsia="ar-SA"/>
              </w:rPr>
              <w:outlineLvl w:val="9"/>
            </w:pP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</w:p>
        </w:tc>
      </w:tr>
    </w:tbl>
    <w:p>
      <w:pPr>
        <w:ind w:left="11"/>
        <w:spacing w:before="120" w:after="120"/>
        <w:tabs>
          <w:tab w:val="left" w:pos="851" w:leader="none"/>
        </w:tabs>
      </w:pPr>
      <w:r>
        <w:t xml:space="preserve">3.</w:t>
      </w:r>
      <w:r>
        <w:tab/>
        <w:t xml:space="preserve">Фактически поставлено:</w:t>
      </w:r>
      <w:r/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6"/>
        <w:gridCol w:w="2457"/>
        <w:gridCol w:w="2420"/>
        <w:gridCol w:w="2422"/>
      </w:tblGrid>
      <w:tr>
        <w:tblPrEx/>
        <w:trPr>
          <w:jc w:val="center"/>
          <w:trHeight w:val="728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420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Наименование товарной позиции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205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Количество, шт.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187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Цена за ед. (руб.), </w:t>
            </w:r>
            <w:r>
              <w:rPr>
                <w:bCs/>
                <w:shd w:val="clear" w:color="auto" w:fill="ffffff"/>
                <w:lang w:eastAsia="ar-SA"/>
              </w:rPr>
              <w:br/>
            </w:r>
            <w:r>
              <w:rPr>
                <w:bCs/>
                <w:shd w:val="clear" w:color="auto" w:fill="ffffff"/>
                <w:lang w:eastAsia="ar-SA"/>
              </w:rPr>
              <w:t xml:space="preserve">в т.ч. НДС </w:t>
            </w:r>
            <w:r>
              <w:rPr>
                <w:bCs/>
                <w:shd w:val="clear" w:color="auto" w:fill="ffffff"/>
                <w:lang w:eastAsia="ar-SA"/>
              </w:rPr>
              <w:br/>
            </w:r>
            <w:r>
              <w:rPr>
                <w:bCs/>
                <w:shd w:val="clear" w:color="auto" w:fill="ffffff"/>
                <w:lang w:eastAsia="ar-SA"/>
              </w:rPr>
              <w:t xml:space="preserve">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188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Сумма (в руб.), </w:t>
            </w:r>
            <w:r>
              <w:rPr>
                <w:bCs/>
                <w:shd w:val="clear" w:color="auto" w:fill="ffffff"/>
                <w:lang w:eastAsia="ar-SA"/>
              </w:rPr>
              <w:br/>
            </w:r>
            <w:r>
              <w:rPr>
                <w:bCs/>
                <w:shd w:val="clear" w:color="auto" w:fill="ffffff"/>
                <w:lang w:eastAsia="ar-SA"/>
              </w:rPr>
              <w:t xml:space="preserve">в т.ч. НДС </w:t>
            </w:r>
            <w:r>
              <w:rPr>
                <w:bCs/>
                <w:shd w:val="clear" w:color="auto" w:fill="ffffff"/>
                <w:lang w:eastAsia="ar-SA"/>
              </w:rPr>
              <w:br/>
            </w:r>
            <w:r>
              <w:rPr>
                <w:bCs/>
                <w:shd w:val="clear" w:color="auto" w:fill="ffffff"/>
                <w:lang w:eastAsia="ar-SA"/>
              </w:rPr>
              <w:t xml:space="preserve">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</w:tr>
      <w:tr>
        <w:tblPrEx/>
        <w:trPr>
          <w:jc w:val="center"/>
          <w:trHeight w:val="418" w:hRule="exact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420" w:type="pct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205" w:type="pct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187" w:type="pct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188" w:type="pct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vertAlign w:val="superscript"/>
                <w:lang w:eastAsia="ar-SA"/>
              </w:rPr>
              <w:outlineLvl w:val="9"/>
            </w:pP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</w:p>
        </w:tc>
      </w:tr>
    </w:tbl>
    <w:p>
      <w:pPr>
        <w:ind w:left="13" w:firstLine="554"/>
        <w:tabs>
          <w:tab w:val="left" w:pos="851" w:leader="none"/>
        </w:tabs>
        <w:rPr>
          <w:lang w:eastAsia="en-US"/>
        </w:rPr>
      </w:pPr>
      <w:r>
        <w:t xml:space="preserve">4.</w:t>
      </w:r>
      <w:r>
        <w:tab/>
        <w:t xml:space="preserve">Срок поставки по Контракту: _____________________________________________.</w:t>
      </w:r>
      <w:r>
        <w:rPr>
          <w:lang w:eastAsia="en-US"/>
        </w:rPr>
      </w:r>
      <w:r>
        <w:rPr>
          <w:lang w:eastAsia="en-US"/>
        </w:rPr>
      </w:r>
    </w:p>
    <w:p>
      <w:pPr>
        <w:ind w:left="13" w:firstLine="554"/>
      </w:pPr>
      <w:r>
        <w:t xml:space="preserve">Фактический срок поставки: ___________________ г.</w:t>
      </w:r>
      <w:r/>
    </w:p>
    <w:p>
      <w:pPr>
        <w:rPr>
          <w:bCs/>
          <w:i/>
        </w:rPr>
      </w:pPr>
      <w:r>
        <w:rPr>
          <w:bCs/>
          <w:i/>
        </w:rPr>
        <w:t xml:space="preserve">Вариант 1.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Вышеперечисленный Товар поставлен полностью и в срок. Заказчик по объему, качеству </w:t>
      </w:r>
      <w:r>
        <w:rPr>
          <w:bCs/>
          <w:i/>
        </w:rPr>
        <w:br/>
      </w:r>
      <w:r>
        <w:rPr>
          <w:bCs/>
          <w:i/>
        </w:rPr>
        <w:t xml:space="preserve">и срокам поставки Товара претензий не имеет. 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Итого стоимость поставки Товара составляет </w:t>
      </w:r>
      <w:r>
        <w:rPr>
          <w:b/>
          <w:bCs/>
          <w:i/>
        </w:rPr>
        <w:t xml:space="preserve">___________________________________ </w:t>
      </w:r>
      <w:r>
        <w:rPr>
          <w:bCs/>
          <w:i/>
        </w:rPr>
        <w:t xml:space="preserve">рублей __ копеек</w:t>
      </w:r>
      <w:r>
        <w:rPr>
          <w:b/>
          <w:bCs/>
          <w:i/>
        </w:rPr>
        <w:t xml:space="preserve">, </w:t>
      </w:r>
      <w:r>
        <w:rPr>
          <w:bCs/>
          <w:i/>
        </w:rPr>
        <w:t xml:space="preserve">в том числе </w:t>
      </w:r>
      <w:r>
        <w:rPr>
          <w:bCs/>
          <w:i/>
        </w:rPr>
        <w:t xml:space="preserve">НДС</w:t>
      </w:r>
      <w:r>
        <w:rPr>
          <w:bCs/>
          <w:i/>
          <w:vertAlign w:val="superscript"/>
        </w:rPr>
        <w:footnoteReference w:customMarkFollows="1" w:id="2"/>
      </w:r>
      <w:r>
        <w:rPr>
          <w:bCs/>
          <w:i/>
        </w:rPr>
        <w:t xml:space="preserve">  _____ (______________________) рублей __ копеек.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Аванс не перечислялся.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Неустойка Поставщику не начисляется.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Вариант 2.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 ходе поставки Товара Заказчик выявил отклонения от условий Контракта или следующие недостатки в поставке Товара: ________________________________________________________.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Поставщику начислена неустойка: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- пени в соответствии с п.__ Контракта в сумме __________________руб.</w:t>
      </w:r>
      <w:r>
        <w:rPr>
          <w:bCs/>
          <w:i/>
        </w:rPr>
      </w:r>
      <w:r>
        <w:rPr>
          <w:bCs/>
          <w:i/>
        </w:rPr>
      </w:r>
    </w:p>
    <w:p>
      <w:pPr>
        <w:ind w:left="13"/>
        <w:rPr>
          <w:i/>
          <w:iCs/>
        </w:rPr>
      </w:pPr>
      <w:r>
        <w:rPr>
          <w:bCs/>
          <w:i/>
        </w:rPr>
        <w:t xml:space="preserve">Итого стоимость поставки Товара составляет </w:t>
      </w:r>
      <w:r>
        <w:rPr>
          <w:b/>
          <w:bCs/>
          <w:i/>
        </w:rPr>
        <w:t xml:space="preserve">___________________________________ </w:t>
      </w:r>
      <w:r>
        <w:rPr>
          <w:bCs/>
          <w:i/>
        </w:rPr>
        <w:t xml:space="preserve">рублей __ копеек</w:t>
      </w:r>
      <w:r>
        <w:rPr>
          <w:b/>
          <w:bCs/>
          <w:i/>
        </w:rPr>
        <w:t xml:space="preserve">, </w:t>
      </w:r>
      <w:r>
        <w:rPr>
          <w:bCs/>
          <w:i/>
        </w:rPr>
        <w:t xml:space="preserve">в том числе </w:t>
      </w:r>
      <w:r>
        <w:rPr>
          <w:bCs/>
          <w:i/>
        </w:rPr>
        <w:t xml:space="preserve">НДС</w:t>
      </w:r>
      <w:r>
        <w:rPr>
          <w:bCs/>
          <w:i/>
        </w:rPr>
        <w:t xml:space="preserve">   _____ (______________________) рублей __ копеек.</w:t>
      </w:r>
      <w:r>
        <w:rPr>
          <w:i/>
          <w:iCs/>
        </w:rPr>
      </w:r>
      <w:r>
        <w:rPr>
          <w:i/>
          <w:iCs/>
        </w:rPr>
      </w:r>
    </w:p>
    <w:p>
      <w:pPr>
        <w:ind w:left="13" w:firstLine="554"/>
        <w:tabs>
          <w:tab w:val="left" w:pos="851" w:leader="none"/>
        </w:tabs>
      </w:pPr>
      <w:r>
        <w:t xml:space="preserve">5.</w:t>
      </w:r>
      <w:r>
        <w:tab/>
        <w:t xml:space="preserve">Сумма, подлежащая уплате Поставщику за Товар, принятый по настоящему акту </w:t>
      </w:r>
      <w:r>
        <w:br/>
        <w:t xml:space="preserve">(с учетом удержания пени) – ______________________ руб., в том числе НДС </w:t>
      </w:r>
      <w:r>
        <w:br/>
        <w:t xml:space="preserve">( %).</w:t>
      </w:r>
      <w:r/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tbl>
      <w:tblPr>
        <w:tblW w:w="10206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245"/>
        <w:gridCol w:w="4961"/>
      </w:tblGrid>
      <w:tr>
        <w:tblPrEx/>
        <w:trPr>
          <w:trHeight w:val="955"/>
        </w:trPr>
        <w:tc>
          <w:tcPr>
            <w:tcW w:w="5245" w:type="dxa"/>
            <w:textDirection w:val="lrTb"/>
            <w:noWrap w:val="false"/>
          </w:tcPr>
          <w:p>
            <w:pPr>
              <w:ind w:firstLine="0"/>
              <w:rPr>
                <w:b/>
              </w:rPr>
            </w:pPr>
            <w:r>
              <w:rPr>
                <w:b/>
              </w:rPr>
              <w:t xml:space="preserve">ЗАКАЗЧИК: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</w:pPr>
            <w:r>
              <w:rPr>
                <w:color w:val="000000"/>
              </w:rPr>
              <w:t xml:space="preserve">________________</w:t>
            </w:r>
            <w:r>
              <w:rPr>
                <w:color w:val="000000"/>
                <w:lang w:val="en-US"/>
              </w:rPr>
              <w:t xml:space="preserve">__</w:t>
            </w:r>
            <w:r>
              <w:rPr>
                <w:color w:val="000000"/>
              </w:rPr>
              <w:t xml:space="preserve">_</w:t>
            </w:r>
            <w:r>
              <w:rPr>
                <w:color w:val="000000"/>
                <w:lang w:eastAsia="ar-SA"/>
              </w:rPr>
              <w:t xml:space="preserve">/Ф</w:t>
            </w:r>
            <w:r>
              <w:rPr>
                <w:color w:val="000000"/>
                <w:lang w:eastAsia="ar-SA"/>
              </w:rPr>
              <w:t xml:space="preserve">.В. </w:t>
            </w:r>
            <w:r>
              <w:rPr>
                <w:color w:val="000000"/>
                <w:lang w:eastAsia="ar-SA"/>
              </w:rPr>
              <w:t xml:space="preserve">Мицкевич/</w:t>
            </w:r>
            <w:r>
              <w:rPr>
                <w:color w:val="000000"/>
                <w:lang w:val="en-US"/>
              </w:rPr>
            </w:r>
            <w:r/>
          </w:p>
        </w:tc>
        <w:tc>
          <w:tcPr>
            <w:tcW w:w="496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</w:rPr>
              <w:t xml:space="preserve">ПОСТАВЩИК: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  <w:p>
            <w:pPr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________________</w:t>
            </w:r>
            <w:r>
              <w:rPr>
                <w:color w:val="000000"/>
                <w:lang w:val="en-US"/>
              </w:rPr>
              <w:t xml:space="preserve">__</w:t>
            </w:r>
            <w:r>
              <w:rPr>
                <w:color w:val="000000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ar-SA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ar-SA"/>
              </w:rPr>
              <w:t xml:space="preserve">В.Е. Лавров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ar-SA"/>
              </w:rPr>
              <w:t xml:space="preserve">/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  <w:t xml:space="preserve">СОГЛАСОВАНА КАК ФОРМА</w:t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353"/>
        <w:gridCol w:w="4853"/>
      </w:tblGrid>
      <w:tr>
        <w:tblPrEx/>
        <w:trPr>
          <w:trHeight w:val="440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lang w:eastAsia="ar-SA"/>
              </w:rPr>
              <w:outlineLvl w:val="9"/>
            </w:pPr>
            <w:r>
              <w:rPr>
                <w:b/>
                <w:lang w:eastAsia="ar-SA"/>
              </w:rPr>
              <w:t xml:space="preserve">ЗАКАЗЧИК:</w:t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Директор Департамента 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цифровой трансформации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color w:val="000000"/>
                <w:lang w:eastAsia="ar-SA"/>
              </w:rPr>
              <w:t xml:space="preserve">___________________/Ф</w:t>
            </w:r>
            <w:r>
              <w:rPr>
                <w:color w:val="000000"/>
                <w:lang w:eastAsia="ar-SA"/>
              </w:rPr>
              <w:t xml:space="preserve">.В. </w:t>
            </w:r>
            <w:r>
              <w:rPr>
                <w:color w:val="000000"/>
                <w:lang w:eastAsia="ar-SA"/>
              </w:rPr>
              <w:t xml:space="preserve">Мицкевич/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  <w:lang w:eastAsia="ar-SA"/>
              </w:rPr>
              <w:t xml:space="preserve">ПОСТАВЩИК: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Генеральный директор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ar-SA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ar-SA"/>
              </w:rPr>
              <w:t xml:space="preserve">В.Е. Лавров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ar-SA"/>
              </w:rPr>
              <w:t xml:space="preserve">/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  <w:tr>
        <w:tblPrEx/>
        <w:trPr>
          <w:trHeight w:val="408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</w:tbl>
    <w:p>
      <w:pPr>
        <w:ind w:firstLine="0"/>
        <w:spacing w:before="20"/>
        <w:tabs>
          <w:tab w:val="left" w:pos="6946" w:leader="none"/>
        </w:tabs>
        <w:rPr>
          <w:color w:val="000000"/>
        </w:rPr>
        <w:outlineLvl w:val="8"/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ind w:firstLine="0"/>
        <w:jc w:val="center"/>
        <w:outlineLvl w:val="9"/>
      </w:pPr>
      <w:r/>
      <w:r/>
    </w:p>
    <w:sectPr>
      <w:footnotePr>
        <w:numRestart w:val="eachSect"/>
      </w:footnotePr>
      <w:endnotePr/>
      <w:type w:val="continuous"/>
      <w:pgSz w:w="11906" w:h="16838" w:orient="portrait"/>
      <w:pgMar w:top="567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91"/>
        <w:ind w:firstLine="0"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37483272"/>
      <w:docPartObj>
        <w:docPartGallery w:val="Page Numbers (Top of Page)"/>
        <w:docPartUnique w:val="true"/>
      </w:docPartObj>
      <w:rPr/>
    </w:sdtPr>
    <w:sdtContent>
      <w:p>
        <w:pPr>
          <w:pStyle w:val="99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9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78"/>
      <w:isLgl w:val="false"/>
      <w:suff w:val="space"/>
      <w:lvlText w:val="%1."/>
      <w:lvlJc w:val="left"/>
      <w:pPr>
        <w:ind w:left="858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7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bullet"/>
      <w:pStyle w:val="976"/>
      <w:isLgl w:val="false"/>
      <w:suff w:val="space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pStyle w:val="979"/>
      <w:isLgl w:val="false"/>
      <w:suff w:val="tab"/>
      <w:lvlText w:val="Приложение № %1"/>
      <w:lvlJc w:val="right"/>
      <w:pPr>
        <w:ind w:left="15953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938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010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082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1154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1226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1298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1370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442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4.1.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pStyle w:val="972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973"/>
      <w:isLgl w:val="false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974"/>
      <w:isLgl w:val="false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9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8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4.2.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pStyle w:val="977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4.1.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4.2.%1."/>
      <w:lvlJc w:val="left"/>
      <w:pPr>
        <w:ind w:left="214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2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7.%1."/>
      <w:lvlJc w:val="left"/>
      <w:pPr>
        <w:ind w:left="2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8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9.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02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22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142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862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82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02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22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42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462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9">
    <w:multiLevelType w:val="hybridMultilevel"/>
    <w:lvl w:ilvl="0">
      <w:start w:val="1"/>
      <w:numFmt w:val="russianUpp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0">
    <w:multiLevelType w:val="hybridMultilevel"/>
    <w:lvl w:ilvl="0">
      <w:start w:val="6"/>
      <w:numFmt w:val="decimal"/>
      <w:isLgl w:val="false"/>
      <w:suff w:val="space"/>
      <w:lvlText w:val="%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1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space"/>
      <w:lvlText w:val="%1.%1."/>
      <w:lvlJc w:val="left"/>
      <w:pPr>
        <w:ind w:left="140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7" w:hanging="180"/>
      </w:pPr>
    </w:lvl>
  </w:abstractNum>
  <w:abstractNum w:abstractNumId="44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45">
    <w:multiLevelType w:val="hybridMultilevel"/>
    <w:lvl w:ilvl="0">
      <w:start w:val="1"/>
      <w:numFmt w:val="decimal"/>
      <w:isLgl w:val="false"/>
      <w:suff w:val="space"/>
      <w:lvlText w:val="%1.%1."/>
      <w:lvlJc w:val="left"/>
      <w:pPr>
        <w:ind w:left="140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7" w:hanging="180"/>
      </w:pPr>
    </w:lvl>
  </w:abstractNum>
  <w:abstractNum w:abstractNumId="46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2"/>
  </w:num>
  <w:num w:numId="3">
    <w:abstractNumId w:val="15"/>
  </w:num>
  <w:num w:numId="4">
    <w:abstractNumId w:val="3"/>
  </w:num>
  <w:num w:numId="5">
    <w:abstractNumId w:val="0"/>
  </w:num>
  <w:num w:numId="6">
    <w:abstractNumId w:val="7"/>
    <w:lvlOverride w:ilvl="0">
      <w:startOverride w:val="10"/>
    </w:lvlOverride>
  </w:num>
  <w:num w:numId="7">
    <w:abstractNumId w:val="12"/>
  </w:num>
  <w:num w:numId="8">
    <w:abstractNumId w:val="3"/>
    <w:lvlOverride w:ilvl="0">
      <w:startOverride w:val="1"/>
    </w:lvlOverride>
  </w:num>
  <w:num w:numId="9">
    <w:abstractNumId w:val="14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7"/>
  </w:num>
  <w:num w:numId="17">
    <w:abstractNumId w:val="7"/>
  </w:num>
  <w:num w:numId="18">
    <w:abstractNumId w:val="7"/>
  </w:num>
  <w:num w:numId="19">
    <w:abstractNumId w:val="8"/>
  </w:num>
  <w:num w:numId="20">
    <w:abstractNumId w:val="5"/>
  </w:num>
  <w:num w:numId="21">
    <w:abstractNumId w:val="7"/>
  </w:num>
  <w:num w:numId="22">
    <w:abstractNumId w:val="6"/>
  </w:num>
  <w:num w:numId="23">
    <w:abstractNumId w:val="7"/>
  </w:num>
  <w:num w:numId="24">
    <w:abstractNumId w:val="7"/>
  </w:num>
  <w:num w:numId="25">
    <w:abstractNumId w:val="11"/>
  </w:num>
  <w:num w:numId="26">
    <w:abstractNumId w:val="13"/>
  </w:num>
  <w:num w:numId="27">
    <w:abstractNumId w:val="4"/>
  </w:num>
  <w:num w:numId="28">
    <w:abstractNumId w:val="1"/>
  </w:num>
  <w:num w:numId="29">
    <w:abstractNumId w:val="10"/>
  </w:num>
  <w:num w:numId="30">
    <w:abstractNumId w:val="9"/>
  </w:num>
  <w:num w:numId="31">
    <w:abstractNumId w:val="16"/>
  </w:num>
  <w:num w:numId="32">
    <w:abstractNumId w:val="17"/>
  </w:num>
  <w:num w:numId="33">
    <w:abstractNumId w:val="18"/>
  </w:num>
  <w:num w:numId="34">
    <w:abstractNumId w:val="19"/>
  </w:num>
  <w:num w:numId="35">
    <w:abstractNumId w:val="20"/>
  </w:num>
  <w:num w:numId="36">
    <w:abstractNumId w:val="21"/>
  </w:num>
  <w:num w:numId="37">
    <w:abstractNumId w:val="22"/>
  </w:num>
  <w:num w:numId="38">
    <w:abstractNumId w:val="23"/>
  </w:num>
  <w:num w:numId="39">
    <w:abstractNumId w:val="24"/>
  </w:num>
  <w:num w:numId="40">
    <w:abstractNumId w:val="25"/>
  </w:num>
  <w:num w:numId="41">
    <w:abstractNumId w:val="26"/>
  </w:num>
  <w:num w:numId="42">
    <w:abstractNumId w:val="27"/>
  </w:num>
  <w:num w:numId="43">
    <w:abstractNumId w:val="28"/>
  </w:num>
  <w:num w:numId="44">
    <w:abstractNumId w:val="29"/>
  </w:num>
  <w:num w:numId="45">
    <w:abstractNumId w:val="29"/>
  </w:num>
  <w:num w:numId="46">
    <w:abstractNumId w:val="30"/>
  </w:num>
  <w:num w:numId="47">
    <w:abstractNumId w:val="31"/>
  </w:num>
  <w:num w:numId="48">
    <w:abstractNumId w:val="32"/>
  </w:num>
  <w:num w:numId="49">
    <w:abstractNumId w:val="33"/>
  </w:num>
  <w:num w:numId="50">
    <w:abstractNumId w:val="34"/>
  </w:num>
  <w:num w:numId="51">
    <w:abstractNumId w:val="35"/>
  </w:num>
  <w:num w:numId="52">
    <w:abstractNumId w:val="36"/>
  </w:num>
  <w:num w:numId="53">
    <w:abstractNumId w:val="37"/>
  </w:num>
  <w:num w:numId="54">
    <w:abstractNumId w:val="38"/>
  </w:num>
  <w:num w:numId="55">
    <w:abstractNumId w:val="39"/>
  </w:num>
  <w:num w:numId="56">
    <w:abstractNumId w:val="40"/>
  </w:num>
  <w:num w:numId="57">
    <w:abstractNumId w:val="41"/>
  </w:num>
  <w:num w:numId="58">
    <w:abstractNumId w:val="42"/>
  </w:num>
  <w:num w:numId="59">
    <w:abstractNumId w:val="43"/>
  </w:num>
  <w:num w:numId="60">
    <w:abstractNumId w:val="44"/>
  </w:num>
  <w:num w:numId="61">
    <w:abstractNumId w:val="45"/>
  </w:num>
  <w:num w:numId="62">
    <w:abstractNumId w:val="46"/>
  </w:num>
  <w:num w:numId="63">
    <w:abstractNumId w:val="47"/>
  </w:num>
  <w:num w:numId="64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11">
    <w:name w:val="Heading 1 Char"/>
    <w:basedOn w:val="980"/>
    <w:link w:val="971"/>
    <w:uiPriority w:val="9"/>
    <w:rPr>
      <w:rFonts w:ascii="Arial" w:hAnsi="Arial" w:eastAsia="Arial" w:cs="Arial"/>
      <w:sz w:val="40"/>
      <w:szCs w:val="40"/>
    </w:rPr>
  </w:style>
  <w:style w:type="character" w:styleId="812">
    <w:name w:val="Heading 2 Char"/>
    <w:basedOn w:val="980"/>
    <w:link w:val="972"/>
    <w:uiPriority w:val="9"/>
    <w:rPr>
      <w:rFonts w:ascii="Arial" w:hAnsi="Arial" w:eastAsia="Arial" w:cs="Arial"/>
      <w:sz w:val="34"/>
    </w:rPr>
  </w:style>
  <w:style w:type="character" w:styleId="813">
    <w:name w:val="Heading 3 Char"/>
    <w:basedOn w:val="980"/>
    <w:link w:val="973"/>
    <w:uiPriority w:val="9"/>
    <w:rPr>
      <w:rFonts w:ascii="Arial" w:hAnsi="Arial" w:eastAsia="Arial" w:cs="Arial"/>
      <w:sz w:val="30"/>
      <w:szCs w:val="30"/>
    </w:rPr>
  </w:style>
  <w:style w:type="character" w:styleId="814">
    <w:name w:val="Heading 4 Char"/>
    <w:basedOn w:val="980"/>
    <w:link w:val="974"/>
    <w:uiPriority w:val="9"/>
    <w:rPr>
      <w:rFonts w:ascii="Arial" w:hAnsi="Arial" w:eastAsia="Arial" w:cs="Arial"/>
      <w:b/>
      <w:bCs/>
      <w:sz w:val="26"/>
      <w:szCs w:val="26"/>
    </w:rPr>
  </w:style>
  <w:style w:type="character" w:styleId="815">
    <w:name w:val="Heading 5 Char"/>
    <w:basedOn w:val="980"/>
    <w:link w:val="975"/>
    <w:uiPriority w:val="9"/>
    <w:rPr>
      <w:rFonts w:ascii="Arial" w:hAnsi="Arial" w:eastAsia="Arial" w:cs="Arial"/>
      <w:b/>
      <w:bCs/>
      <w:sz w:val="24"/>
      <w:szCs w:val="24"/>
    </w:rPr>
  </w:style>
  <w:style w:type="character" w:styleId="816">
    <w:name w:val="Heading 6 Char"/>
    <w:basedOn w:val="980"/>
    <w:link w:val="976"/>
    <w:uiPriority w:val="9"/>
    <w:rPr>
      <w:rFonts w:ascii="Arial" w:hAnsi="Arial" w:eastAsia="Arial" w:cs="Arial"/>
      <w:b/>
      <w:bCs/>
      <w:sz w:val="22"/>
      <w:szCs w:val="22"/>
    </w:rPr>
  </w:style>
  <w:style w:type="character" w:styleId="817">
    <w:name w:val="Heading 7 Char"/>
    <w:basedOn w:val="980"/>
    <w:link w:val="97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8">
    <w:name w:val="Heading 8 Char"/>
    <w:basedOn w:val="980"/>
    <w:link w:val="978"/>
    <w:uiPriority w:val="9"/>
    <w:rPr>
      <w:rFonts w:ascii="Arial" w:hAnsi="Arial" w:eastAsia="Arial" w:cs="Arial"/>
      <w:i/>
      <w:iCs/>
      <w:sz w:val="22"/>
      <w:szCs w:val="22"/>
    </w:rPr>
  </w:style>
  <w:style w:type="character" w:styleId="819">
    <w:name w:val="Heading 9 Char"/>
    <w:basedOn w:val="980"/>
    <w:link w:val="979"/>
    <w:uiPriority w:val="9"/>
    <w:rPr>
      <w:rFonts w:ascii="Arial" w:hAnsi="Arial" w:eastAsia="Arial" w:cs="Arial"/>
      <w:i/>
      <w:iCs/>
      <w:sz w:val="21"/>
      <w:szCs w:val="21"/>
    </w:rPr>
  </w:style>
  <w:style w:type="paragraph" w:styleId="820">
    <w:name w:val="No Spacing"/>
    <w:uiPriority w:val="1"/>
    <w:qFormat/>
    <w:pPr>
      <w:spacing w:before="0" w:after="0" w:line="240" w:lineRule="auto"/>
    </w:pPr>
  </w:style>
  <w:style w:type="character" w:styleId="821">
    <w:name w:val="Title Char"/>
    <w:basedOn w:val="980"/>
    <w:link w:val="1004"/>
    <w:uiPriority w:val="10"/>
    <w:rPr>
      <w:sz w:val="48"/>
      <w:szCs w:val="48"/>
    </w:rPr>
  </w:style>
  <w:style w:type="character" w:styleId="822">
    <w:name w:val="Subtitle Char"/>
    <w:basedOn w:val="980"/>
    <w:link w:val="989"/>
    <w:uiPriority w:val="11"/>
    <w:rPr>
      <w:sz w:val="24"/>
      <w:szCs w:val="24"/>
    </w:rPr>
  </w:style>
  <w:style w:type="paragraph" w:styleId="823">
    <w:name w:val="Quote"/>
    <w:basedOn w:val="970"/>
    <w:next w:val="970"/>
    <w:link w:val="824"/>
    <w:uiPriority w:val="29"/>
    <w:qFormat/>
    <w:pPr>
      <w:ind w:left="720" w:right="720"/>
    </w:pPr>
    <w:rPr>
      <w:i/>
    </w:rPr>
  </w:style>
  <w:style w:type="character" w:styleId="824">
    <w:name w:val="Quote Char"/>
    <w:link w:val="823"/>
    <w:uiPriority w:val="29"/>
    <w:rPr>
      <w:i/>
    </w:rPr>
  </w:style>
  <w:style w:type="paragraph" w:styleId="825">
    <w:name w:val="Intense Quote"/>
    <w:basedOn w:val="970"/>
    <w:next w:val="970"/>
    <w:link w:val="82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6">
    <w:name w:val="Intense Quote Char"/>
    <w:link w:val="825"/>
    <w:uiPriority w:val="30"/>
    <w:rPr>
      <w:i/>
    </w:rPr>
  </w:style>
  <w:style w:type="character" w:styleId="827">
    <w:name w:val="Header Char"/>
    <w:basedOn w:val="980"/>
    <w:link w:val="996"/>
    <w:uiPriority w:val="99"/>
  </w:style>
  <w:style w:type="character" w:styleId="828">
    <w:name w:val="Footer Char"/>
    <w:basedOn w:val="980"/>
    <w:link w:val="998"/>
    <w:uiPriority w:val="99"/>
  </w:style>
  <w:style w:type="paragraph" w:styleId="829">
    <w:name w:val="Caption"/>
    <w:basedOn w:val="970"/>
    <w:next w:val="970"/>
    <w:link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0">
    <w:name w:val="Caption Char"/>
    <w:basedOn w:val="980"/>
    <w:link w:val="829"/>
    <w:uiPriority w:val="35"/>
    <w:rPr>
      <w:b/>
      <w:bCs/>
      <w:color w:val="4f81bd" w:themeColor="accent1"/>
      <w:sz w:val="18"/>
      <w:szCs w:val="18"/>
    </w:rPr>
  </w:style>
  <w:style w:type="table" w:styleId="831">
    <w:name w:val="Table Grid Light"/>
    <w:basedOn w:val="9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2">
    <w:name w:val="Plain Table 1"/>
    <w:basedOn w:val="9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3">
    <w:name w:val="Plain Table 2"/>
    <w:basedOn w:val="9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4">
    <w:name w:val="Plain Table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5">
    <w:name w:val="Plain Table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Plain Table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7">
    <w:name w:val="Grid Table 1 Light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Grid Table 1 Light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Grid Table 1 Light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Grid Table 1 Light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Grid Table 1 Light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Grid Table 1 Light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Grid Table 1 Light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Grid Table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2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2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2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2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2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2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3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3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3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3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3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3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4"/>
    <w:basedOn w:val="9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9">
    <w:name w:val="Grid Table 4 - Accent 1"/>
    <w:basedOn w:val="9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0">
    <w:name w:val="Grid Table 4 - Accent 2"/>
    <w:basedOn w:val="9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61">
    <w:name w:val="Grid Table 4 - Accent 3"/>
    <w:basedOn w:val="9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62">
    <w:name w:val="Grid Table 4 - Accent 4"/>
    <w:basedOn w:val="9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63">
    <w:name w:val="Grid Table 4 - Accent 5"/>
    <w:basedOn w:val="9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64">
    <w:name w:val="Grid Table 4 - Accent 6"/>
    <w:basedOn w:val="9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65">
    <w:name w:val="Grid Table 5 Dark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6">
    <w:name w:val="Grid Table 5 Dark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7">
    <w:name w:val="Grid Table 5 Dark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8">
    <w:name w:val="Grid Table 5 Dark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9">
    <w:name w:val="Grid Table 5 Dark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0">
    <w:name w:val="Grid Table 5 Dark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1">
    <w:name w:val="Grid Table 5 Dark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72">
    <w:name w:val="Grid Table 6 Colorful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73">
    <w:name w:val="Grid Table 6 Colorful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74">
    <w:name w:val="Grid Table 6 Colorful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75">
    <w:name w:val="Grid Table 6 Colorful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76">
    <w:name w:val="Grid Table 6 Colorful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77">
    <w:name w:val="Grid Table 6 Colorful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8">
    <w:name w:val="Grid Table 6 Colorful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9">
    <w:name w:val="Grid Table 7 Colorful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7 Colorful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7 Colorful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Grid Table 7 Colorful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Grid Table 7 Colorful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Grid Table 7 Colorful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Grid Table 7 Colorful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1 Light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1 Light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List Table 1 Light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List Table 1 Light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List Table 1 Light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List Table 1 Light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List Table 1 Light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List Table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94">
    <w:name w:val="List Table 2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95">
    <w:name w:val="List Table 2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96">
    <w:name w:val="List Table 2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97">
    <w:name w:val="List Table 2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98">
    <w:name w:val="List Table 2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99">
    <w:name w:val="List Table 2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0">
    <w:name w:val="List Table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3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3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3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List Table 3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3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3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4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4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4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4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4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4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5 Dark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5">
    <w:name w:val="List Table 5 Dark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6">
    <w:name w:val="List Table 5 Dark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7">
    <w:name w:val="List Table 5 Dark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8">
    <w:name w:val="List Table 5 Dark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9">
    <w:name w:val="List Table 5 Dark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0">
    <w:name w:val="List Table 5 Dark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1">
    <w:name w:val="List Table 6 Colorful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22">
    <w:name w:val="List Table 6 Colorful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23">
    <w:name w:val="List Table 6 Colorful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24">
    <w:name w:val="List Table 6 Colorful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25">
    <w:name w:val="List Table 6 Colorful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26">
    <w:name w:val="List Table 6 Colorful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27">
    <w:name w:val="List Table 6 Colorful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28">
    <w:name w:val="List Table 7 Colorful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29">
    <w:name w:val="List Table 7 Colorful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930">
    <w:name w:val="List Table 7 Colorful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31">
    <w:name w:val="List Table 7 Colorful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32">
    <w:name w:val="List Table 7 Colorful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33">
    <w:name w:val="List Table 7 Colorful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934">
    <w:name w:val="List Table 7 Colorful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35">
    <w:name w:val="Lined - Accent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6">
    <w:name w:val="Lined - Accent 1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37">
    <w:name w:val="Lined - Accent 2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8">
    <w:name w:val="Lined - Accent 3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9">
    <w:name w:val="Lined - Accent 4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40">
    <w:name w:val="Lined - Accent 5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41">
    <w:name w:val="Lined - Accent 6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42">
    <w:name w:val="Bordered &amp; Lined - Accent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3">
    <w:name w:val="Bordered &amp; Lined - Accent 1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44">
    <w:name w:val="Bordered &amp; Lined - Accent 2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45">
    <w:name w:val="Bordered &amp; Lined - Accent 3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46">
    <w:name w:val="Bordered &amp; Lined - Accent 4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47">
    <w:name w:val="Bordered &amp; Lined - Accent 5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48">
    <w:name w:val="Bordered &amp; Lined - Accent 6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49">
    <w:name w:val="Bordered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0">
    <w:name w:val="Bordered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51">
    <w:name w:val="Bordered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52">
    <w:name w:val="Bordered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53">
    <w:name w:val="Bordered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54">
    <w:name w:val="Bordered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55">
    <w:name w:val="Bordered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56">
    <w:name w:val="Hyperlink"/>
    <w:uiPriority w:val="99"/>
    <w:unhideWhenUsed/>
    <w:rPr>
      <w:color w:val="0000ff" w:themeColor="hyperlink"/>
      <w:u w:val="single"/>
    </w:rPr>
  </w:style>
  <w:style w:type="character" w:styleId="957">
    <w:name w:val="Footnote Text Char"/>
    <w:link w:val="991"/>
    <w:uiPriority w:val="99"/>
    <w:rPr>
      <w:sz w:val="18"/>
    </w:rPr>
  </w:style>
  <w:style w:type="character" w:styleId="958">
    <w:name w:val="Endnote Text Char"/>
    <w:link w:val="1001"/>
    <w:uiPriority w:val="99"/>
    <w:rPr>
      <w:sz w:val="20"/>
    </w:rPr>
  </w:style>
  <w:style w:type="paragraph" w:styleId="959">
    <w:name w:val="toc 1"/>
    <w:basedOn w:val="970"/>
    <w:next w:val="970"/>
    <w:uiPriority w:val="39"/>
    <w:unhideWhenUsed/>
    <w:pPr>
      <w:ind w:left="0" w:right="0" w:firstLine="0"/>
      <w:spacing w:after="57"/>
    </w:pPr>
  </w:style>
  <w:style w:type="paragraph" w:styleId="960">
    <w:name w:val="toc 2"/>
    <w:basedOn w:val="970"/>
    <w:next w:val="970"/>
    <w:uiPriority w:val="39"/>
    <w:unhideWhenUsed/>
    <w:pPr>
      <w:ind w:left="283" w:right="0" w:firstLine="0"/>
      <w:spacing w:after="57"/>
    </w:pPr>
  </w:style>
  <w:style w:type="paragraph" w:styleId="961">
    <w:name w:val="toc 3"/>
    <w:basedOn w:val="970"/>
    <w:next w:val="970"/>
    <w:uiPriority w:val="39"/>
    <w:unhideWhenUsed/>
    <w:pPr>
      <w:ind w:left="567" w:right="0" w:firstLine="0"/>
      <w:spacing w:after="57"/>
    </w:pPr>
  </w:style>
  <w:style w:type="paragraph" w:styleId="962">
    <w:name w:val="toc 4"/>
    <w:basedOn w:val="970"/>
    <w:next w:val="970"/>
    <w:uiPriority w:val="39"/>
    <w:unhideWhenUsed/>
    <w:pPr>
      <w:ind w:left="850" w:right="0" w:firstLine="0"/>
      <w:spacing w:after="57"/>
    </w:pPr>
  </w:style>
  <w:style w:type="paragraph" w:styleId="963">
    <w:name w:val="toc 5"/>
    <w:basedOn w:val="970"/>
    <w:next w:val="970"/>
    <w:uiPriority w:val="39"/>
    <w:unhideWhenUsed/>
    <w:pPr>
      <w:ind w:left="1134" w:right="0" w:firstLine="0"/>
      <w:spacing w:after="57"/>
    </w:pPr>
  </w:style>
  <w:style w:type="paragraph" w:styleId="964">
    <w:name w:val="toc 6"/>
    <w:basedOn w:val="970"/>
    <w:next w:val="970"/>
    <w:uiPriority w:val="39"/>
    <w:unhideWhenUsed/>
    <w:pPr>
      <w:ind w:left="1417" w:right="0" w:firstLine="0"/>
      <w:spacing w:after="57"/>
    </w:pPr>
  </w:style>
  <w:style w:type="paragraph" w:styleId="965">
    <w:name w:val="toc 7"/>
    <w:basedOn w:val="970"/>
    <w:next w:val="970"/>
    <w:uiPriority w:val="39"/>
    <w:unhideWhenUsed/>
    <w:pPr>
      <w:ind w:left="1701" w:right="0" w:firstLine="0"/>
      <w:spacing w:after="57"/>
    </w:pPr>
  </w:style>
  <w:style w:type="paragraph" w:styleId="966">
    <w:name w:val="toc 8"/>
    <w:basedOn w:val="970"/>
    <w:next w:val="970"/>
    <w:uiPriority w:val="39"/>
    <w:unhideWhenUsed/>
    <w:pPr>
      <w:ind w:left="1984" w:right="0" w:firstLine="0"/>
      <w:spacing w:after="57"/>
    </w:pPr>
  </w:style>
  <w:style w:type="paragraph" w:styleId="967">
    <w:name w:val="toc 9"/>
    <w:basedOn w:val="970"/>
    <w:next w:val="970"/>
    <w:uiPriority w:val="39"/>
    <w:unhideWhenUsed/>
    <w:pPr>
      <w:ind w:left="2268" w:right="0" w:firstLine="0"/>
      <w:spacing w:after="57"/>
    </w:pPr>
  </w:style>
  <w:style w:type="paragraph" w:styleId="968">
    <w:name w:val="TOC Heading"/>
    <w:uiPriority w:val="39"/>
    <w:unhideWhenUsed/>
  </w:style>
  <w:style w:type="paragraph" w:styleId="969">
    <w:name w:val="table of figures"/>
    <w:basedOn w:val="970"/>
    <w:next w:val="970"/>
    <w:uiPriority w:val="99"/>
    <w:unhideWhenUsed/>
    <w:pPr>
      <w:spacing w:after="0" w:afterAutospacing="0"/>
    </w:pPr>
  </w:style>
  <w:style w:type="paragraph" w:styleId="970" w:default="1">
    <w:name w:val="Normal"/>
    <w:qFormat/>
    <w:pPr>
      <w:ind w:firstLine="567"/>
      <w:jc w:val="both"/>
      <w:spacing w:after="0" w:line="240" w:lineRule="auto"/>
      <w:outlineLvl w:val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1">
    <w:name w:val="Heading 1"/>
    <w:basedOn w:val="970"/>
    <w:next w:val="970"/>
    <w:link w:val="983"/>
    <w:uiPriority w:val="9"/>
    <w:qFormat/>
    <w:pPr>
      <w:jc w:val="center"/>
      <w:outlineLvl w:val="0"/>
    </w:pPr>
    <w:rPr>
      <w:b/>
    </w:rPr>
  </w:style>
  <w:style w:type="paragraph" w:styleId="972">
    <w:name w:val="Heading 2"/>
    <w:basedOn w:val="973"/>
    <w:next w:val="970"/>
    <w:link w:val="985"/>
    <w:uiPriority w:val="9"/>
    <w:unhideWhenUsed/>
    <w:qFormat/>
    <w:pPr>
      <w:numPr>
        <w:ilvl w:val="0"/>
      </w:numPr>
      <w:jc w:val="center"/>
      <w:spacing w:before="240" w:after="240"/>
      <w:outlineLvl w:val="1"/>
    </w:pPr>
    <w:rPr>
      <w:b/>
      <w:bCs/>
    </w:rPr>
  </w:style>
  <w:style w:type="paragraph" w:styleId="973">
    <w:name w:val="Heading 3"/>
    <w:basedOn w:val="970"/>
    <w:next w:val="970"/>
    <w:link w:val="986"/>
    <w:uiPriority w:val="9"/>
    <w:unhideWhenUsed/>
    <w:qFormat/>
    <w:pPr>
      <w:numPr>
        <w:ilvl w:val="1"/>
        <w:numId w:val="1"/>
      </w:numPr>
      <w:contextualSpacing/>
      <w:outlineLvl w:val="2"/>
    </w:pPr>
  </w:style>
  <w:style w:type="paragraph" w:styleId="974">
    <w:name w:val="Heading 4"/>
    <w:basedOn w:val="973"/>
    <w:next w:val="970"/>
    <w:link w:val="988"/>
    <w:uiPriority w:val="9"/>
    <w:unhideWhenUsed/>
    <w:qFormat/>
    <w:pPr>
      <w:numPr>
        <w:ilvl w:val="2"/>
      </w:numPr>
      <w:ind w:left="0" w:firstLine="737"/>
      <w:outlineLvl w:val="3"/>
    </w:pPr>
  </w:style>
  <w:style w:type="paragraph" w:styleId="975">
    <w:name w:val="Heading 5"/>
    <w:basedOn w:val="974"/>
    <w:next w:val="970"/>
    <w:link w:val="994"/>
    <w:uiPriority w:val="9"/>
    <w:unhideWhenUsed/>
    <w:qFormat/>
    <w:pPr>
      <w:numPr>
        <w:ilvl w:val="0"/>
        <w:numId w:val="0"/>
      </w:numPr>
      <w:ind w:firstLine="567"/>
      <w:outlineLvl w:val="4"/>
    </w:pPr>
  </w:style>
  <w:style w:type="paragraph" w:styleId="976">
    <w:name w:val="Heading 6"/>
    <w:basedOn w:val="975"/>
    <w:next w:val="970"/>
    <w:link w:val="995"/>
    <w:uiPriority w:val="9"/>
    <w:unhideWhenUsed/>
    <w:qFormat/>
    <w:pPr>
      <w:numPr>
        <w:ilvl w:val="0"/>
        <w:numId w:val="2"/>
      </w:numPr>
      <w:ind w:left="993" w:hanging="219"/>
      <w:outlineLvl w:val="5"/>
    </w:pPr>
  </w:style>
  <w:style w:type="paragraph" w:styleId="977">
    <w:name w:val="Heading 7"/>
    <w:basedOn w:val="987"/>
    <w:next w:val="970"/>
    <w:link w:val="1006"/>
    <w:uiPriority w:val="9"/>
    <w:unhideWhenUsed/>
    <w:qFormat/>
    <w:pPr>
      <w:numPr>
        <w:ilvl w:val="0"/>
        <w:numId w:val="3"/>
      </w:numPr>
      <w:jc w:val="left"/>
      <w:spacing w:before="240" w:after="240"/>
      <w:outlineLvl w:val="6"/>
    </w:pPr>
    <w:rPr>
      <w:b/>
      <w:bCs/>
    </w:rPr>
  </w:style>
  <w:style w:type="paragraph" w:styleId="978">
    <w:name w:val="Heading 8"/>
    <w:basedOn w:val="973"/>
    <w:next w:val="970"/>
    <w:link w:val="1007"/>
    <w:uiPriority w:val="9"/>
    <w:unhideWhenUsed/>
    <w:qFormat/>
    <w:pPr>
      <w:numPr>
        <w:ilvl w:val="0"/>
        <w:numId w:val="5"/>
      </w:numPr>
      <w:ind w:left="0" w:firstLine="567"/>
      <w:outlineLvl w:val="7"/>
    </w:pPr>
  </w:style>
  <w:style w:type="paragraph" w:styleId="979">
    <w:name w:val="Heading 9"/>
    <w:basedOn w:val="970"/>
    <w:next w:val="970"/>
    <w:link w:val="1008"/>
    <w:uiPriority w:val="9"/>
    <w:unhideWhenUsed/>
    <w:qFormat/>
    <w:pPr>
      <w:numPr>
        <w:ilvl w:val="0"/>
        <w:numId w:val="4"/>
      </w:numPr>
      <w:ind w:left="8505" w:firstLine="0"/>
      <w:jc w:val="right"/>
      <w:spacing w:before="20"/>
      <w:tabs>
        <w:tab w:val="left" w:pos="6946" w:leader="none"/>
      </w:tabs>
      <w:outlineLvl w:val="8"/>
    </w:pPr>
    <w:rPr>
      <w:color w:val="000000"/>
    </w:rPr>
  </w:style>
  <w:style w:type="character" w:styleId="980" w:default="1">
    <w:name w:val="Default Paragraph Font"/>
    <w:uiPriority w:val="1"/>
    <w:semiHidden/>
    <w:unhideWhenUsed/>
  </w:style>
  <w:style w:type="table" w:styleId="9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2" w:default="1">
    <w:name w:val="No List"/>
    <w:uiPriority w:val="99"/>
    <w:semiHidden/>
    <w:unhideWhenUsed/>
  </w:style>
  <w:style w:type="character" w:styleId="983" w:customStyle="1">
    <w:name w:val="Заголовок 1 Знак"/>
    <w:basedOn w:val="980"/>
    <w:link w:val="971"/>
    <w:uiPriority w:val="9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table" w:styleId="984">
    <w:name w:val="Table Grid"/>
    <w:basedOn w:val="98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85" w:customStyle="1">
    <w:name w:val="Заголовок 2 Знак"/>
    <w:basedOn w:val="980"/>
    <w:link w:val="972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986" w:customStyle="1">
    <w:name w:val="Заголовок 3 Знак"/>
    <w:basedOn w:val="980"/>
    <w:link w:val="973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7">
    <w:name w:val="List Paragraph"/>
    <w:basedOn w:val="970"/>
    <w:uiPriority w:val="34"/>
    <w:qFormat/>
    <w:pPr>
      <w:contextualSpacing/>
      <w:ind w:left="720"/>
    </w:pPr>
  </w:style>
  <w:style w:type="character" w:styleId="988" w:customStyle="1">
    <w:name w:val="Заголовок 4 Знак"/>
    <w:basedOn w:val="980"/>
    <w:link w:val="974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9">
    <w:name w:val="Subtitle"/>
    <w:basedOn w:val="970"/>
    <w:next w:val="970"/>
    <w:link w:val="990"/>
    <w:uiPriority w:val="11"/>
    <w:qFormat/>
    <w:pPr>
      <w:numPr>
        <w:ilvl w:val="1"/>
      </w:numPr>
      <w:ind w:firstLine="567"/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990" w:customStyle="1">
    <w:name w:val="Подзаголовок Знак"/>
    <w:basedOn w:val="980"/>
    <w:link w:val="989"/>
    <w:uiPriority w:val="11"/>
    <w:rPr>
      <w:rFonts w:eastAsiaTheme="minorEastAsia"/>
      <w:color w:val="5a5a5a" w:themeColor="text1" w:themeTint="A5"/>
      <w:spacing w:val="15"/>
      <w:lang w:eastAsia="ru-RU"/>
    </w:rPr>
  </w:style>
  <w:style w:type="paragraph" w:styleId="991">
    <w:name w:val="footnote text"/>
    <w:basedOn w:val="970"/>
    <w:link w:val="992"/>
    <w:uiPriority w:val="99"/>
    <w:semiHidden/>
    <w:unhideWhenUsed/>
    <w:rPr>
      <w:sz w:val="20"/>
      <w:szCs w:val="20"/>
    </w:rPr>
  </w:style>
  <w:style w:type="character" w:styleId="992" w:customStyle="1">
    <w:name w:val="Текст сноски Знак"/>
    <w:basedOn w:val="980"/>
    <w:link w:val="991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93">
    <w:name w:val="footnote reference"/>
    <w:basedOn w:val="980"/>
    <w:uiPriority w:val="99"/>
    <w:unhideWhenUsed/>
    <w:rPr>
      <w:vertAlign w:val="superscript"/>
    </w:rPr>
  </w:style>
  <w:style w:type="character" w:styleId="994" w:customStyle="1">
    <w:name w:val="Заголовок 5 Знак"/>
    <w:basedOn w:val="980"/>
    <w:link w:val="975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95" w:customStyle="1">
    <w:name w:val="Заголовок 6 Знак"/>
    <w:basedOn w:val="980"/>
    <w:link w:val="976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6">
    <w:name w:val="Header"/>
    <w:basedOn w:val="970"/>
    <w:link w:val="99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7" w:customStyle="1">
    <w:name w:val="Верхний колонтитул Знак"/>
    <w:basedOn w:val="980"/>
    <w:link w:val="99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8">
    <w:name w:val="Footer"/>
    <w:basedOn w:val="970"/>
    <w:link w:val="99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9" w:customStyle="1">
    <w:name w:val="Нижний колонтитул Знак"/>
    <w:basedOn w:val="980"/>
    <w:link w:val="998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00" w:customStyle="1">
    <w:name w:val="6"/>
    <w:basedOn w:val="98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StyleRowBandSize w:val="1"/>
      <w:tblStyleColBandSize w:val="1"/>
    </w:tblPr>
  </w:style>
  <w:style w:type="paragraph" w:styleId="1001">
    <w:name w:val="endnote text"/>
    <w:basedOn w:val="970"/>
    <w:link w:val="1002"/>
    <w:uiPriority w:val="99"/>
    <w:semiHidden/>
    <w:unhideWhenUsed/>
    <w:rPr>
      <w:sz w:val="20"/>
      <w:szCs w:val="20"/>
    </w:rPr>
  </w:style>
  <w:style w:type="character" w:styleId="1002" w:customStyle="1">
    <w:name w:val="Текст концевой сноски Знак"/>
    <w:basedOn w:val="980"/>
    <w:link w:val="1001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03">
    <w:name w:val="endnote reference"/>
    <w:basedOn w:val="980"/>
    <w:uiPriority w:val="99"/>
    <w:semiHidden/>
    <w:unhideWhenUsed/>
    <w:rPr>
      <w:vertAlign w:val="superscript"/>
    </w:rPr>
  </w:style>
  <w:style w:type="paragraph" w:styleId="1004">
    <w:name w:val="Title"/>
    <w:basedOn w:val="970"/>
    <w:next w:val="970"/>
    <w:link w:val="1005"/>
    <w:uiPriority w:val="10"/>
    <w:qFormat/>
    <w:pPr>
      <w:jc w:val="center"/>
      <w:spacing w:before="240"/>
    </w:pPr>
    <w:rPr>
      <w:b/>
    </w:rPr>
  </w:style>
  <w:style w:type="character" w:styleId="1005" w:customStyle="1">
    <w:name w:val="Заголовок Знак"/>
    <w:basedOn w:val="980"/>
    <w:link w:val="1004"/>
    <w:uiPriority w:val="10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1006" w:customStyle="1">
    <w:name w:val="Заголовок 7 Знак"/>
    <w:basedOn w:val="980"/>
    <w:link w:val="977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1007" w:customStyle="1">
    <w:name w:val="Заголовок 8 Знак"/>
    <w:basedOn w:val="980"/>
    <w:link w:val="978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08" w:customStyle="1">
    <w:name w:val="Заголовок 9 Знак"/>
    <w:basedOn w:val="980"/>
    <w:link w:val="979"/>
    <w:uiPriority w:val="9"/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1009">
    <w:name w:val="Balloon Text"/>
    <w:basedOn w:val="970"/>
    <w:link w:val="1010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010" w:customStyle="1">
    <w:name w:val="Текст выноски Знак"/>
    <w:basedOn w:val="980"/>
    <w:link w:val="1009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1011" w:customStyle="1">
    <w:name w:val="head21"/>
    <w:basedOn w:val="970"/>
    <w:pPr>
      <w:ind w:firstLine="0"/>
      <w:jc w:val="left"/>
      <w:spacing w:line="100" w:lineRule="atLeast"/>
      <w:outlineLvl w:val="9"/>
    </w:pPr>
    <w:rPr>
      <w:sz w:val="20"/>
      <w:szCs w:val="20"/>
      <w:lang w:eastAsia="ar-SA"/>
    </w:rPr>
  </w:style>
  <w:style w:type="character" w:styleId="1012">
    <w:name w:val="annotation reference"/>
    <w:basedOn w:val="980"/>
    <w:uiPriority w:val="99"/>
    <w:semiHidden/>
    <w:unhideWhenUsed/>
    <w:rPr>
      <w:sz w:val="16"/>
      <w:szCs w:val="16"/>
    </w:rPr>
  </w:style>
  <w:style w:type="paragraph" w:styleId="1013">
    <w:name w:val="annotation text"/>
    <w:basedOn w:val="970"/>
    <w:link w:val="1014"/>
    <w:uiPriority w:val="99"/>
    <w:semiHidden/>
    <w:unhideWhenUsed/>
    <w:rPr>
      <w:sz w:val="20"/>
      <w:szCs w:val="20"/>
    </w:rPr>
  </w:style>
  <w:style w:type="character" w:styleId="1014" w:customStyle="1">
    <w:name w:val="Текст примечания Знак"/>
    <w:basedOn w:val="980"/>
    <w:link w:val="1013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15">
    <w:name w:val="annotation subject"/>
    <w:basedOn w:val="1013"/>
    <w:next w:val="1013"/>
    <w:link w:val="1016"/>
    <w:uiPriority w:val="99"/>
    <w:semiHidden/>
    <w:unhideWhenUsed/>
    <w:rPr>
      <w:b/>
      <w:bCs/>
    </w:rPr>
  </w:style>
  <w:style w:type="character" w:styleId="1016" w:customStyle="1">
    <w:name w:val="Тема примечания Знак"/>
    <w:basedOn w:val="1014"/>
    <w:link w:val="1015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1017" w:customStyle="1">
    <w:name w:val="Heading"/>
    <w:pPr>
      <w:spacing w:after="0" w:line="240" w:lineRule="auto"/>
    </w:pPr>
    <w:rPr>
      <w:rFonts w:ascii="Arial" w:hAnsi="Arial" w:eastAsia="Times New Roman" w:cs="Arial"/>
      <w:b/>
      <w:bCs/>
      <w:lang w:eastAsia="ru-RU"/>
    </w:rPr>
  </w:style>
  <w:style w:type="character" w:styleId="1018" w:customStyle="1">
    <w:name w:val="e1ckvoeh1"/>
    <w:basedOn w:val="980"/>
  </w:style>
  <w:style w:type="character" w:styleId="1019" w:customStyle="1">
    <w:name w:val="e1ckvoeh0"/>
    <w:basedOn w:val="980"/>
  </w:style>
  <w:style w:type="character" w:styleId="1020" w:customStyle="1">
    <w:name w:val="Font Style13"/>
    <w:uiPriority w:val="99"/>
    <w:rPr>
      <w:rFonts w:hint="default" w:ascii="Times New Roman" w:hAnsi="Times New Roman" w:cs="Times New Roman"/>
      <w:b/>
      <w:bCs w:val="0"/>
      <w:sz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D3860-FD2A-42F5-909A-15F5DA553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МИКЕРОВ Сергей Сергеевич</dc:creator>
  <cp:keywords/>
  <dc:description/>
  <cp:lastModifiedBy>gandaloevaakh</cp:lastModifiedBy>
  <cp:revision>67</cp:revision>
  <dcterms:created xsi:type="dcterms:W3CDTF">2022-06-15T13:51:00Z</dcterms:created>
  <dcterms:modified xsi:type="dcterms:W3CDTF">2026-09-22T14:24:34Z</dcterms:modified>
</cp:coreProperties>
</file>