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>
              <w:t xml:space="preserve">З</w:t>
            </w:r>
            <w:r>
              <w:t xml:space="preserve">аместител</w:t>
            </w:r>
            <w:r>
              <w:t xml:space="preserve">ю</w:t>
            </w:r>
            <w:r>
              <w:t xml:space="preserve"> р</w:t>
            </w:r>
            <w:r>
              <w:t xml:space="preserve">уководителя</w:t>
            </w:r>
            <w:r/>
          </w:p>
          <w:p>
            <w:pPr>
              <w:pStyle w:val="865"/>
              <w:jc w:val="center"/>
            </w:pPr>
            <w:r>
              <w:t xml:space="preserve">Управления Федеральной </w:t>
            </w:r>
            <w:r>
              <w:t xml:space="preserve">службы</w:t>
            </w:r>
            <w:r/>
          </w:p>
          <w:p>
            <w:pPr>
              <w:pStyle w:val="865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65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65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65"/>
              <w:jc w:val="center"/>
            </w:pPr>
            <w:r>
              <w:t xml:space="preserve">Кучман О.В.</w:t>
            </w:r>
            <w:r/>
          </w:p>
          <w:p>
            <w:pPr>
              <w:pStyle w:val="865"/>
              <w:jc w:val="center"/>
            </w:pPr>
            <w:r/>
            <w:r/>
          </w:p>
          <w:p>
            <w:pPr>
              <w:pStyle w:val="865"/>
              <w:jc w:val="center"/>
            </w:pPr>
            <w:r/>
            <w:r/>
          </w:p>
        </w:tc>
      </w:tr>
    </w:tbl>
    <w:p>
      <w:pPr>
        <w:pStyle w:val="865"/>
      </w:pPr>
      <w:r>
        <w:t xml:space="preserve">СЛУЖЕБНАЯ ЗАПИСКА</w:t>
      </w:r>
      <w:r/>
    </w:p>
    <w:p>
      <w:pPr>
        <w:pStyle w:val="865"/>
      </w:pPr>
      <w:r>
        <w:t xml:space="preserve">___________</w:t>
      </w:r>
      <w:r>
        <w:t xml:space="preserve">№_</w:t>
      </w:r>
      <w:r>
        <w:t xml:space="preserve">________</w:t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</w:t>
      </w:r>
      <w:r>
        <w:rPr>
          <w:sz w:val="20"/>
          <w:szCs w:val="20"/>
        </w:rPr>
        <w:t xml:space="preserve">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both"/>
        <w:spacing w:line="0" w:lineRule="atLeas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Прошу Вас сог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ласовать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b/>
          <w:sz w:val="24"/>
          <w:szCs w:val="24"/>
        </w:rPr>
        <w:t xml:space="preserve">проверке технического состояния дымоходов и вентиляционных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правления Федеральной службы государственной регистрации, када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стра и картографии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  <w:br/>
      </w:r>
      <w:r>
        <w:rPr>
          <w:rFonts w:ascii="Times New Roman" w:hAnsi="Times New Roman"/>
          <w:b/>
          <w:sz w:val="24"/>
          <w:szCs w:val="24"/>
        </w:rPr>
        <w:t xml:space="preserve">(</w:t>
      </w:r>
      <w:r>
        <w:rPr>
          <w:rFonts w:ascii="Times New Roman" w:hAnsi="Times New Roman"/>
          <w:b/>
          <w:sz w:val="24"/>
          <w:szCs w:val="24"/>
        </w:rPr>
        <w:t xml:space="preserve">г. Тимашевск, ул. Пролетарская, д. 13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основании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п.4 ч.1 ст.93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Федерального закона "О контрактной системе 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нужд" от 05.04.2013 N 44-ФЗ (Далее-ФЗ-44) 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осуществление закупки товара, работы или услуги на сумму, не превышающую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шестьсот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тысяч рублей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65"/>
        <w:ind w:firstLine="708"/>
        <w:jc w:val="both"/>
      </w:pPr>
      <w:r>
        <w:t xml:space="preserve">Начальная (максимальная) цена </w:t>
      </w:r>
      <w:r>
        <w:t xml:space="preserve">договора</w:t>
      </w:r>
      <w:r>
        <w:t xml:space="preserve">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</w:t>
      </w:r>
      <w:r>
        <w:t xml:space="preserve">е закупок товаров, работ, услуг для обеспечения государственных и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</w:t>
      </w:r>
      <w:r>
        <w:t xml:space="preserve">1</w:t>
      </w:r>
      <w:r>
        <w:t xml:space="preserve">5</w:t>
      </w:r>
      <w:r>
        <w:t xml:space="preserve">4</w:t>
      </w:r>
      <w:r>
        <w:t xml:space="preserve"> к Приложению к Приказу Росреестра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</w:t>
      </w:r>
      <w:r>
        <w:t xml:space="preserve">(</w:t>
      </w:r>
      <w:r>
        <w:t xml:space="preserve">В редакции приказов Росреестра от 30.12.2015 № П/697, от 03.11.2016 № П /0534, от 18.12.2017 № П/05921, от 27.03.2019 № П/0104, от 12.02.2020 №</w:t>
      </w:r>
      <w:r>
        <w:t xml:space="preserve"> </w:t>
      </w:r>
      <w:r>
        <w:t xml:space="preserve">П/0036, от 29.05.2020 №</w:t>
      </w:r>
      <w:r>
        <w:t xml:space="preserve"> </w:t>
      </w:r>
      <w:r>
        <w:t xml:space="preserve">П/0172</w:t>
      </w:r>
      <w:r>
        <w:t xml:space="preserve">, от 18.12.2020 № П/0484, от 31.05.2021 № П/0233, от 22.02.2022 № П/0057, от 04.04.2022 № П/0120, от 30.05.2022 № П/0211, от 30.05.2023 № П/0197, </w:t>
      </w:r>
      <w:r>
        <w:t xml:space="preserve">от 31.05.2024 г. № П/0165/24</w:t>
      </w:r>
      <w:r>
        <w:t xml:space="preserve">, от 29.05.2025 г. № П/0186/25, </w:t>
        <w:br/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от 28.05.2026 г. № П/0265/26</w:t>
      </w:r>
      <w:r>
        <w:t xml:space="preserve">)</w:t>
      </w:r>
      <w:r>
        <w:t xml:space="preserve">.</w:t>
      </w:r>
      <w:r/>
    </w:p>
    <w:p>
      <w:pPr>
        <w:pStyle w:val="865"/>
        <w:ind w:firstLine="708"/>
        <w:jc w:val="both"/>
        <w:spacing w:line="0" w:lineRule="atLeast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65"/>
        <w:ind w:firstLine="708"/>
        <w:jc w:val="both"/>
        <w:spacing w:line="0" w:lineRule="atLeast"/>
      </w:pPr>
      <w:r>
        <w:t xml:space="preserve">При осуществлении мониторинга цен на </w:t>
      </w:r>
      <w:r>
        <w:t xml:space="preserve">выполнение работ</w:t>
      </w:r>
      <w:r>
        <w:t xml:space="preserve"> были использованы </w:t>
      </w:r>
      <w:r>
        <w:t xml:space="preserve">с</w:t>
      </w:r>
      <w:r>
        <w:t xml:space="preserve">ледующие источники: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№1 – Коммерческое предложение вх. № 63685/26</w:t>
      </w:r>
      <w:r>
        <w:t xml:space="preserve"> от 31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№2 – Коммерческое предложение </w:t>
      </w:r>
      <w:r>
        <w:t xml:space="preserve">вх. № 63686/26</w:t>
      </w:r>
      <w:r>
        <w:t xml:space="preserve"> </w:t>
      </w:r>
      <w:r>
        <w:t xml:space="preserve">от 31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№3 – Коммерческое предложение </w:t>
      </w:r>
      <w:r>
        <w:t xml:space="preserve">вх. № 63688/26</w:t>
      </w:r>
      <w:r>
        <w:t xml:space="preserve"> </w:t>
      </w:r>
      <w:r>
        <w:t xml:space="preserve">от 31</w:t>
      </w:r>
      <w:r>
        <w:t xml:space="preserve">.</w:t>
      </w:r>
      <w:r>
        <w:t xml:space="preserve">07</w:t>
      </w:r>
      <w:r>
        <w:t xml:space="preserve">.2026</w:t>
      </w:r>
      <w:r>
        <w:t xml:space="preserve">.</w:t>
      </w:r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>
        <w:t xml:space="preserve">Таблица. Мониторинг цен</w:t>
      </w:r>
      <w:r/>
    </w:p>
    <w:tbl>
      <w:tblPr>
        <w:tblpPr w:horzAnchor="margin" w:tblpX="-919" w:vertAnchor="text" w:tblpY="194" w:leftFromText="180" w:topFromText="0" w:rightFromText="180" w:bottomFromText="0"/>
        <w:tblW w:w="11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1417"/>
        <w:gridCol w:w="1276"/>
        <w:gridCol w:w="1277"/>
        <w:gridCol w:w="1277"/>
        <w:gridCol w:w="850"/>
        <w:gridCol w:w="1134"/>
        <w:gridCol w:w="1418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390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№ 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W w:w="38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65"/>
              <w:ind w:left="113" w:right="11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</w:t>
            </w:r>
            <w:r>
              <w:rPr>
                <w:b/>
                <w:color w:val="000000"/>
                <w:sz w:val="14"/>
                <w:szCs w:val="20"/>
              </w:rPr>
              <w:t xml:space="preserve"> руб.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 w:type="textWrapping" w:clear="all"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514" cy="24902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514" cy="249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6pt;height:19.61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512" cy="204521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512" cy="2045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6pt;height:16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v - количество (объем) закупаемого товара (работы, услуги);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- цена единицы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91" cy="158661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91" cy="158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6pt;height:12.4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8"/>
        </w:trPr>
        <w:tc>
          <w:tcPr>
            <w:tcW w:w="390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tcW w:w="39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65"/>
              <w:jc w:val="both"/>
              <w:spacing w:line="0" w:lineRule="atLeast"/>
              <w:rPr>
                <w:sz w:val="16"/>
                <w:szCs w:val="16"/>
              </w:rPr>
              <w:framePr w:x="-919"/>
            </w:pPr>
            <w:r>
              <w:rPr>
                <w:sz w:val="16"/>
                <w:szCs w:val="16"/>
              </w:rPr>
              <w:t xml:space="preserve">Оказание услуг по </w:t>
            </w:r>
            <w:r>
              <w:rPr>
                <w:sz w:val="16"/>
                <w:szCs w:val="16"/>
              </w:rPr>
              <w:t xml:space="preserve">проверке технического состояния дымоходов и </w:t>
            </w:r>
            <w:r>
              <w:rPr>
                <w:sz w:val="16"/>
                <w:szCs w:val="16"/>
              </w:rPr>
              <w:t xml:space="preserve">вентиляционных каналов  </w:t>
            </w:r>
            <w:r>
              <w:rPr>
                <w:b/>
              </w:rPr>
              <w:t xml:space="preserve"> </w:t>
            </w:r>
            <w:r>
              <w:rPr>
                <w:sz w:val="16"/>
                <w:szCs w:val="16"/>
              </w:rPr>
              <w:t xml:space="preserve">г. Тимашевск, ул. Пролетарская, д. 13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2 900,00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3 500,00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754,98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26,96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865"/>
        <w:jc w:val="both"/>
        <w:spacing w:line="0" w:lineRule="atLeast"/>
      </w:pPr>
      <w:r/>
      <w:r/>
    </w:p>
    <w:p>
      <w:pPr>
        <w:pStyle w:val="865"/>
        <w:ind w:firstLine="708"/>
        <w:jc w:val="both"/>
        <w:spacing w:line="0" w:lineRule="atLeast"/>
        <w:rPr>
          <w:highlight w:val="none"/>
        </w:rPr>
      </w:pPr>
      <w:r>
        <w:t xml:space="preserve">В соответствии с Распоряжение Правительства РФ от 28 апреля 2018 г. № 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</w:t>
      </w:r>
      <w:r>
        <w:t xml:space="preserve">договор</w:t>
      </w:r>
      <w:r>
        <w:t xml:space="preserve"> будет заключен путем проведения закупочной сессии с использованием единого агрегатора торговли.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line="0" w:lineRule="atLeast"/>
      </w:pPr>
      <w:r>
        <w:rPr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</w:rPr>
        <w:t xml:space="preserve"> 2 000</w:t>
      </w:r>
      <w:r>
        <w:rPr>
          <w:b/>
        </w:rPr>
        <w:t xml:space="preserve">,00</w:t>
      </w:r>
      <w:r>
        <w:rPr>
          <w:b/>
        </w:rPr>
        <w:t xml:space="preserve"> (Две тысячи</w:t>
      </w:r>
      <w:r>
        <w:rPr>
          <w:b/>
        </w:rPr>
        <w:t xml:space="preserve">)</w:t>
      </w:r>
      <w:r>
        <w:rPr>
          <w:b/>
        </w:rPr>
        <w:t xml:space="preserve"> рублей</w:t>
      </w:r>
      <w:r>
        <w:rPr>
          <w:b/>
        </w:rPr>
        <w:t xml:space="preserve"> 00</w:t>
      </w:r>
      <w:r>
        <w:rPr>
          <w:b/>
        </w:rPr>
        <w:t xml:space="preserve"> копее</w:t>
      </w:r>
      <w:r>
        <w:rPr>
          <w:b/>
        </w:rPr>
        <w:t xml:space="preserve">к</w:t>
      </w:r>
      <w:r>
        <w:rPr>
          <w:b/>
        </w:rPr>
        <w:t xml:space="preserve">.</w:t>
      </w:r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Н</w:t>
      </w:r>
      <w:r>
        <w:t xml:space="preserve">ачальник отдела </w:t>
      </w:r>
      <w:r/>
    </w:p>
    <w:p>
      <w:pPr>
        <w:pStyle w:val="865"/>
        <w:jc w:val="both"/>
        <w:spacing w:line="0" w:lineRule="atLeast"/>
      </w:pPr>
      <w:r>
        <w:t xml:space="preserve">государственных закупок</w:t>
      </w:r>
      <w:r>
        <w:tab/>
        <w:t xml:space="preserve">                               </w:t>
      </w:r>
      <w:r>
        <w:t xml:space="preserve">                                                      </w:t>
      </w:r>
      <w:r>
        <w:t xml:space="preserve"> </w:t>
      </w:r>
      <w:r>
        <w:t xml:space="preserve">    О.В. Власенко</w:t>
      </w:r>
      <w:r/>
    </w:p>
    <w:p>
      <w:pPr>
        <w:pStyle w:val="865"/>
        <w:jc w:val="both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Врио н</w:t>
      </w:r>
      <w:r>
        <w:t xml:space="preserve">ачальника отдела</w:t>
      </w:r>
      <w:r/>
    </w:p>
    <w:p>
      <w:pPr>
        <w:pStyle w:val="865"/>
        <w:jc w:val="both"/>
        <w:spacing w:line="0" w:lineRule="atLeast"/>
        <w:rPr>
          <w:highlight w:val="none"/>
        </w:rPr>
      </w:pPr>
      <w:r>
        <w:t xml:space="preserve">материально-технического обеспечения</w:t>
      </w:r>
      <w:r>
        <w:t xml:space="preserve">                                      </w:t>
      </w:r>
      <w:r>
        <w:t xml:space="preserve">  </w:t>
      </w:r>
      <w:r>
        <w:t xml:space="preserve">        </w:t>
      </w:r>
      <w:r>
        <w:t xml:space="preserve">          </w:t>
      </w:r>
      <w:r>
        <w:t xml:space="preserve">  </w:t>
      </w:r>
      <w:r>
        <w:t xml:space="preserve">         А</w:t>
      </w:r>
      <w:r>
        <w:t xml:space="preserve">.И. Гуськов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line="0" w:lineRule="atLeast"/>
      </w:pPr>
      <w:r/>
      <w:r/>
    </w:p>
    <w:p>
      <w:pPr>
        <w:jc w:val="both"/>
        <w:spacing w:line="0" w:lineRule="atLeast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65"/>
        <w:jc w:val="both"/>
      </w:pPr>
      <w:r>
        <w:t xml:space="preserve">Согласовано: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руководителя                                                                                          К.Д. Байбутлов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Н</w:t>
      </w:r>
      <w:r>
        <w:t xml:space="preserve">ачальник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                           </w:t>
      </w:r>
      <w:r>
        <w:t xml:space="preserve"> </w:t>
      </w:r>
      <w:r>
        <w:t xml:space="preserve">      </w:t>
      </w:r>
      <w:r>
        <w:t xml:space="preserve">Е.В. Сутормина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начальника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</w:t>
      </w:r>
      <w:r>
        <w:t xml:space="preserve">                           </w:t>
      </w:r>
      <w:r>
        <w:t xml:space="preserve"> </w:t>
      </w:r>
      <w:r>
        <w:t xml:space="preserve">   </w:t>
      </w:r>
      <w:r>
        <w:t xml:space="preserve">     </w:t>
      </w:r>
      <w:r>
        <w:t xml:space="preserve">Д.А. Пчелкина</w:t>
      </w:r>
      <w:r/>
    </w:p>
    <w:p>
      <w:pPr>
        <w:pStyle w:val="865"/>
        <w:jc w:val="both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Исп.: Гладких Галина Михайловна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 (861) 250-18-3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(доб.36</w:t>
      </w:r>
      <w:r>
        <w:rPr>
          <w:sz w:val="18"/>
          <w:szCs w:val="18"/>
        </w:rPr>
        <w:t xml:space="preserve">11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680" w:bottom="993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Gelvetsky 12pt">
    <w:panose1 w:val="02000603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74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paragraph" w:styleId="867">
    <w:name w:val="Заголовок 2"/>
    <w:basedOn w:val="865"/>
    <w:next w:val="865"/>
    <w:link w:val="880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68">
    <w:name w:val="Основной шрифт абзаца"/>
    <w:next w:val="868"/>
    <w:link w:val="865"/>
    <w:semiHidden/>
  </w:style>
  <w:style w:type="table" w:styleId="869">
    <w:name w:val="Обычная таблица"/>
    <w:next w:val="869"/>
    <w:link w:val="865"/>
    <w:semiHidden/>
    <w:tblPr/>
  </w:style>
  <w:style w:type="numbering" w:styleId="870">
    <w:name w:val="Нет списка"/>
    <w:next w:val="870"/>
    <w:link w:val="865"/>
    <w:semiHidden/>
  </w:style>
  <w:style w:type="table" w:styleId="871">
    <w:name w:val="Сетка таблицы"/>
    <w:basedOn w:val="869"/>
    <w:next w:val="871"/>
    <w:link w:val="865"/>
    <w:tblPr/>
  </w:style>
  <w:style w:type="paragraph" w:styleId="872">
    <w:name w:val="Текст выноски"/>
    <w:basedOn w:val="865"/>
    <w:next w:val="872"/>
    <w:link w:val="865"/>
    <w:semiHidden/>
    <w:rPr>
      <w:rFonts w:ascii="Tahoma" w:hAnsi="Tahoma" w:cs="Tahoma"/>
      <w:sz w:val="16"/>
      <w:szCs w:val="16"/>
    </w:rPr>
  </w:style>
  <w:style w:type="character" w:styleId="873">
    <w:name w:val="Гиперссылка"/>
    <w:next w:val="873"/>
    <w:link w:val="865"/>
    <w:unhideWhenUsed/>
    <w:rPr>
      <w:color w:val="0000ff"/>
      <w:u w:val="single"/>
    </w:rPr>
  </w:style>
  <w:style w:type="character" w:styleId="874">
    <w:name w:val="Заголовок 1 Знак"/>
    <w:next w:val="874"/>
    <w:link w:val="866"/>
    <w:rPr>
      <w:b/>
    </w:rPr>
  </w:style>
  <w:style w:type="paragraph" w:styleId="875">
    <w:name w:val="ConsPlusNormal"/>
    <w:next w:val="875"/>
    <w:link w:val="865"/>
    <w:rPr>
      <w:rFonts w:ascii="Arial" w:hAnsi="Arial" w:eastAsia="Calibri" w:cs="Arial"/>
      <w:lang w:val="ru-RU" w:eastAsia="en-US" w:bidi="ar-SA"/>
    </w:rPr>
  </w:style>
  <w:style w:type="paragraph" w:styleId="876">
    <w:name w:val="текст сноски"/>
    <w:basedOn w:val="865"/>
    <w:next w:val="876"/>
    <w:link w:val="865"/>
    <w:pPr>
      <w:widowControl w:val="off"/>
    </w:pPr>
    <w:rPr>
      <w:rFonts w:ascii="Gelvetsky 12pt" w:hAnsi="Gelvetsky 12pt"/>
      <w:szCs w:val="20"/>
      <w:lang w:val="en-US"/>
    </w:rPr>
  </w:style>
  <w:style w:type="character" w:styleId="877">
    <w:name w:val="Font Style11"/>
    <w:next w:val="877"/>
    <w:link w:val="865"/>
    <w:rPr>
      <w:rFonts w:ascii="Times New Roman" w:hAnsi="Times New Roman" w:cs="Times New Roman"/>
      <w:sz w:val="18"/>
      <w:szCs w:val="18"/>
    </w:rPr>
  </w:style>
  <w:style w:type="paragraph" w:styleId="878">
    <w:name w:val="Без интервала"/>
    <w:next w:val="878"/>
    <w:link w:val="865"/>
    <w:uiPriority w:val="99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blk"/>
    <w:next w:val="879"/>
    <w:link w:val="865"/>
  </w:style>
  <w:style w:type="character" w:styleId="880">
    <w:name w:val="Заголовок 2 Знак"/>
    <w:next w:val="880"/>
    <w:link w:val="867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a.nadtochij</cp:lastModifiedBy>
  <cp:revision>103</cp:revision>
  <dcterms:created xsi:type="dcterms:W3CDTF">2019-08-29T13:37:00Z</dcterms:created>
  <dcterms:modified xsi:type="dcterms:W3CDTF">2026-08-10T06:26:49Z</dcterms:modified>
  <cp:version>1048576</cp:version>
</cp:coreProperties>
</file>