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0"/>
        <w:ind w:firstLine="0" w:left="34" w:right="-71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ГОСУДАРСТВЕННЫЙ КОНТРАКТ № _____ (ПРОЕКТ)</w:t>
      </w:r>
    </w:p>
    <w:p w14:paraId="03000000">
      <w:pPr>
        <w:pStyle w:val="Style_2"/>
        <w:widowControl w:val="0"/>
        <w:ind w:firstLine="0" w:left="34" w:right="-71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sz w:val="26"/>
        </w:rPr>
        <w:t>ИКЗ _______________________________________</w:t>
      </w:r>
    </w:p>
    <w:p w14:paraId="04000000">
      <w:pPr>
        <w:widowControl w:val="0"/>
        <w:ind/>
        <w:jc w:val="center"/>
        <w:rPr>
          <w:rFonts w:ascii="XO Thames" w:hAnsi="XO Thames"/>
          <w:b w:val="1"/>
          <w:sz w:val="26"/>
        </w:rPr>
      </w:pPr>
    </w:p>
    <w:p w14:paraId="05000000">
      <w:pPr>
        <w:widowControl w:val="0"/>
        <w:ind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г. Москва                                                                                 </w:t>
      </w:r>
      <w:r>
        <w:rPr>
          <w:rFonts w:ascii="XO Thames" w:hAnsi="XO Thames"/>
          <w:sz w:val="26"/>
        </w:rPr>
        <w:t xml:space="preserve">   «</w:t>
      </w:r>
      <w:r>
        <w:rPr>
          <w:rFonts w:ascii="XO Thames" w:hAnsi="XO Thames"/>
          <w:sz w:val="26"/>
        </w:rPr>
        <w:t>____»_________ 202</w:t>
      </w:r>
      <w:r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г. </w:t>
      </w:r>
    </w:p>
    <w:p w14:paraId="06000000">
      <w:pPr>
        <w:widowControl w:val="0"/>
        <w:tabs>
          <w:tab w:leader="none" w:pos="5885" w:val="left"/>
        </w:tabs>
        <w:ind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ab/>
      </w:r>
    </w:p>
    <w:p w14:paraId="07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Федеральное казенное учреждение «Главное управление по обеспечению деятел</w:t>
      </w:r>
      <w:r>
        <w:rPr>
          <w:rFonts w:ascii="XO Thames" w:hAnsi="XO Thames"/>
          <w:sz w:val="26"/>
        </w:rPr>
        <w:t>ьности оперативных подразделений Федеральной службы исполнения наказаний» (ФКУ ГУОДОП ФСИН России), выступая от имени Российской Федерации, именуемое далее «Заказчик» в лице ______________________________, действующего на основании ________________________</w:t>
      </w:r>
      <w:r>
        <w:rPr>
          <w:rFonts w:ascii="XO Thames" w:hAnsi="XO Thames"/>
          <w:sz w:val="26"/>
        </w:rPr>
        <w:t>________</w:t>
      </w:r>
      <w:r>
        <w:rPr>
          <w:rFonts w:ascii="XO Thames" w:hAnsi="XO Thames"/>
          <w:sz w:val="26"/>
        </w:rPr>
        <w:t>, с одной стороны, и _____</w:t>
      </w:r>
      <w:r>
        <w:rPr>
          <w:rFonts w:ascii="XO Thames" w:hAnsi="XO Thames"/>
          <w:sz w:val="26"/>
        </w:rPr>
        <w:t>_____</w:t>
      </w:r>
      <w:r>
        <w:rPr>
          <w:rFonts w:ascii="XO Thames" w:hAnsi="XO Thames"/>
          <w:sz w:val="26"/>
        </w:rPr>
        <w:t>_</w:t>
      </w:r>
      <w:r>
        <w:rPr>
          <w:rFonts w:ascii="XO Thames" w:hAnsi="XO Thames"/>
          <w:sz w:val="26"/>
        </w:rPr>
        <w:t>_</w:t>
      </w:r>
      <w:r>
        <w:rPr>
          <w:rFonts w:ascii="XO Thames" w:hAnsi="XO Thames"/>
          <w:sz w:val="26"/>
        </w:rPr>
        <w:t>___, именуемое далее «Поставщик», в л</w:t>
      </w:r>
      <w:r>
        <w:rPr>
          <w:rFonts w:ascii="XO Thames" w:hAnsi="XO Thames"/>
          <w:sz w:val="26"/>
        </w:rPr>
        <w:t>ице _____________</w:t>
      </w:r>
      <w:r>
        <w:rPr>
          <w:rFonts w:ascii="XO Thames" w:hAnsi="XO Thames"/>
          <w:sz w:val="26"/>
        </w:rPr>
        <w:t xml:space="preserve">______, действующего на основании ______________________________, с другой стороны, вместе именуемые Стороны, а по отдельности Сторона, в соответствии с п. 4 ч. 1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ст. 93 Федерального закона от 05.04.2013 № 44-ФЗ «О контрактной системе в сфере закупок товаров, работ, услуг для обеспечения государ</w:t>
      </w:r>
      <w:r>
        <w:rPr>
          <w:rFonts w:ascii="XO Thames" w:hAnsi="XO Thames"/>
          <w:sz w:val="26"/>
        </w:rPr>
        <w:t xml:space="preserve">ственных и муниципальных нужд» </w:t>
      </w:r>
      <w:r>
        <w:rPr>
          <w:rFonts w:ascii="XO Thames" w:hAnsi="XO Thames"/>
          <w:sz w:val="26"/>
        </w:rPr>
        <w:t>(далее – Закон № 44-ФЗ), заключили наст</w:t>
      </w:r>
      <w:r>
        <w:rPr>
          <w:rFonts w:ascii="XO Thames" w:hAnsi="XO Thames"/>
          <w:sz w:val="26"/>
        </w:rPr>
        <w:t xml:space="preserve">оящий государственный контракт </w:t>
      </w:r>
      <w:r>
        <w:rPr>
          <w:rFonts w:ascii="XO Thames" w:hAnsi="XO Thames"/>
          <w:sz w:val="26"/>
        </w:rPr>
        <w:t>(далее – Контракт) о нижеследующем:</w:t>
      </w:r>
    </w:p>
    <w:p w14:paraId="08000000">
      <w:pPr>
        <w:ind w:firstLine="709" w:left="0"/>
        <w:jc w:val="both"/>
        <w:rPr>
          <w:rFonts w:ascii="XO Thames" w:hAnsi="XO Thames"/>
          <w:sz w:val="26"/>
        </w:rPr>
      </w:pPr>
    </w:p>
    <w:p w14:paraId="09000000">
      <w:pPr>
        <w:widowControl w:val="0"/>
        <w:numPr>
          <w:ilvl w:val="0"/>
          <w:numId w:val="1"/>
        </w:numPr>
        <w:tabs>
          <w:tab w:leader="none" w:pos="300" w:val="left"/>
        </w:tabs>
        <w:ind w:firstLine="0" w:left="425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Предмет Контракта</w:t>
      </w:r>
    </w:p>
    <w:p w14:paraId="0A000000">
      <w:pPr>
        <w:spacing w:line="228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Поставщик обязуется </w:t>
      </w:r>
      <w:r>
        <w:rPr>
          <w:rFonts w:ascii="XO Thames" w:hAnsi="XO Thames"/>
          <w:sz w:val="26"/>
        </w:rPr>
        <w:t>осуществить поставку</w:t>
      </w:r>
      <w:r>
        <w:rPr>
          <w:rFonts w:ascii="XO Thames" w:hAnsi="XO Thames"/>
          <w:sz w:val="26"/>
        </w:rPr>
        <w:t xml:space="preserve"> мебельной продукции</w:t>
      </w:r>
      <w:r>
        <w:rPr>
          <w:rFonts w:ascii="XO Thames" w:hAnsi="XO Thames"/>
          <w:sz w:val="26"/>
        </w:rPr>
        <w:t xml:space="preserve"> </w:t>
      </w:r>
      <w:r>
        <w:br/>
      </w:r>
      <w:r>
        <w:rPr>
          <w:rFonts w:ascii="XO Thames" w:hAnsi="XO Thames"/>
          <w:sz w:val="26"/>
        </w:rPr>
        <w:t xml:space="preserve">(далее – Товар) </w:t>
      </w:r>
      <w:r>
        <w:rPr>
          <w:rFonts w:ascii="XO Thames" w:hAnsi="XO Thames"/>
          <w:sz w:val="26"/>
        </w:rPr>
        <w:t xml:space="preserve">в соответствии со Спецификацией </w:t>
      </w:r>
      <w:bookmarkStart w:id="1" w:name="_Hlk220654183"/>
      <w:r>
        <w:rPr>
          <w:rFonts w:ascii="XO Thames" w:hAnsi="XO Thames"/>
          <w:sz w:val="26"/>
        </w:rPr>
        <w:t>(Приложение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к Контракту)</w:t>
      </w:r>
      <w:bookmarkEnd w:id="1"/>
      <w:r>
        <w:rPr>
          <w:rFonts w:ascii="XO Thames" w:hAnsi="XO Thames"/>
          <w:sz w:val="26"/>
        </w:rPr>
        <w:t>,</w:t>
      </w:r>
      <w:r>
        <w:rPr>
          <w:rFonts w:ascii="XO Thames" w:hAnsi="XO Thames"/>
          <w:sz w:val="26"/>
        </w:rPr>
        <w:t xml:space="preserve"> </w:t>
      </w:r>
      <w:r>
        <w:br/>
      </w:r>
      <w:r>
        <w:rPr>
          <w:rFonts w:ascii="XO Thames" w:hAnsi="XO Thames"/>
          <w:sz w:val="26"/>
        </w:rPr>
        <w:t xml:space="preserve">а Заказчик обязуется принять и оплатить Товар </w:t>
      </w:r>
      <w:r>
        <w:rPr>
          <w:rFonts w:ascii="XO Thames" w:hAnsi="XO Thames"/>
          <w:sz w:val="26"/>
        </w:rPr>
        <w:t xml:space="preserve">в порядке </w:t>
      </w:r>
      <w:r>
        <w:rPr>
          <w:rFonts w:ascii="XO Thames" w:hAnsi="XO Thames"/>
          <w:sz w:val="26"/>
        </w:rPr>
        <w:t>и на условиях, предусмотренных Контрактом.</w:t>
      </w:r>
    </w:p>
    <w:p w14:paraId="0B000000">
      <w:pPr>
        <w:ind w:firstLine="709" w:left="0"/>
        <w:jc w:val="both"/>
        <w:rPr>
          <w:rFonts w:ascii="XO Thames" w:hAnsi="XO Thames"/>
          <w:sz w:val="26"/>
        </w:rPr>
      </w:pPr>
    </w:p>
    <w:p w14:paraId="0C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142" w:left="85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Права и обязанности Сторон</w:t>
      </w:r>
    </w:p>
    <w:p w14:paraId="0D000000">
      <w:pPr>
        <w:widowControl w:val="0"/>
        <w:numPr>
          <w:ilvl w:val="1"/>
          <w:numId w:val="1"/>
        </w:numPr>
        <w:tabs>
          <w:tab w:leader="none" w:pos="1200" w:val="left"/>
        </w:tabs>
        <w:ind w:firstLine="425" w:lef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Поставщик обязан</w:t>
      </w:r>
    </w:p>
    <w:p w14:paraId="0E000000">
      <w:pPr>
        <w:pStyle w:val="Style_3"/>
        <w:numPr>
          <w:ilvl w:val="2"/>
          <w:numId w:val="1"/>
        </w:numPr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Обеспечить поставку</w:t>
      </w:r>
      <w:r>
        <w:rPr>
          <w:rFonts w:ascii="XO Thames" w:hAnsi="XO Thames"/>
          <w:sz w:val="26"/>
        </w:rPr>
        <w:t xml:space="preserve"> и сборку </w:t>
      </w:r>
      <w:r>
        <w:rPr>
          <w:rFonts w:ascii="XO Thames" w:hAnsi="XO Thames"/>
          <w:sz w:val="26"/>
        </w:rPr>
        <w:t xml:space="preserve">Товара </w:t>
      </w:r>
      <w:r>
        <w:rPr>
          <w:rFonts w:ascii="XO Thames" w:hAnsi="XO Thames"/>
          <w:sz w:val="26"/>
        </w:rPr>
        <w:t>З</w:t>
      </w:r>
      <w:r>
        <w:rPr>
          <w:rFonts w:ascii="XO Thames" w:hAnsi="XO Thames"/>
          <w:sz w:val="26"/>
        </w:rPr>
        <w:t xml:space="preserve">аказчику своими силами </w:t>
      </w:r>
      <w:r>
        <w:br/>
      </w:r>
      <w:r>
        <w:rPr>
          <w:rFonts w:ascii="XO Thames" w:hAnsi="XO Thames"/>
          <w:sz w:val="26"/>
        </w:rPr>
        <w:t xml:space="preserve">и за свой счет. </w:t>
      </w:r>
    </w:p>
    <w:p w14:paraId="0F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Поставить Заказчику новый Товар (не бывший в употреблении,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обремененный любыми правами третьих лиц (в том числе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не заложенный, не арестованный, не являющийся предметом спора).</w:t>
      </w:r>
    </w:p>
    <w:p w14:paraId="10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при исполнении Контракта, а также к установленному Контрактом сроку предоставить результаты поставки Товара, предусмотренные Контрактом.</w:t>
      </w:r>
    </w:p>
    <w:p w14:paraId="11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Гарантировать целостность и сохранность Товара при его перевозке, поставке, разгрузке, сборке, складировании и передаче (доставке, хранении) Заказчику.</w:t>
      </w:r>
    </w:p>
    <w:p w14:paraId="12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С поставляемым Товаром передать Заказчику документы, предусмотренные пунктом 3.9. Контракта. </w:t>
      </w:r>
    </w:p>
    <w:p w14:paraId="13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случае изменения реквизитов в течение 1 (одного) рабочего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дня в письменной форме сообщить об этом Заказчику, указав новые реквизиты.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противном случае, все риски, связанные с перечислением Заказчиком денежных средств по указанным в Контракте реквизитам Поставщика, несет Поставщик.</w:t>
      </w:r>
    </w:p>
    <w:p w14:paraId="14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Выполнить в полном объеме иные обязанности, предусмотренные законодательством Российской Федерации и Контрактом.</w:t>
      </w:r>
    </w:p>
    <w:p w14:paraId="15000000">
      <w:pPr>
        <w:pStyle w:val="Style_4"/>
        <w:tabs>
          <w:tab w:leader="none" w:pos="1310" w:val="left"/>
        </w:tabs>
        <w:ind w:firstLine="0" w:left="710"/>
        <w:jc w:val="both"/>
        <w:rPr>
          <w:rFonts w:ascii="XO Thames" w:hAnsi="XO Thames"/>
          <w:sz w:val="26"/>
        </w:rPr>
      </w:pPr>
    </w:p>
    <w:p w14:paraId="16000000">
      <w:pPr>
        <w:numPr>
          <w:ilvl w:val="1"/>
          <w:numId w:val="1"/>
        </w:numPr>
        <w:tabs>
          <w:tab w:leader="none" w:pos="1250" w:val="left"/>
        </w:tabs>
        <w:ind w:hanging="1" w:left="709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Поставщик имеет право</w:t>
      </w:r>
    </w:p>
    <w:p w14:paraId="17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Требовать от Заказчика оплаты поставленного Товара в порядке, предусмотренном Контрактом.</w:t>
      </w:r>
    </w:p>
    <w:p w14:paraId="18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 согласии Заказчика, осуществить поставку (передачу) Товара досрочно.</w:t>
      </w:r>
    </w:p>
    <w:p w14:paraId="19000000">
      <w:pPr>
        <w:pStyle w:val="Style_5"/>
        <w:numPr>
          <w:ilvl w:val="2"/>
          <w:numId w:val="1"/>
        </w:numPr>
        <w:tabs>
          <w:tab w:leader="none" w:pos="953" w:val="left"/>
          <w:tab w:leader="none" w:pos="1224" w:val="left"/>
          <w:tab w:leader="none" w:pos="1418" w:val="left"/>
        </w:tabs>
        <w:spacing w:after="0"/>
        <w:ind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Взыскать неустойку (пени, штраф) в соответствии с условиями Контракта за неисполнение, ненадлежащее исполнение Заказчиком</w:t>
      </w: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sz w:val="26"/>
        </w:rPr>
        <w:t>обязательств, предусмотренных Контрактом.</w:t>
      </w:r>
    </w:p>
    <w:p w14:paraId="1A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Принять решение об одностороннем отказе от исполнения Контракта,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по основаниям, предусмотренным Гражданским кодексом Российской Федерации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для одностороннего отказа от исполнения отдельных видов обязательств.</w:t>
      </w:r>
    </w:p>
    <w:p w14:paraId="1B000000">
      <w:pPr>
        <w:pStyle w:val="Style_3"/>
        <w:widowControl w:val="0"/>
        <w:ind w:firstLine="0" w:left="710"/>
        <w:rPr>
          <w:rFonts w:ascii="XO Thames" w:hAnsi="XO Thames"/>
          <w:sz w:val="26"/>
        </w:rPr>
      </w:pPr>
    </w:p>
    <w:p w14:paraId="1C000000">
      <w:pPr>
        <w:widowControl w:val="0"/>
        <w:numPr>
          <w:ilvl w:val="1"/>
          <w:numId w:val="1"/>
        </w:numPr>
        <w:tabs>
          <w:tab w:leader="none" w:pos="1276" w:val="left"/>
        </w:tabs>
        <w:ind w:hanging="1" w:left="85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Заказчик обязан</w:t>
      </w:r>
    </w:p>
    <w:p w14:paraId="1D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Принять поставленный товар по акту приемки товаров, работ, услуг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(ф. 0510452)</w:t>
      </w:r>
      <w:r>
        <w:rPr>
          <w:rFonts w:ascii="XO Thames" w:hAnsi="XO Thames"/>
          <w:sz w:val="26"/>
          <w:vertAlign w:val="superscript"/>
        </w:rPr>
        <w:footnoteReference w:id="1"/>
      </w:r>
      <w:r>
        <w:rPr>
          <w:rFonts w:ascii="XO Thames" w:hAnsi="XO Thames"/>
          <w:sz w:val="26"/>
        </w:rPr>
        <w:t xml:space="preserve"> в соответствии с условиями Контракта. При приемке Товара осуществить проверку качества, количества и комплектности в соответствии </w:t>
      </w:r>
      <w:r>
        <w:rPr>
          <w:rFonts w:ascii="XO Thames" w:hAnsi="XO Thames"/>
        </w:rPr>
        <w:br/>
      </w:r>
      <w:r>
        <w:rPr>
          <w:rFonts w:ascii="XO Thames" w:hAnsi="XO Thames"/>
          <w:sz w:val="26"/>
        </w:rPr>
        <w:t>с требованиями Контракта.</w:t>
      </w:r>
    </w:p>
    <w:p w14:paraId="1E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Провести экспертизу поставленного Поставщиком Товара, в части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его соответствия условиям Контракта. </w:t>
      </w:r>
    </w:p>
    <w:p w14:paraId="1F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Оплатить Товар в порядке и сроки</w:t>
      </w:r>
      <w:r>
        <w:rPr>
          <w:rFonts w:ascii="XO Thames" w:hAnsi="XO Thames"/>
          <w:sz w:val="26"/>
        </w:rPr>
        <w:t>,</w:t>
      </w:r>
      <w:r>
        <w:rPr>
          <w:rFonts w:ascii="XO Thames" w:hAnsi="XO Thames"/>
          <w:sz w:val="26"/>
        </w:rPr>
        <w:t xml:space="preserve"> установленные Контрактом.</w:t>
      </w:r>
    </w:p>
    <w:p w14:paraId="20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Уменьшить сумму, подлежащую уплате Заказчиком Поставщику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1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Взыскивать неустойку (пени, штраф) в соответствии с условиями Контракта за неисполнение, ненадлежащее исполнение Поставщиком обязательств, предусмотренных Контрактом.</w:t>
      </w:r>
    </w:p>
    <w:p w14:paraId="22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Выполнить в полном объеме иные обязанности, предусмотренные законодательством Российской Федерации и Контрактом.</w:t>
      </w:r>
    </w:p>
    <w:p w14:paraId="23000000">
      <w:pPr>
        <w:pStyle w:val="Style_3"/>
        <w:widowControl w:val="0"/>
        <w:ind w:firstLine="0" w:left="710"/>
        <w:rPr>
          <w:rFonts w:ascii="XO Thames" w:hAnsi="XO Thames"/>
          <w:sz w:val="26"/>
        </w:rPr>
      </w:pPr>
    </w:p>
    <w:p w14:paraId="24000000">
      <w:pPr>
        <w:widowControl w:val="0"/>
        <w:numPr>
          <w:ilvl w:val="1"/>
          <w:numId w:val="1"/>
        </w:numPr>
        <w:ind w:hanging="1" w:left="1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Заказчик имеет право</w:t>
      </w:r>
    </w:p>
    <w:p w14:paraId="25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случае нарушения Поставщиком требований к качеству, количеству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комплектности Товара по своему выбору:</w:t>
      </w:r>
    </w:p>
    <w:p w14:paraId="26000000">
      <w:pPr>
        <w:widowControl w:val="0"/>
        <w:ind w:firstLine="720" w:left="-1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потребовать от Поставщика безвозмездного устранения недостатков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разумный срок;</w:t>
      </w:r>
    </w:p>
    <w:p w14:paraId="27000000">
      <w:pPr>
        <w:widowControl w:val="0"/>
        <w:ind w:firstLine="720" w:left="-1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потребовать замены Товара, Товаром, соответствующим Контракту.</w:t>
      </w:r>
    </w:p>
    <w:p w14:paraId="28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Предъявлять непосредственно Поставщику требования к качеству, количеству, комплектности и срокам поставки Товара и иные требования, установленные законодательством Российской Федерации и Контрактом.</w:t>
      </w:r>
    </w:p>
    <w:p w14:paraId="29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Не производить оплату по Контракту в следующих случаях:</w:t>
      </w:r>
    </w:p>
    <w:p w14:paraId="2A000000">
      <w:pPr>
        <w:widowControl w:val="0"/>
        <w:ind w:firstLine="720" w:left="-1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непредставления Поставщиком документов</w:t>
      </w:r>
      <w:r>
        <w:rPr>
          <w:rFonts w:ascii="XO Thames" w:hAnsi="XO Thames"/>
          <w:sz w:val="26"/>
        </w:rPr>
        <w:t>,</w:t>
      </w:r>
      <w:r>
        <w:rPr>
          <w:rFonts w:ascii="XO Thames" w:hAnsi="XO Thames"/>
          <w:sz w:val="26"/>
        </w:rPr>
        <w:t xml:space="preserve"> предусмотренных Контрактом;</w:t>
      </w:r>
    </w:p>
    <w:p w14:paraId="2B000000">
      <w:pPr>
        <w:widowControl w:val="0"/>
        <w:ind w:firstLine="720" w:left="-1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неисполнения либо ненадлежащего исполнения Поставщиком условий </w:t>
      </w:r>
      <w:r>
        <w:rPr>
          <w:rFonts w:ascii="XO Thames" w:hAnsi="XO Thames"/>
          <w:sz w:val="26"/>
        </w:rPr>
        <w:t>Контракта.</w:t>
      </w:r>
    </w:p>
    <w:p w14:paraId="2C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Удержать сумму неисполненных Поставщиком требований об уплате неустоек (штрафов, пеней), предъявленных Заказчиком в соответствии с Законом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№ 44-ФЗ и Контрактом, из суммы, подлежащей оплате Поставщику.</w:t>
      </w:r>
    </w:p>
    <w:p w14:paraId="2D000000">
      <w:pPr>
        <w:pStyle w:val="Style_3"/>
        <w:widowControl w:val="0"/>
        <w:numPr>
          <w:ilvl w:val="2"/>
          <w:numId w:val="1"/>
        </w:numPr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Принять решение об одностороннем отказе от исполнения Контракта,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соответствии с положениями статьи 95 Закона № 44-ФЗ.</w:t>
      </w:r>
    </w:p>
    <w:p w14:paraId="2E000000">
      <w:pPr>
        <w:pStyle w:val="Style_3"/>
        <w:widowControl w:val="0"/>
        <w:ind w:firstLine="0" w:left="710"/>
        <w:rPr>
          <w:rFonts w:ascii="XO Thames" w:hAnsi="XO Thames"/>
          <w:sz w:val="26"/>
        </w:rPr>
      </w:pPr>
    </w:p>
    <w:p w14:paraId="2F000000">
      <w:pPr>
        <w:pStyle w:val="Style_3"/>
        <w:widowControl w:val="0"/>
        <w:numPr>
          <w:ilvl w:val="0"/>
          <w:numId w:val="2"/>
        </w:numPr>
        <w:tabs>
          <w:tab w:leader="none" w:pos="993" w:val="lef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Цена Контракта и порядок расчетов</w:t>
      </w:r>
    </w:p>
    <w:p w14:paraId="30000000">
      <w:pPr>
        <w:pStyle w:val="Style_4"/>
        <w:numPr>
          <w:ilvl w:val="1"/>
          <w:numId w:val="2"/>
        </w:numPr>
        <w:tabs>
          <w:tab w:leader="none" w:pos="1276" w:val="left"/>
        </w:tabs>
        <w:ind w:firstLine="71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Цена Контракта составляет _______ (_______) рублей ___ копеек,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учетом НДС 2</w:t>
      </w:r>
      <w:r>
        <w:rPr>
          <w:rFonts w:ascii="XO Thames" w:hAnsi="XO Thames"/>
          <w:sz w:val="26"/>
        </w:rPr>
        <w:t>2</w:t>
      </w:r>
      <w:r>
        <w:rPr>
          <w:rFonts w:ascii="XO Thames" w:hAnsi="XO Thames"/>
          <w:sz w:val="26"/>
        </w:rPr>
        <w:t xml:space="preserve">% ____ (_____) рублей ___ копеек </w:t>
      </w:r>
      <w:r>
        <w:rPr>
          <w:rFonts w:ascii="XO Thames" w:hAnsi="XO Thames"/>
          <w:i w:val="1"/>
          <w:sz w:val="26"/>
        </w:rPr>
        <w:t xml:space="preserve">(в случае освобождения стороны Контракта в соответствии с Налоговым кодексом Российской Федерации </w:t>
      </w:r>
      <w:r>
        <w:rPr>
          <w:rFonts w:ascii="XO Thames" w:hAnsi="XO Thames"/>
          <w:i w:val="1"/>
          <w:sz w:val="26"/>
        </w:rPr>
        <w:t>от уплаты НДС, указывается НДС не облагается на основании 346.11 Налогового кодекса Российской Федерации)</w:t>
      </w:r>
      <w:r>
        <w:rPr>
          <w:rFonts w:ascii="XO Thames" w:hAnsi="XO Thames"/>
          <w:sz w:val="26"/>
        </w:rPr>
        <w:t>,</w:t>
      </w:r>
      <w:r>
        <w:rPr>
          <w:rFonts w:ascii="XO Thames" w:hAnsi="XO Thames"/>
          <w:i w:val="1"/>
          <w:sz w:val="26"/>
        </w:rPr>
        <w:t xml:space="preserve"> </w:t>
      </w:r>
      <w:r>
        <w:rPr>
          <w:rFonts w:ascii="XO Thames" w:hAnsi="XO Thames"/>
          <w:sz w:val="26"/>
        </w:rPr>
        <w:t xml:space="preserve">является твердой и определяется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 в</w:t>
      </w:r>
      <w:r>
        <w:rPr>
          <w:rFonts w:ascii="XO Thames" w:hAnsi="XO Thames"/>
          <w:sz w:val="26"/>
        </w:rPr>
        <w:t>есь срок его исполнения.</w:t>
      </w:r>
    </w:p>
    <w:p w14:paraId="31000000">
      <w:pPr>
        <w:pStyle w:val="Style_4"/>
        <w:numPr>
          <w:ilvl w:val="1"/>
          <w:numId w:val="2"/>
        </w:numPr>
        <w:tabs>
          <w:tab w:leader="none" w:pos="1276" w:val="left"/>
        </w:tabs>
        <w:ind w:firstLine="71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Цена Контракта включает в себя: стоимость Товара, расходы, связанные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доставкой, разгрузкой - погрузкой, размещением в местах хранения Заказчика, сборку Товара, стоимость упаковки (тары), маркировки, страхование, таможенные платежи (пошлины), НДС, другие установленные налоги, сборы и иные расходы, связанные </w:t>
      </w:r>
      <w:r>
        <w:rPr>
          <w:rFonts w:ascii="XO Thames" w:hAnsi="XO Thames"/>
          <w:sz w:val="26"/>
        </w:rPr>
        <w:t>с исполнением Контракта.</w:t>
      </w:r>
      <w:r>
        <w:rPr>
          <w:rFonts w:ascii="XO Thames" w:hAnsi="XO Thames"/>
          <w:sz w:val="26"/>
          <w:vertAlign w:val="superscript"/>
        </w:rPr>
        <w:t> </w:t>
      </w:r>
    </w:p>
    <w:p w14:paraId="32000000">
      <w:pPr>
        <w:pStyle w:val="Style_4"/>
        <w:numPr>
          <w:ilvl w:val="1"/>
          <w:numId w:val="2"/>
        </w:numPr>
        <w:tabs>
          <w:tab w:leader="none" w:pos="1276" w:val="left"/>
        </w:tabs>
        <w:ind w:firstLine="71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Оплата по Контракту производится Заказчиком по безналичному рас</w:t>
      </w:r>
      <w:r>
        <w:rPr>
          <w:rFonts w:ascii="XO Thames" w:hAnsi="XO Thames"/>
          <w:sz w:val="26"/>
        </w:rPr>
        <w:t>чету, путем перечисления на расчетный счет Поставщика денежных средств, выделяемых из федерального бюджета, в пределах, лимитов бюджетных обязательств, доведенных Заказчику на текущий финансовый год по факту поставки товара в объеме согласно Спецификации (</w:t>
      </w:r>
      <w:r>
        <w:rPr>
          <w:rFonts w:ascii="XO Thames" w:hAnsi="XO Thames"/>
          <w:sz w:val="26"/>
        </w:rPr>
        <w:t>Приложение к Контракту</w:t>
      </w:r>
      <w:r>
        <w:rPr>
          <w:rFonts w:ascii="XO Thames" w:hAnsi="XO Thames"/>
          <w:sz w:val="26"/>
        </w:rPr>
        <w:t xml:space="preserve">),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но не выше цены Контракта в срок не более 7 (семи) рабочих дней со дня подписания Заказчиком (или его уполномоченным представителем) акта </w:t>
      </w:r>
      <w:r>
        <w:rPr>
          <w:rFonts w:ascii="XO Thames" w:hAnsi="XO Thames"/>
        </w:rPr>
        <w:br/>
      </w:r>
      <w:r>
        <w:rPr>
          <w:rFonts w:ascii="XO Thames" w:hAnsi="XO Thames"/>
          <w:sz w:val="26"/>
        </w:rPr>
        <w:t xml:space="preserve">(ф. 0510452), товарной накладной (ТОРГ-12) либо универсальный передаточный документ (далее – УПД) (при отсутствии замечаний Заказчика), на основании выставленного Поставщиком счета, но не позднее, чем за один рабочий день </w:t>
      </w:r>
      <w:r>
        <w:rPr>
          <w:rFonts w:ascii="XO Thames" w:hAnsi="XO Thames"/>
        </w:rPr>
        <w:br/>
      </w:r>
      <w:r>
        <w:rPr>
          <w:rFonts w:ascii="XO Thames" w:hAnsi="XO Thames"/>
          <w:sz w:val="26"/>
        </w:rPr>
        <w:t>до окончания текущего финансового года.</w:t>
      </w:r>
    </w:p>
    <w:p w14:paraId="33000000">
      <w:pPr>
        <w:numPr>
          <w:ilvl w:val="1"/>
          <w:numId w:val="2"/>
        </w:numPr>
        <w:tabs>
          <w:tab w:leader="none" w:pos="1134" w:val="left"/>
        </w:tabs>
        <w:ind w:firstLine="709" w:left="0" w:right="1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Обязанности Заказчика по оплате считаются исполненными с момента списания денежных средств со счета Заказчика.</w:t>
      </w:r>
    </w:p>
    <w:p w14:paraId="34000000">
      <w:pPr>
        <w:pStyle w:val="Style_6"/>
        <w:numPr>
          <w:ilvl w:val="1"/>
          <w:numId w:val="2"/>
        </w:numPr>
        <w:tabs>
          <w:tab w:leader="none" w:pos="1134" w:val="left"/>
        </w:tabs>
        <w:spacing w:after="0" w:line="240" w:lineRule="auto"/>
        <w:ind w:firstLine="709" w:left="0" w:right="1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Документы на оплату выставляются единовременно с поставкой товара.</w:t>
      </w:r>
    </w:p>
    <w:p w14:paraId="35000000">
      <w:pPr>
        <w:pStyle w:val="Style_6"/>
        <w:numPr>
          <w:ilvl w:val="1"/>
          <w:numId w:val="2"/>
        </w:numPr>
        <w:tabs>
          <w:tab w:leader="none" w:pos="1134" w:val="left"/>
        </w:tabs>
        <w:spacing w:after="0" w:line="240" w:lineRule="auto"/>
        <w:ind w:firstLine="709" w:left="0" w:right="1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цену Контракта включены все расходы Поставщика, связанные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поставкой, сборкой товара, включая страхование, уплату таможенных платежей, налогов, сборов и других обязательных платежей.</w:t>
      </w:r>
    </w:p>
    <w:p w14:paraId="36000000">
      <w:pPr>
        <w:pStyle w:val="Style_6"/>
        <w:numPr>
          <w:ilvl w:val="1"/>
          <w:numId w:val="2"/>
        </w:numPr>
        <w:tabs>
          <w:tab w:leader="none" w:pos="568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Цена Контракта подлежит уменьшению на размер налогов, сборов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и иных обязательных платежей в бюджеты бюджетной системы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Российской Федерации связанных с оплатой Контракта, если в соответствии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7000000">
      <w:pPr>
        <w:pStyle w:val="Style_6"/>
        <w:numPr>
          <w:ilvl w:val="1"/>
          <w:numId w:val="2"/>
        </w:numPr>
        <w:tabs>
          <w:tab w:leader="none" w:pos="1134" w:val="left"/>
        </w:tabs>
        <w:spacing w:after="0" w:line="240" w:lineRule="auto"/>
        <w:ind w:firstLine="709" w:left="0" w:right="1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случае неисполнения или </w:t>
      </w:r>
      <w:r>
        <w:rPr>
          <w:rFonts w:ascii="XO Thames" w:hAnsi="XO Thames"/>
          <w:sz w:val="26"/>
        </w:rPr>
        <w:t xml:space="preserve">ненадлежащего исполнения Поставщиком обязательств, предусмотренных Контрактом, Заказчик вправе удержать сумму неисполненных Поставщиком требований об уплате неустоек (штрафов, пеней), предъявленных Заказчиком в соответствии с Законом № 44-ФЗ и Контрактом,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из суммы, подлежащей оплате Поставщику.</w:t>
      </w:r>
    </w:p>
    <w:p w14:paraId="38000000">
      <w:pPr>
        <w:pStyle w:val="Style_3"/>
        <w:tabs>
          <w:tab w:leader="none" w:pos="1276" w:val="left"/>
        </w:tabs>
        <w:ind w:firstLine="709" w:lef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3.9.</w:t>
      </w:r>
      <w:r>
        <w:rPr>
          <w:rFonts w:ascii="XO Thames" w:hAnsi="XO Thames"/>
          <w:sz w:val="26"/>
        </w:rPr>
        <w:t xml:space="preserve"> Перечень первичных учетных документов, формируемых Поставщиком: счет на оплату Товара с указанием банковских реквизитов Поставщика, предмета Контракта и его реквизитов; счет-фактура (в случаях, установленных ст. 169 Налогового кодекса Российской Федерации</w:t>
      </w:r>
      <w:r>
        <w:rPr>
          <w:rFonts w:ascii="XO Thames" w:hAnsi="XO Thames"/>
          <w:sz w:val="26"/>
        </w:rPr>
        <w:t>),  товарная</w:t>
      </w:r>
      <w:r>
        <w:rPr>
          <w:rFonts w:ascii="XO Thames" w:hAnsi="XO Thames"/>
          <w:sz w:val="26"/>
        </w:rPr>
        <w:t xml:space="preserve"> накладная (ТОРГ-12) либо УПД.</w:t>
      </w:r>
    </w:p>
    <w:p w14:paraId="39000000">
      <w:pPr>
        <w:pStyle w:val="Style_3"/>
        <w:tabs>
          <w:tab w:leader="none" w:pos="1276" w:val="left"/>
        </w:tabs>
        <w:ind w:firstLine="709" w:lef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3.10. Перечень первичных учетных документов, формируемых Заказчиком: акт приемки Товара (ф. 0510452).</w:t>
      </w:r>
    </w:p>
    <w:p w14:paraId="3A000000">
      <w:pPr>
        <w:pStyle w:val="Style_3"/>
        <w:tabs>
          <w:tab w:leader="none" w:pos="1276" w:val="left"/>
        </w:tabs>
        <w:ind w:firstLine="709" w:left="0"/>
        <w:rPr>
          <w:rFonts w:ascii="XO Thames" w:hAnsi="XO Thames"/>
          <w:sz w:val="26"/>
        </w:rPr>
      </w:pPr>
    </w:p>
    <w:p w14:paraId="3B000000">
      <w:pPr>
        <w:pStyle w:val="Style_7"/>
        <w:numPr>
          <w:ilvl w:val="0"/>
          <w:numId w:val="2"/>
        </w:numPr>
        <w:spacing w:line="240" w:lineRule="auto"/>
        <w:ind w:right="-71"/>
        <w:contextualSpacing w:val="1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Тара, упаковка и маркировка</w:t>
      </w:r>
    </w:p>
    <w:p w14:paraId="3C000000">
      <w:pPr>
        <w:pStyle w:val="Style_3"/>
        <w:ind w:firstLine="709" w:lef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4.1. Товар должен быть </w:t>
      </w:r>
      <w:r>
        <w:rPr>
          <w:rFonts w:ascii="XO Thames" w:hAnsi="XO Thames"/>
          <w:sz w:val="26"/>
        </w:rPr>
        <w:t>затарен</w:t>
      </w:r>
      <w:r>
        <w:rPr>
          <w:rFonts w:ascii="XO Thames" w:hAnsi="XO Thames"/>
          <w:sz w:val="26"/>
        </w:rPr>
        <w:t>, упакован и замаркирован, в соответствии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действующими стандартами, техническими условиями и условиями Контракта таким образом, чтобы обеспечить его сохранность при транспортировке различными видами транспорта до пункта назначения с учетом многочисленных перегрузок </w:t>
      </w:r>
      <w:r>
        <w:rPr>
          <w:rFonts w:ascii="XO Thames" w:hAnsi="XO Thames"/>
          <w:sz w:val="26"/>
        </w:rPr>
        <w:t>и хранения.</w:t>
      </w:r>
    </w:p>
    <w:p w14:paraId="3D000000">
      <w:pPr>
        <w:pStyle w:val="Style_3"/>
        <w:ind w:firstLine="709" w:lef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4.2. Тара и упаковка возврату не подлежат, их стоимость включена в цену Контракта. </w:t>
      </w:r>
    </w:p>
    <w:p w14:paraId="3E000000">
      <w:pPr>
        <w:pStyle w:val="Style_3"/>
        <w:ind w:firstLine="709" w:lef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4.3.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</w:t>
      </w:r>
      <w:r>
        <w:rPr>
          <w:rFonts w:ascii="XO Thames" w:hAnsi="XO Thames"/>
          <w:sz w:val="26"/>
        </w:rPr>
        <w:t>непоставленным</w:t>
      </w:r>
      <w:r>
        <w:rPr>
          <w:rFonts w:ascii="XO Thames" w:hAnsi="XO Thames"/>
          <w:sz w:val="26"/>
        </w:rPr>
        <w:t xml:space="preserve"> и приемке не подлежит.</w:t>
      </w:r>
    </w:p>
    <w:p w14:paraId="3F000000">
      <w:pPr>
        <w:pStyle w:val="Style_7"/>
        <w:spacing w:line="240" w:lineRule="auto"/>
        <w:ind w:firstLine="0" w:left="709" w:right="-71"/>
        <w:contextualSpacing w:val="1"/>
        <w:rPr>
          <w:rFonts w:ascii="XO Thames" w:hAnsi="XO Thames"/>
          <w:sz w:val="26"/>
        </w:rPr>
      </w:pPr>
    </w:p>
    <w:p w14:paraId="40000000">
      <w:pPr>
        <w:pStyle w:val="Style_3"/>
        <w:numPr>
          <w:ilvl w:val="0"/>
          <w:numId w:val="2"/>
        </w:numPr>
        <w:tabs>
          <w:tab w:leader="none" w:pos="1418" w:val="lef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Порядок поставки Товара</w:t>
      </w:r>
    </w:p>
    <w:p w14:paraId="41000000">
      <w:pPr>
        <w:pStyle w:val="Style_8"/>
        <w:spacing w:line="240" w:lineRule="auto"/>
        <w:ind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5.1. Поставщик уведомляет Заказчика о готовности поставки (передачи) Товара в порядке, предусмотренном в Контракте.</w:t>
      </w:r>
    </w:p>
    <w:p w14:paraId="42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Поставщик обязуется своими силами произвести поставку Товара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по адресу: г. Москва,</w:t>
      </w:r>
      <w:r>
        <w:rPr>
          <w:rFonts w:ascii="XO Thames" w:hAnsi="XO Thames"/>
          <w:sz w:val="26"/>
        </w:rPr>
        <w:t xml:space="preserve"> Ц</w:t>
      </w:r>
      <w:r>
        <w:rPr>
          <w:rFonts w:ascii="XO Thames" w:hAnsi="XO Thames"/>
          <w:sz w:val="26"/>
        </w:rPr>
        <w:t xml:space="preserve">АО, </w:t>
      </w:r>
      <w:r>
        <w:rPr>
          <w:rFonts w:ascii="XO Thames" w:hAnsi="XO Thames"/>
        </w:rPr>
        <w:t xml:space="preserve">район Замоскворечье </w:t>
      </w:r>
      <w:r>
        <w:rPr>
          <w:rFonts w:ascii="XO Thames" w:hAnsi="XO Thames"/>
          <w:sz w:val="26"/>
        </w:rPr>
        <w:t xml:space="preserve">(точный адрес будет сообщен Поставщику в течение 2 (двух) календарных дней с даты заключения Контракта </w:t>
      </w:r>
      <w:r>
        <w:rPr>
          <w:rFonts w:ascii="XO Thames" w:hAnsi="XO Thames"/>
        </w:rPr>
        <w:br/>
      </w:r>
      <w:r>
        <w:rPr>
          <w:rFonts w:ascii="XO Thames" w:hAnsi="XO Thames"/>
          <w:sz w:val="26"/>
        </w:rPr>
        <w:t xml:space="preserve">не позднее </w:t>
      </w:r>
      <w:r>
        <w:rPr>
          <w:rFonts w:ascii="XO Thames" w:hAnsi="XO Thames"/>
          <w:sz w:val="26"/>
        </w:rPr>
        <w:t>30</w:t>
      </w:r>
      <w:r>
        <w:rPr>
          <w:rFonts w:ascii="XO Thames" w:hAnsi="XO Thames"/>
          <w:sz w:val="26"/>
        </w:rPr>
        <w:t xml:space="preserve"> (</w:t>
      </w:r>
      <w:r>
        <w:rPr>
          <w:rFonts w:ascii="XO Thames" w:hAnsi="XO Thames"/>
          <w:sz w:val="26"/>
        </w:rPr>
        <w:t>тридцати</w:t>
      </w:r>
      <w:r>
        <w:rPr>
          <w:rFonts w:ascii="XO Thames" w:hAnsi="XO Thames"/>
          <w:sz w:val="26"/>
        </w:rPr>
        <w:t>) рабочих</w:t>
      </w:r>
      <w:r>
        <w:rPr>
          <w:rFonts w:ascii="XO Thames" w:hAnsi="XO Thames"/>
          <w:sz w:val="26"/>
        </w:rPr>
        <w:t xml:space="preserve"> дней с даты заключения Контракта.</w:t>
      </w:r>
    </w:p>
    <w:p w14:paraId="43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5.2. Поставка некомплектного Товара не допускается.</w:t>
      </w:r>
    </w:p>
    <w:p w14:paraId="44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5.3. Поставка Товара частями не допускается.</w:t>
      </w:r>
    </w:p>
    <w:p w14:paraId="45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5.4. Передача (доставка, вручение) Товара Заказчику осуществляется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одновременным представлением документов, указанных в пункте 3.9. Контракта. </w:t>
      </w:r>
    </w:p>
    <w:p w14:paraId="46000000">
      <w:pPr>
        <w:pStyle w:val="Style_3"/>
        <w:ind w:firstLine="0" w:left="710"/>
        <w:rPr>
          <w:rFonts w:ascii="XO Thames" w:hAnsi="XO Thames"/>
          <w:sz w:val="26"/>
        </w:rPr>
      </w:pPr>
    </w:p>
    <w:p w14:paraId="47000000">
      <w:pPr>
        <w:pStyle w:val="Style_3"/>
        <w:widowControl w:val="0"/>
        <w:numPr>
          <w:ilvl w:val="0"/>
          <w:numId w:val="2"/>
        </w:numPr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Качество товара, порядок и срок проведения экспертизы, приемки товара, оформления результатов приемки</w:t>
      </w:r>
    </w:p>
    <w:p w14:paraId="48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6.1.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</w:t>
      </w:r>
    </w:p>
    <w:p w14:paraId="49000000">
      <w:pPr>
        <w:widowControl w:val="0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6.2.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Экспертиза производится Заказчиком своими силами или </w:t>
      </w:r>
      <w:r>
        <w:rPr>
          <w:rFonts w:ascii="XO Thames" w:hAnsi="XO Thames"/>
        </w:rPr>
        <w:br/>
      </w:r>
      <w:r>
        <w:rPr>
          <w:rFonts w:ascii="XO Thames" w:hAnsi="XO Thames"/>
          <w:sz w:val="26"/>
        </w:rPr>
        <w:t>к её проведению могут привлекаться эксперты, экспертные организации.</w:t>
      </w:r>
    </w:p>
    <w:p w14:paraId="4A000000">
      <w:pPr>
        <w:widowControl w:val="0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6.3. Товар, признанный по результатам проведенной экспертизы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не соответствующим требованиям Контракта, приёмке не подлежит и считается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непоставленным</w:t>
      </w:r>
      <w:r>
        <w:rPr>
          <w:rFonts w:ascii="XO Thames" w:hAnsi="XO Thames"/>
          <w:sz w:val="26"/>
        </w:rPr>
        <w:t>.</w:t>
      </w:r>
    </w:p>
    <w:p w14:paraId="4B000000">
      <w:pPr>
        <w:widowControl w:val="0"/>
        <w:tabs>
          <w:tab w:leader="none" w:pos="1134" w:val="left"/>
        </w:tabs>
        <w:ind w:firstLine="709" w:left="0" w:right="1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6.4.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Приемка поставленного товара будет произведена уполномоченным представителем Заказчика (в случае создания приемочной комиссии приемка производится членами комиссии) в течение </w:t>
      </w:r>
      <w:r>
        <w:rPr>
          <w:rFonts w:ascii="XO Thames" w:hAnsi="XO Thames"/>
          <w:sz w:val="26"/>
        </w:rPr>
        <w:t>20</w:t>
      </w:r>
      <w:r>
        <w:rPr>
          <w:rFonts w:ascii="XO Thames" w:hAnsi="XO Thames"/>
          <w:sz w:val="26"/>
        </w:rPr>
        <w:t xml:space="preserve"> рабочих дней с даты поставки товара в части соответствия его качеству, количеству, ассортименту, объему требований, предусмотренным условиями Контракта. Заказчик производит приемку товара </w:t>
      </w:r>
      <w:r>
        <w:rPr>
          <w:rFonts w:ascii="XO Thames" w:hAnsi="XO Thames"/>
          <w:sz w:val="26"/>
        </w:rPr>
        <w:t xml:space="preserve">по акту (ф. 0510452) в соответствии с характеристиками, указанными </w:t>
      </w:r>
      <w:r>
        <w:rPr>
          <w:rFonts w:ascii="XO Thames" w:hAnsi="XO Thames"/>
          <w:sz w:val="26"/>
        </w:rPr>
        <w:t>в Спецификации (</w:t>
      </w:r>
      <w:r>
        <w:rPr>
          <w:rFonts w:ascii="XO Thames" w:hAnsi="XO Thames"/>
          <w:sz w:val="26"/>
        </w:rPr>
        <w:t>Приложение к Контракту</w:t>
      </w:r>
      <w:r>
        <w:rPr>
          <w:rFonts w:ascii="XO Thames" w:hAnsi="XO Thames"/>
          <w:sz w:val="26"/>
        </w:rPr>
        <w:t xml:space="preserve">) и визуальным осмотром на наличие или отсутствие внешних повреждений. </w:t>
      </w:r>
    </w:p>
    <w:p w14:paraId="4C000000">
      <w:pPr>
        <w:widowControl w:val="0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6.5.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Датой приемки товара считается день подписания Заказчиком (в случае создания приемочной комиссии подписания всеми членами комиссии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утверждения Заказчиком) акта (ф. 0510452) (без замечаний).</w:t>
      </w:r>
    </w:p>
    <w:p w14:paraId="4D000000">
      <w:pPr>
        <w:widowControl w:val="0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6.6.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В случае если товар, не соответствует условиям Контракта, Заказчик указывает недостатки в акте (ф. 0510452).</w:t>
      </w:r>
    </w:p>
    <w:p w14:paraId="4E000000">
      <w:pPr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6.7. Настоящим Контрактом предусмотрена возможность осуществления Заказчиком (приемочной комиссии Заказчика) приемки товара без присутствия Поставщика и без подписания Поставщиком акта (ф. 0510452). В этом случае акт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(ф. 0510452) утверждается За</w:t>
      </w:r>
      <w:r>
        <w:rPr>
          <w:rFonts w:ascii="XO Thames" w:hAnsi="XO Thames"/>
          <w:sz w:val="26"/>
        </w:rPr>
        <w:t>казчиком без подписи Поставщика.</w:t>
      </w:r>
      <w:r>
        <w:rPr>
          <w:rFonts w:ascii="XO Thames" w:hAnsi="XO Thames"/>
          <w:sz w:val="26"/>
        </w:rPr>
        <w:t xml:space="preserve"> </w:t>
      </w:r>
    </w:p>
    <w:p w14:paraId="4F000000">
      <w:pPr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случае выявления у товара недостатков в адрес Поставщика направляется скан-копия акта (ф. 0510452) с указанием этих недостатков.</w:t>
      </w:r>
    </w:p>
    <w:p w14:paraId="50000000">
      <w:pPr>
        <w:widowControl w:val="0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6.8.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Поставщик в течение 10 (десяти) календарных дней после получения акта (ф. 0510452), содержащего недостатки, за свой счёт устраняет выявленные недостатки в товаре или производит замену товара, если не докажет,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что недостатки возникли по вине Заказчика.</w:t>
      </w:r>
    </w:p>
    <w:p w14:paraId="51000000">
      <w:pPr>
        <w:widowControl w:val="0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6.9.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Заказчик, обнаруживший после приемки товара отступления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от Контракта, или иные недостатки, которые не могли быть установлены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при обычном способе приемки (скрытые недостатки), в том числе такие, которые умышленно скрыты Поставщиком, обязан известить</w:t>
      </w:r>
      <w:r>
        <w:rPr>
          <w:rFonts w:ascii="XO Thames" w:hAnsi="XO Thames"/>
          <w:sz w:val="26"/>
        </w:rPr>
        <w:t xml:space="preserve"> об этом Поставщика в течение 3 (трёх) рабочих дней после их обнаружения с приложением подробного перечня недостатков и сроков их устранения, а Поставщик обязан устранить выявленные недостатки в указанные сроки с момента получения от Заказчика уведомления.</w:t>
      </w:r>
    </w:p>
    <w:p w14:paraId="52000000">
      <w:pPr>
        <w:widowControl w:val="0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6.10.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Права на поставленный товар переходят к Заказчику с даты подписания Заказчиком акта (ф. 0510452).</w:t>
      </w:r>
    </w:p>
    <w:p w14:paraId="53000000">
      <w:pPr>
        <w:widowControl w:val="0"/>
        <w:tabs>
          <w:tab w:leader="none" w:pos="1276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6.11.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Риск случайной гибели или повреждения товара до даты поставки (приёмки) товара Заказчиком несет Поставщик.</w:t>
      </w:r>
    </w:p>
    <w:p w14:paraId="54000000">
      <w:pPr>
        <w:widowControl w:val="0"/>
        <w:tabs>
          <w:tab w:leader="none" w:pos="1276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6.12.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Претензии по качеству, количеству, а также несоответствию ассортимента, указанному в Контракте, отображаются в акте (ф. 0510452).</w:t>
      </w:r>
    </w:p>
    <w:p w14:paraId="55000000">
      <w:pPr>
        <w:widowControl w:val="0"/>
        <w:tabs>
          <w:tab w:leader="none" w:pos="1276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6.13.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Перечень сопроводительных документов указан в пункте 3.9 Контракта. В случае если такие документы не переданы Поставщиком одновременно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товаром, товар считается </w:t>
      </w:r>
      <w:r>
        <w:rPr>
          <w:rFonts w:ascii="XO Thames" w:hAnsi="XO Thames"/>
          <w:sz w:val="26"/>
        </w:rPr>
        <w:t>непоставленным</w:t>
      </w:r>
      <w:r>
        <w:rPr>
          <w:rFonts w:ascii="XO Thames" w:hAnsi="XO Thames"/>
          <w:sz w:val="26"/>
        </w:rPr>
        <w:t xml:space="preserve"> и приемке не подлежит.</w:t>
      </w:r>
    </w:p>
    <w:p w14:paraId="56000000">
      <w:pPr>
        <w:pStyle w:val="Style_8"/>
        <w:spacing w:line="240" w:lineRule="auto"/>
        <w:ind w:firstLine="0" w:left="0"/>
        <w:rPr>
          <w:rFonts w:ascii="XO Thames" w:hAnsi="XO Thames"/>
          <w:sz w:val="26"/>
        </w:rPr>
      </w:pPr>
    </w:p>
    <w:p w14:paraId="57000000">
      <w:pPr>
        <w:pStyle w:val="Style_8"/>
        <w:numPr>
          <w:ilvl w:val="0"/>
          <w:numId w:val="2"/>
        </w:numPr>
        <w:spacing w:line="240" w:lineRule="auto"/>
        <w:ind w:right="-71"/>
        <w:contextualSpacing w:val="1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Гарантийные обязательства</w:t>
      </w:r>
    </w:p>
    <w:p w14:paraId="58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7.1. Гарантийный срок товара составляет не менее 12 (двенадцати) месяцев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даты подписания Заказчиком без замечаний </w:t>
      </w:r>
      <w:bookmarkStart w:id="2" w:name="_Hlk168478077"/>
      <w:r>
        <w:rPr>
          <w:rFonts w:ascii="XO Thames" w:hAnsi="XO Thames"/>
          <w:sz w:val="26"/>
        </w:rPr>
        <w:t>акта</w:t>
      </w:r>
      <w:bookmarkEnd w:id="2"/>
      <w:r>
        <w:rPr>
          <w:rFonts w:ascii="XO Thames" w:hAnsi="XO Thames"/>
          <w:sz w:val="26"/>
        </w:rPr>
        <w:t xml:space="preserve"> (ф. 0510452). Гарантийный срок на комплектующие изделия и составные части товара считается равным гарантийному сроку на товар и истекает однов</w:t>
      </w:r>
      <w:r>
        <w:rPr>
          <w:rFonts w:ascii="XO Thames" w:hAnsi="XO Thames"/>
          <w:sz w:val="26"/>
        </w:rPr>
        <w:t xml:space="preserve">ременно с истечением гарантийного срока на товар. Если фактически комплектующие изделия и составные части товара имеют меньший гарантийный срок, Поставщик обеспечивает их безвозмездное гарантийное обслуживание в пределах гарантийного срока, установленного </w:t>
      </w:r>
      <w:r>
        <w:rPr>
          <w:rFonts w:ascii="XO Thames" w:hAnsi="XO Thames"/>
        </w:rPr>
        <w:br/>
      </w:r>
      <w:r>
        <w:rPr>
          <w:rFonts w:ascii="XO Thames" w:hAnsi="XO Thames"/>
          <w:sz w:val="26"/>
        </w:rPr>
        <w:t>на товар.</w:t>
      </w:r>
    </w:p>
    <w:p w14:paraId="59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pacing w:val="2"/>
          <w:sz w:val="26"/>
        </w:rPr>
        <w:t>7.2.  В течение гарантийного срока Поставщик осуществляет безвозмездное устранение недостатков товара (в том числе гарантийный ремонт) и замену товара ненадлежащего качества.</w:t>
      </w:r>
    </w:p>
    <w:p w14:paraId="5A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7.3. Срок устранения недостатков товара составляет </w:t>
      </w:r>
      <w:r>
        <w:rPr>
          <w:rFonts w:ascii="XO Thames" w:hAnsi="XO Thames"/>
          <w:i w:val="1"/>
          <w:spacing w:val="2"/>
          <w:sz w:val="26"/>
        </w:rPr>
        <w:t>45 (сорок пять)</w:t>
      </w:r>
      <w:r>
        <w:rPr>
          <w:rFonts w:ascii="XO Thames" w:hAnsi="XO Thames"/>
          <w:sz w:val="26"/>
        </w:rPr>
        <w:t xml:space="preserve"> дней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момента получения Поставщиком письменного требования Заказчика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об устранении недостатков. В данный срок входит время, затраченное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транспортировку товара к месту устранения недостатков или месту проведения ремонта. </w:t>
      </w:r>
    </w:p>
    <w:p w14:paraId="5B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7.4. В случае устранения недостатков и ремонта товара гарантийный срок товара продлевается на период, в течение которого товар не использовался. Указанный период исчисляется со дня обращения Заказчика с требованием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об устранении недостатков товара до дня выдачи его по окончании ремонта.</w:t>
      </w:r>
    </w:p>
    <w:p w14:paraId="5C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7.5. При возврате Товара после устранения недостатков (ремонта) Поставщик обязан предоставить Заказчику информацию в письменной форме о дате обращения с требованием об устранении обнаруженных им недостатков товара</w:t>
      </w:r>
      <w:r>
        <w:rPr>
          <w:rFonts w:ascii="XO Thames" w:hAnsi="XO Thames"/>
          <w:sz w:val="26"/>
        </w:rPr>
        <w:t>, о дате передачи товара Заказчиком для устранения недостатков товара, о дате устранения недостатков товара с их описанием, об использованных запасных частях (деталях, материалах) и о дате выдачи товара Заказчику по окончании устранения недостатков товара.</w:t>
      </w:r>
    </w:p>
    <w:p w14:paraId="5D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7.6. При уст</w:t>
      </w:r>
      <w:r>
        <w:rPr>
          <w:rFonts w:ascii="XO Thames" w:hAnsi="XO Thames"/>
          <w:sz w:val="26"/>
        </w:rPr>
        <w:t xml:space="preserve">ранении недостатков товара посредством замены комплектующего изделия или составной части основного изделия, на которые установлены гарантийные сроки, на новое комплектующее изделие или составную часть основного изделия устанавливается гарантийный срок той </w:t>
      </w:r>
      <w:r>
        <w:rPr>
          <w:rFonts w:ascii="XO Thames" w:hAnsi="XO Thames"/>
        </w:rPr>
        <w:br/>
      </w:r>
      <w:r>
        <w:rPr>
          <w:rFonts w:ascii="XO Thames" w:hAnsi="XO Thames"/>
          <w:sz w:val="26"/>
        </w:rPr>
        <w:t xml:space="preserve">же продолжительности, что и на замененные комплектующее изделие или составную часть основного изделия, и гарантийный срок исчисляется со дня выдачи Заказчику этого товара по окончании ремонта. </w:t>
      </w:r>
    </w:p>
    <w:p w14:paraId="5E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7.7. На период ремонта или замены товара Поставщик предоставляет Заказчику товар с аналогичными потребительскими свойствами товара, вышедшего из строя, обеспечив доставку товара Заказчику за свой счет.</w:t>
      </w:r>
    </w:p>
    <w:p w14:paraId="5F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pacing w:val="2"/>
          <w:sz w:val="26"/>
        </w:rPr>
        <w:t xml:space="preserve">7.8. В случае обнаружения недостатков товара Заказчик вправе предъявить Поставщику требование о замене Товара ненадлежащего качества. Срок осуществления замены Товара ненадлежащего качества составляет 2 (два) дня </w:t>
      </w:r>
      <w:r>
        <w:rPr>
          <w:rFonts w:ascii="XO Thames" w:hAnsi="XO Thames"/>
          <w:spacing w:val="2"/>
          <w:sz w:val="26"/>
        </w:rPr>
        <w:br/>
      </w:r>
      <w:r>
        <w:rPr>
          <w:rFonts w:ascii="XO Thames" w:hAnsi="XO Thames"/>
          <w:spacing w:val="2"/>
          <w:sz w:val="26"/>
        </w:rPr>
        <w:t xml:space="preserve">с момента получения Поставщиком письменного извещения Заказчика </w:t>
      </w:r>
      <w:r>
        <w:rPr>
          <w:rFonts w:ascii="XO Thames" w:hAnsi="XO Thames"/>
          <w:spacing w:val="2"/>
          <w:sz w:val="26"/>
        </w:rPr>
        <w:br/>
      </w:r>
      <w:r>
        <w:rPr>
          <w:rFonts w:ascii="XO Thames" w:hAnsi="XO Thames"/>
          <w:spacing w:val="2"/>
          <w:sz w:val="26"/>
        </w:rPr>
        <w:t xml:space="preserve">с требованием о замене некачественного товара. </w:t>
      </w:r>
    </w:p>
    <w:p w14:paraId="60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pacing w:val="2"/>
          <w:sz w:val="26"/>
        </w:rPr>
        <w:t xml:space="preserve">7.9. Место устранения недостатков товара, обнаруженных в период гарантийного срока, и место ремонта товара устанавливаются Поставщиком </w:t>
      </w:r>
      <w:r>
        <w:rPr>
          <w:rFonts w:ascii="XO Thames" w:hAnsi="XO Thames"/>
          <w:spacing w:val="2"/>
          <w:sz w:val="26"/>
        </w:rPr>
        <w:br/>
      </w:r>
      <w:r>
        <w:rPr>
          <w:rFonts w:ascii="XO Thames" w:hAnsi="XO Thames"/>
          <w:spacing w:val="2"/>
          <w:sz w:val="26"/>
        </w:rPr>
        <w:t>в пределах Российской Федерации, за исключением недостатков комплектующих изделий и составных частей товара, место устранения которых установлено заводом-изготовителем.</w:t>
      </w:r>
    </w:p>
    <w:p w14:paraId="61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7.10. Все расходы, связанные с устранением недостатков и заменой Товара ненадлежащего качества в период гарантийного срока, а также расходы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 транспортировку Товара к месту проведения ремонта и обратно, оплачиваются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за счет Поставщика.</w:t>
      </w:r>
    </w:p>
    <w:p w14:paraId="62000000">
      <w:pPr>
        <w:pStyle w:val="Style_8"/>
        <w:spacing w:line="240" w:lineRule="auto"/>
        <w:ind w:right="-71"/>
        <w:contextualSpacing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7.11. Передача и приемка Товара до и после ремонта или замены осуществляется в порядке, предусмотренном разделами 5 – 6 Контракта.</w:t>
      </w:r>
    </w:p>
    <w:p w14:paraId="63000000">
      <w:pPr>
        <w:pStyle w:val="Style_8"/>
        <w:spacing w:line="240" w:lineRule="auto"/>
        <w:ind w:firstLine="0" w:left="710" w:right="-71"/>
        <w:contextualSpacing w:val="1"/>
        <w:rPr>
          <w:rFonts w:ascii="XO Thames" w:hAnsi="XO Thames"/>
          <w:sz w:val="26"/>
        </w:rPr>
      </w:pPr>
    </w:p>
    <w:p w14:paraId="64000000">
      <w:pPr>
        <w:pStyle w:val="Style_3"/>
        <w:numPr>
          <w:ilvl w:val="0"/>
          <w:numId w:val="2"/>
        </w:numPr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Ответственность Сторон</w:t>
      </w:r>
    </w:p>
    <w:p w14:paraId="65000000">
      <w:pPr>
        <w:pStyle w:val="Style_4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Контрактом.</w:t>
      </w:r>
    </w:p>
    <w:p w14:paraId="66000000">
      <w:pPr>
        <w:pStyle w:val="Style_4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8.2. В случае просрочки исполнения Заказчиком обязательств, предусмотренных Контрактом, а также в иных случаях неисполнения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 </w:t>
      </w:r>
    </w:p>
    <w:p w14:paraId="67000000">
      <w:pPr>
        <w:pStyle w:val="Style_4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8.3. Пеня начисляется за каждый ден</w:t>
      </w:r>
      <w:r>
        <w:rPr>
          <w:rFonts w:ascii="XO Thames" w:hAnsi="XO Thames"/>
          <w:sz w:val="26"/>
        </w:rPr>
        <w:t xml:space="preserve">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</w:t>
      </w:r>
      <w:r>
        <w:rPr>
          <w:rFonts w:ascii="XO Thames" w:hAnsi="XO Thames"/>
          <w:sz w:val="26"/>
        </w:rPr>
        <w:t>уплаты пеней ключевой ставки Центрального банка Российской Федерации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от не уплаченной в срок суммы. </w:t>
      </w:r>
    </w:p>
    <w:p w14:paraId="68000000">
      <w:pPr>
        <w:pStyle w:val="Style_4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8.4.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14:paraId="69000000">
      <w:pPr>
        <w:pStyle w:val="Style_4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8.5.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</w:t>
      </w:r>
      <w:r>
        <w:rPr>
          <w:rFonts w:ascii="XO Thames" w:hAnsi="XO Thames"/>
          <w:sz w:val="26"/>
        </w:rPr>
        <w:t>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</w:t>
      </w:r>
      <w:r>
        <w:rPr>
          <w:rFonts w:ascii="XO Thames" w:hAnsi="XO Thames"/>
          <w:sz w:val="26"/>
        </w:rPr>
        <w:t>редусмотренных контрактом (соответствующим отдельным этапом исполнения контракта)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14:paraId="6A000000">
      <w:pPr>
        <w:pStyle w:val="Style_4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8.6. Размер штрафа устанавливается Контрактом в соответствии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</w:t>
      </w:r>
      <w:r>
        <w:rPr>
          <w:rFonts w:ascii="XO Thames" w:hAnsi="XO Thames"/>
          <w:sz w:val="26"/>
        </w:rPr>
        <w:fldChar w:fldCharType="begin"/>
      </w:r>
      <w:r>
        <w:rPr>
          <w:rFonts w:ascii="XO Thames" w:hAnsi="XO Thames"/>
          <w:sz w:val="26"/>
        </w:rPr>
        <w:instrText>HYPERLINK "consultantplus://offline/ref=4AA853A7BAF813336B75311B99E4DA15481733BDD90D19EA45AC80C759436594847C1262F35BB2D2A4ADFA16B116BB8B7B9F6ALCC1J" \o "consultantplus://offline/ref=4AA853A7BAF813336B75311B99E4DA15481733BDD90D19EA45AC80C759436594847C1262F35BB2D2A4ADFA16B116BB8B7B9F6ALCC1J"</w:instrText>
      </w:r>
      <w:r>
        <w:rPr>
          <w:rFonts w:ascii="XO Thames" w:hAnsi="XO Thames"/>
          <w:sz w:val="26"/>
        </w:rPr>
        <w:fldChar w:fldCharType="separate"/>
      </w:r>
      <w:r>
        <w:rPr>
          <w:rFonts w:ascii="XO Thames" w:hAnsi="XO Thames"/>
          <w:sz w:val="26"/>
        </w:rPr>
        <w:t>пунктами 3</w:t>
      </w:r>
      <w:r>
        <w:rPr>
          <w:rFonts w:ascii="XO Thames" w:hAnsi="XO Thames"/>
          <w:sz w:val="26"/>
        </w:rPr>
        <w:fldChar w:fldCharType="end"/>
      </w:r>
      <w:r>
        <w:rPr>
          <w:rFonts w:ascii="XO Thames" w:hAnsi="XO Thames"/>
          <w:sz w:val="26"/>
        </w:rPr>
        <w:t xml:space="preserve"> - </w:t>
      </w:r>
      <w:r>
        <w:rPr>
          <w:rFonts w:ascii="XO Thames" w:hAnsi="XO Thames"/>
          <w:sz w:val="26"/>
        </w:rPr>
        <w:fldChar w:fldCharType="begin"/>
      </w:r>
      <w:r>
        <w:rPr>
          <w:rFonts w:ascii="XO Thames" w:hAnsi="XO Thames"/>
          <w:sz w:val="26"/>
        </w:rPr>
        <w:instrText>HYPERLINK "consultantplus://offline/ref=4AA853A7BAF813336B75311B99E4DA15481733BDD90D19EA45AC80C759436594847C1265F104B7C7B5F5F612AA08B39D679D6BC9LDC2J" \o "consultantplus://offline/ref=4AA853A7BAF813336B75311B99E4DA15481733BDD90D19EA45AC80C759436594847C1265F104B7C7B5F5F612AA08B39D679D6BC9LDC2J"</w:instrText>
      </w:r>
      <w:r>
        <w:rPr>
          <w:rFonts w:ascii="XO Thames" w:hAnsi="XO Thames"/>
          <w:sz w:val="26"/>
        </w:rPr>
        <w:fldChar w:fldCharType="separate"/>
      </w:r>
      <w:r>
        <w:rPr>
          <w:rFonts w:ascii="XO Thames" w:hAnsi="XO Thames"/>
          <w:sz w:val="26"/>
        </w:rPr>
        <w:t>9</w:t>
      </w:r>
      <w:r>
        <w:rPr>
          <w:rFonts w:ascii="XO Thames" w:hAnsi="XO Thames"/>
          <w:sz w:val="26"/>
        </w:rPr>
        <w:fldChar w:fldCharType="end"/>
      </w:r>
      <w:r>
        <w:rPr>
          <w:rFonts w:ascii="XO Thames" w:hAnsi="XO Thames"/>
          <w:sz w:val="26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</w:t>
      </w:r>
      <w:r>
        <w:rPr>
          <w:rFonts w:ascii="XO Thames" w:hAnsi="XO Thames"/>
          <w:sz w:val="26"/>
        </w:rPr>
        <w:t xml:space="preserve">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утвержденных постановлением Правительства Российской Федерации </w:t>
      </w:r>
      <w:r>
        <w:rPr>
          <w:rFonts w:ascii="XO Thames" w:hAnsi="XO Thames"/>
        </w:rPr>
        <w:br/>
      </w:r>
      <w:r>
        <w:rPr>
          <w:rFonts w:ascii="XO Thames" w:hAnsi="XO Thames"/>
          <w:sz w:val="26"/>
        </w:rPr>
        <w:t>от 30.08.2017 № 1042 (далее – Правила), и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(этапа).</w:t>
      </w:r>
    </w:p>
    <w:p w14:paraId="6B000000">
      <w:pPr>
        <w:pStyle w:val="Style_4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8.7. За каждый факт неисполнения или ненадлежащего исполнения Поставщиком (Подрядчиком, Исполнител</w:t>
      </w:r>
      <w:r>
        <w:rPr>
          <w:rFonts w:ascii="XO Thames" w:hAnsi="XO Thames"/>
          <w:sz w:val="26"/>
        </w:rPr>
        <w:t xml:space="preserve">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</w:r>
      <w:r>
        <w:rPr>
          <w:rFonts w:ascii="XO Thames" w:hAnsi="XO Thames"/>
          <w:sz w:val="26"/>
        </w:rPr>
        <w:fldChar w:fldCharType="begin"/>
      </w:r>
      <w:r>
        <w:rPr>
          <w:rFonts w:ascii="XO Thames" w:hAnsi="XO Thames"/>
          <w:sz w:val="26"/>
        </w:rPr>
        <w:instrText>HYPERLINK \l "Par11" \o "#Par11"</w:instrText>
      </w:r>
      <w:r>
        <w:rPr>
          <w:rFonts w:ascii="XO Thames" w:hAnsi="XO Thames"/>
          <w:sz w:val="26"/>
        </w:rPr>
        <w:fldChar w:fldCharType="separate"/>
      </w:r>
      <w:r>
        <w:rPr>
          <w:rFonts w:ascii="XO Thames" w:hAnsi="XO Thames"/>
          <w:sz w:val="26"/>
        </w:rPr>
        <w:t>пунктами 4</w:t>
      </w:r>
      <w:r>
        <w:rPr>
          <w:rFonts w:ascii="XO Thames" w:hAnsi="XO Thames"/>
          <w:sz w:val="26"/>
        </w:rPr>
        <w:fldChar w:fldCharType="end"/>
      </w:r>
      <w:r>
        <w:rPr>
          <w:rFonts w:ascii="XO Thames" w:hAnsi="XO Thames"/>
          <w:sz w:val="26"/>
        </w:rPr>
        <w:t xml:space="preserve"> - </w:t>
      </w:r>
      <w:r>
        <w:rPr>
          <w:rFonts w:ascii="XO Thames" w:hAnsi="XO Thames"/>
          <w:sz w:val="26"/>
        </w:rPr>
        <w:fldChar w:fldCharType="begin"/>
      </w:r>
      <w:r>
        <w:rPr>
          <w:rFonts w:ascii="XO Thames" w:hAnsi="XO Thames"/>
          <w:sz w:val="26"/>
        </w:rPr>
        <w:instrText>HYPERLINK \l "Par33" \o "#Par33"</w:instrText>
      </w:r>
      <w:r>
        <w:rPr>
          <w:rFonts w:ascii="XO Thames" w:hAnsi="XO Thames"/>
          <w:sz w:val="26"/>
        </w:rPr>
        <w:fldChar w:fldCharType="separate"/>
      </w:r>
      <w:r>
        <w:rPr>
          <w:rFonts w:ascii="XO Thames" w:hAnsi="XO Thames"/>
          <w:sz w:val="26"/>
        </w:rPr>
        <w:t>8</w:t>
      </w:r>
      <w:r>
        <w:rPr>
          <w:rFonts w:ascii="XO Thames" w:hAnsi="XO Thames"/>
          <w:sz w:val="26"/>
        </w:rPr>
        <w:fldChar w:fldCharType="end"/>
      </w:r>
      <w:r>
        <w:rPr>
          <w:rFonts w:ascii="XO Thames" w:hAnsi="XO Thames"/>
          <w:sz w:val="26"/>
        </w:rPr>
        <w:t xml:space="preserve"> Правил):</w:t>
      </w:r>
    </w:p>
    <w:p w14:paraId="6C000000">
      <w:pPr>
        <w:pStyle w:val="Style_4"/>
        <w:tabs>
          <w:tab w:leader="none" w:pos="1134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10 процентов цены Контракта (этапа) в случае, если цена Контракта (этапа) не превышает 3 млн. рублей.</w:t>
      </w:r>
    </w:p>
    <w:p w14:paraId="6D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bookmarkStart w:id="3" w:name="Par11"/>
      <w:bookmarkEnd w:id="3"/>
      <w:r>
        <w:rPr>
          <w:rFonts w:ascii="XO Thames" w:hAnsi="XO Thames"/>
          <w:sz w:val="26"/>
        </w:rPr>
        <w:t>8.8. За каждый факт неиспо</w:t>
      </w:r>
      <w:r>
        <w:rPr>
          <w:rFonts w:ascii="XO Thames" w:hAnsi="XO Thames"/>
          <w:sz w:val="26"/>
        </w:rPr>
        <w:t>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6E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1000 рублей, если цена Контракта не превышает 3 млн. рублей.</w:t>
      </w:r>
    </w:p>
    <w:p w14:paraId="6F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bookmarkStart w:id="4" w:name="Par33"/>
      <w:bookmarkEnd w:id="4"/>
      <w:r>
        <w:rPr>
          <w:rFonts w:ascii="XO Thames" w:hAnsi="XO Thames"/>
          <w:sz w:val="26"/>
        </w:rPr>
        <w:t>8.9.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следующем порядке:</w:t>
      </w:r>
    </w:p>
    <w:p w14:paraId="70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 1000 рублей, если цена Контракта не превышает 3 млн. рублей (включительно).</w:t>
      </w:r>
    </w:p>
    <w:p w14:paraId="71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8.10.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Общая сумма начисленных штрафов за неисполнение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72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8.11.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3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8.12.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или по вине другой Стороны.</w:t>
      </w:r>
    </w:p>
    <w:p w14:paraId="74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8.13.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Уплата неустойки (штрафа, пени) не освобождает Стороны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от исполнения обязательств по Контракту.</w:t>
      </w:r>
    </w:p>
    <w:p w14:paraId="75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8.14.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Вред, причиненный третьим лицам по вине Поставщика (Подрядчика, Исполнителя) при исполнении обязательств по Контракту, возмещается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за его счет.</w:t>
      </w:r>
    </w:p>
    <w:p w14:paraId="76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8.15.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При расторжении Контракта в связи с односторонним отказом Стороны Контракта от</w:t>
      </w:r>
      <w:r>
        <w:rPr>
          <w:rFonts w:ascii="XO Thames" w:hAnsi="XO Thames"/>
          <w:sz w:val="26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77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8.16.</w:t>
      </w: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>В соответствии с пунктом 1 статьи 394 Гражданского кодекса Российской Федерации Контрактом установлено, что убытки взыскиваются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Поставщика (Подрядчика, Исполнителя) сверх неустойки, установленной Контрактом. </w:t>
      </w:r>
    </w:p>
    <w:p w14:paraId="78000000">
      <w:pPr>
        <w:pStyle w:val="Style_4"/>
        <w:tabs>
          <w:tab w:leader="none" w:pos="1134" w:val="left"/>
        </w:tabs>
        <w:ind w:firstLine="567" w:left="142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8.17. Имущественная ответственность, не предусмотренная Контрактом, определяется в соответствии с законодательством Российской Федерации.</w:t>
      </w:r>
    </w:p>
    <w:p w14:paraId="79000000">
      <w:pPr>
        <w:pStyle w:val="Style_4"/>
        <w:tabs>
          <w:tab w:leader="none" w:pos="1134" w:val="left"/>
        </w:tabs>
        <w:ind/>
        <w:jc w:val="both"/>
        <w:rPr>
          <w:rFonts w:ascii="XO Thames" w:hAnsi="XO Thames"/>
          <w:color w:val="333333"/>
          <w:sz w:val="26"/>
        </w:rPr>
      </w:pPr>
    </w:p>
    <w:p w14:paraId="7A000000">
      <w:pPr>
        <w:pStyle w:val="Style_3"/>
        <w:widowControl w:val="0"/>
        <w:numPr>
          <w:ilvl w:val="0"/>
          <w:numId w:val="2"/>
        </w:numPr>
        <w:tabs>
          <w:tab w:leader="none" w:pos="2775" w:val="lef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Обстоятельства непреодолимой силы</w:t>
      </w:r>
    </w:p>
    <w:p w14:paraId="7B000000">
      <w:pPr>
        <w:widowControl w:val="0"/>
        <w:tabs>
          <w:tab w:leader="none" w:pos="1200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9.1. 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</w:t>
      </w:r>
      <w:r>
        <w:rPr>
          <w:rFonts w:ascii="XO Thames" w:hAnsi="XO Thames"/>
          <w:sz w:val="26"/>
        </w:rPr>
        <w:t xml:space="preserve">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или блокады, массовые заболевания и действия органов государственной власти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управления, существующие де-юре или де-факто, и если эти обстоятельства непосредственно повлияли на исполнение Контракта.</w:t>
      </w:r>
    </w:p>
    <w:p w14:paraId="7C000000">
      <w:pPr>
        <w:widowControl w:val="0"/>
        <w:tabs>
          <w:tab w:leader="none" w:pos="1200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Указанные обстоятельства должны носить чрезвычайный, непредвиденный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и непредотвратимый характер, возникнуть после заключения Контракта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не зависеть от воли Сторон.</w:t>
      </w:r>
    </w:p>
    <w:p w14:paraId="7D000000">
      <w:pPr>
        <w:widowControl w:val="0"/>
        <w:tabs>
          <w:tab w:leader="none" w:pos="1200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9.2. При наступлении обстоятельств непреодолимой силы Сторона должна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без промедления, но не позднее 3 дней, известить о них другую Сторону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7E000000">
      <w:pPr>
        <w:widowControl w:val="0"/>
        <w:tabs>
          <w:tab w:leader="none" w:pos="1200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9.3. По прекращении указанных обстоятельств, Сторона должна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без промедления, но не позднее 3 дней, известить об этом другую Сторону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в письменной форме. В извещении должен быть указан срок, в который </w:t>
      </w:r>
      <w:r>
        <w:rPr>
          <w:rFonts w:ascii="XO Thames" w:hAnsi="XO Thames"/>
          <w:sz w:val="26"/>
        </w:rPr>
        <w:t>предполагается исполн</w:t>
      </w:r>
      <w:r>
        <w:rPr>
          <w:rFonts w:ascii="XO Thames" w:hAnsi="XO Thames"/>
          <w:sz w:val="26"/>
        </w:rPr>
        <w:t>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14:paraId="7F000000">
      <w:pPr>
        <w:widowControl w:val="0"/>
        <w:tabs>
          <w:tab w:leader="none" w:pos="1200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9.4. Надлежащим доказательством наличия обстоятельств непреодолимой силы и их продолжительности будут служить справки, выдаваемые компетентным органом территории, где данное обстоятельство имело место. Сторона должна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течение 10 дней с момента прекращения обстоятельств непреодолимой силы передать такую справку другой Стороне.</w:t>
      </w:r>
    </w:p>
    <w:p w14:paraId="80000000">
      <w:pPr>
        <w:widowControl w:val="0"/>
        <w:tabs>
          <w:tab w:leader="none" w:pos="1200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9.5. Не уведомление, </w:t>
      </w:r>
      <w:r>
        <w:rPr>
          <w:rFonts w:ascii="XO Thames" w:hAnsi="XO Thames"/>
          <w:sz w:val="26"/>
        </w:rPr>
        <w:t>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 по Контракту.</w:t>
      </w:r>
    </w:p>
    <w:p w14:paraId="81000000">
      <w:pPr>
        <w:widowControl w:val="0"/>
        <w:tabs>
          <w:tab w:leader="none" w:pos="1200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9.6.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82000000">
      <w:pPr>
        <w:widowControl w:val="0"/>
        <w:tabs>
          <w:tab w:leader="none" w:pos="1200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9.7. Если обстоятельства непреодолимой си</w:t>
      </w:r>
      <w:r>
        <w:rPr>
          <w:rFonts w:ascii="XO Thames" w:hAnsi="XO Thames"/>
          <w:sz w:val="26"/>
        </w:rPr>
        <w:t>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83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9.8. Если, в результате издания акта органа государственной власти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Российской Федераци</w:t>
      </w:r>
      <w:r>
        <w:rPr>
          <w:rFonts w:ascii="XO Thames" w:hAnsi="XO Thames"/>
          <w:sz w:val="26"/>
        </w:rPr>
        <w:t xml:space="preserve">и, исполнение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Изменение обязательств оформляется дополнительным соглашением, подписанным Сторонами. </w:t>
      </w:r>
    </w:p>
    <w:p w14:paraId="84000000">
      <w:pPr>
        <w:widowControl w:val="0"/>
        <w:ind/>
        <w:jc w:val="both"/>
        <w:rPr>
          <w:rFonts w:ascii="XO Thames" w:hAnsi="XO Thames"/>
          <w:sz w:val="26"/>
        </w:rPr>
      </w:pPr>
    </w:p>
    <w:p w14:paraId="85000000">
      <w:pPr>
        <w:pStyle w:val="Style_3"/>
        <w:widowControl w:val="0"/>
        <w:numPr>
          <w:ilvl w:val="0"/>
          <w:numId w:val="2"/>
        </w:numPr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Порядок рассмотрения споров</w:t>
      </w:r>
    </w:p>
    <w:p w14:paraId="86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10.1.Спорные вопросы, возникающие в ходе исполнения Контракта, разрешаются Сторонами путем переговоров, и достигнутые договоренности,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обязательном порядке, фиксируются дополнительным соглашением Сторон.</w:t>
      </w:r>
    </w:p>
    <w:p w14:paraId="87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10.2. Соблюдение досудебного (претензионного) порядка разрешения споров Сторонами обязательно.</w:t>
      </w:r>
    </w:p>
    <w:p w14:paraId="88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10.3. Досудебный (претензионный) порядок разрешения споров считается соблюденным при следующих обстоятельствах:</w:t>
      </w:r>
    </w:p>
    <w:p w14:paraId="89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претензии предъявляются в письменной форме и подписываются Стороной,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а по финансовым вопросам и главным бухгалтером;</w:t>
      </w:r>
    </w:p>
    <w:p w14:paraId="8A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претензии указывается: требование Стороны, сумма претензии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(при наличии) и ее расчет, обстоятельства на которых основывается требования, перечень прилагаемых к претензии документов, иные сведения необходимые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для урегулирования спора;</w:t>
      </w:r>
    </w:p>
    <w:p w14:paraId="8B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претензия отправляется заказным письмом, либо вручается под расписку представителю Стороны;</w:t>
      </w:r>
    </w:p>
    <w:p w14:paraId="8C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ответ на претензию должен быть дан в письменной форме в срок, не позднее 7 дней с момента ее получения;</w:t>
      </w:r>
    </w:p>
    <w:p w14:paraId="8D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ответ на претензию дается в письменной форме и подписывается Стороной,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а по финансовым вопросам и главным бухгалтером;</w:t>
      </w:r>
    </w:p>
    <w:p w14:paraId="8E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ответ на претензию отправляется заказным письмом, либо вручается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под расписку представителю Стороны.</w:t>
      </w:r>
    </w:p>
    <w:p w14:paraId="8F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10.4. </w:t>
      </w:r>
      <w:r>
        <w:rPr>
          <w:rFonts w:ascii="XO Thames" w:hAnsi="XO Thames"/>
          <w:sz w:val="26"/>
        </w:rPr>
        <w:t xml:space="preserve">В случае заключения Контракта посредством единого </w:t>
      </w:r>
      <w:r>
        <w:rPr>
          <w:rFonts w:ascii="XO Thames" w:hAnsi="XO Thames"/>
          <w:sz w:val="26"/>
        </w:rPr>
        <w:t>агрегатора</w:t>
      </w:r>
      <w:r>
        <w:rPr>
          <w:rFonts w:ascii="XO Thames" w:hAnsi="XO Thames"/>
          <w:sz w:val="26"/>
        </w:rPr>
        <w:t xml:space="preserve"> торговли (далее – ЕАТ) Заказчик размещает на ЕАТ документы, связанные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применением мер ответственности и совершении иных действий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нарушением Поставщиком условий Контракта.</w:t>
      </w:r>
    </w:p>
    <w:p w14:paraId="90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Датой поступления претензии Поставщику, считается дата размещения претензии Заказчиком в карточке контракта на ЕАТ. </w:t>
      </w:r>
    </w:p>
    <w:p w14:paraId="91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Поставщик обязан в течение 7 (семи)</w:t>
      </w:r>
      <w:r>
        <w:rPr>
          <w:rFonts w:ascii="XO Thames" w:hAnsi="XO Thames"/>
          <w:sz w:val="26"/>
        </w:rPr>
        <w:t xml:space="preserve"> рабочих дней с даты размещения Заказчиком претензии на ЕАТ удовлетворить заявленные требования или направить Заказчику мотивированный отказ с указанием оснований отказа. Отказ может быть направлен посредством ЕАТ (при наличии соответствующего функционала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со стороны Поставщика и (или) заказным письмом с уведомлением.</w:t>
      </w:r>
    </w:p>
    <w:p w14:paraId="92000000">
      <w:pPr>
        <w:widowControl w:val="0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10.5. Споры, по которым не достигнуто соглашение, рассматриваются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в Арбитражном суде г. Москвы в установленном законодательством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Российской Федерации порядке.</w:t>
      </w:r>
    </w:p>
    <w:p w14:paraId="93000000">
      <w:pPr>
        <w:rPr>
          <w:rFonts w:ascii="XO Thames" w:hAnsi="XO Thames"/>
          <w:b w:val="1"/>
          <w:sz w:val="26"/>
        </w:rPr>
      </w:pPr>
    </w:p>
    <w:p w14:paraId="94000000">
      <w:pPr>
        <w:pStyle w:val="Style_3"/>
        <w:numPr>
          <w:ilvl w:val="0"/>
          <w:numId w:val="2"/>
        </w:numPr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Срок действия, изменение и расторжение Контракта</w:t>
      </w:r>
    </w:p>
    <w:p w14:paraId="95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11.1. Контракт считается заключенным с даты его подписания Сторонами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регистрации у Заказчика, и действует по 31.12.202</w:t>
      </w:r>
      <w:r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включительно, а в части осуществления оплаты, иных обязательств, в том числе гарантийных – до момента надлежащего исполнения Сторонами обязательств.</w:t>
      </w:r>
    </w:p>
    <w:p w14:paraId="96000000">
      <w:pPr>
        <w:tabs>
          <w:tab w:leader="none" w:pos="1276" w:val="left"/>
        </w:tabs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11.2.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97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11.3. Существенные условия</w:t>
      </w:r>
      <w:r>
        <w:rPr>
          <w:rFonts w:ascii="XO Thames" w:hAnsi="XO Thames"/>
          <w:sz w:val="26"/>
        </w:rPr>
        <w:t xml:space="preserve"> Контракта могут быть изменены </w:t>
      </w:r>
      <w:r>
        <w:rPr>
          <w:rFonts w:ascii="XO Thames" w:hAnsi="XO Thames"/>
          <w:sz w:val="26"/>
        </w:rPr>
        <w:t>по соглашению Сторон в случаях, предусмотренных Законом № 44-ФЗ.</w:t>
      </w:r>
    </w:p>
    <w:p w14:paraId="98000000">
      <w:pPr>
        <w:ind w:firstLine="709" w:left="0"/>
        <w:jc w:val="both"/>
        <w:rPr>
          <w:rFonts w:ascii="XO Thames" w:hAnsi="XO Thames"/>
          <w:sz w:val="26"/>
        </w:rPr>
      </w:pPr>
    </w:p>
    <w:p w14:paraId="99000000">
      <w:pPr>
        <w:pStyle w:val="Style_3"/>
        <w:numPr>
          <w:ilvl w:val="0"/>
          <w:numId w:val="2"/>
        </w:numPr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Прочие условия</w:t>
      </w:r>
    </w:p>
    <w:p w14:paraId="9A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12.1. Любые изменения и дополнения к Контракту действительны, только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если они составлены в письменной форме в виде дополнительного соглашения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и подписаны обеими Сторонами или в электронной форме, посредством ЕАТ </w:t>
      </w:r>
      <w:r>
        <w:rPr>
          <w:rFonts w:ascii="XO Thames" w:hAnsi="XO Thames"/>
        </w:rPr>
        <w:br/>
      </w:r>
      <w:r>
        <w:rPr>
          <w:rFonts w:ascii="XO Thames" w:hAnsi="XO Thames"/>
          <w:sz w:val="26"/>
        </w:rPr>
        <w:t>и подписаны Сторонами усиленной квалифицированной электронной подписью.</w:t>
      </w:r>
    </w:p>
    <w:p w14:paraId="9B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12.2. Дополнительные соглашения к Контракту становятся его неотъемлемыми частями с момента их заключения.</w:t>
      </w:r>
    </w:p>
    <w:p w14:paraId="9C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12.3. По всем вопросам, не нашедшим своего решения в рамках Контракта,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но прямо или косвенно связанным с его исполнением, Стороны будут руководствоваться нормами и положениями действующего законодательства Российской Федерации.</w:t>
      </w:r>
    </w:p>
    <w:p w14:paraId="9D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12.4. Стороны обязуются не распространять третьим лицам сведения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(в том числе персональные данные), ставшие им известными в ходе исполнения обязательств по Контракту.</w:t>
      </w:r>
    </w:p>
    <w:p w14:paraId="9E000000">
      <w:pPr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7"/>
        </w:rPr>
        <w:t xml:space="preserve">12.5. </w:t>
      </w:r>
      <w:r>
        <w:rPr>
          <w:rFonts w:ascii="XO Thames" w:hAnsi="XO Thames"/>
          <w:sz w:val="26"/>
        </w:rPr>
        <w:t>Подписывая Контракт, Поставщик подтверждает соответствие требованиям ч. 1 ст. 31 Закона № 44-ФЗ.</w:t>
      </w:r>
    </w:p>
    <w:p w14:paraId="9F000000">
      <w:pPr>
        <w:pStyle w:val="Style_9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12.6. Неотъемлемой частью Контракта являются следующие приложения: Спецификация (</w:t>
      </w:r>
      <w:r>
        <w:rPr>
          <w:rFonts w:ascii="XO Thames" w:hAnsi="XO Thames"/>
          <w:sz w:val="26"/>
        </w:rPr>
        <w:t>Приложение к Контракту</w:t>
      </w:r>
      <w:r>
        <w:rPr>
          <w:rFonts w:ascii="XO Thames" w:hAnsi="XO Thames"/>
          <w:sz w:val="26"/>
        </w:rPr>
        <w:t>)</w:t>
      </w:r>
      <w:r>
        <w:rPr>
          <w:rFonts w:ascii="XO Thames" w:hAnsi="XO Thames"/>
          <w:sz w:val="26"/>
        </w:rPr>
        <w:t>.</w:t>
      </w:r>
    </w:p>
    <w:p w14:paraId="A0000000">
      <w:pPr>
        <w:widowControl w:val="0"/>
        <w:ind w:firstLine="709" w:left="0" w:right="1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12.7. Контракт составлен в двух экземплярах, имеющих равную юридическую силу, по одному для каждой из Сторон </w:t>
      </w:r>
      <w:r>
        <w:rPr>
          <w:rFonts w:ascii="XO Thames" w:hAnsi="XO Thames"/>
          <w:i w:val="1"/>
          <w:sz w:val="26"/>
        </w:rPr>
        <w:t xml:space="preserve">(в случае осуществления закупки на ЕАТ – </w:t>
      </w:r>
      <w:r>
        <w:rPr>
          <w:rFonts w:ascii="XO Thames" w:hAnsi="XO Thames"/>
          <w:i w:val="1"/>
          <w:sz w:val="26"/>
        </w:rPr>
        <w:t>«в форме электронного документа, подписанного усиленными квалифицированными электронными подписями уполномоченных лиц Сторон»).</w:t>
      </w:r>
    </w:p>
    <w:p w14:paraId="A1000000">
      <w:pPr>
        <w:rPr>
          <w:rFonts w:ascii="XO Thames" w:hAnsi="XO Thames"/>
          <w:b w:val="1"/>
          <w:sz w:val="26"/>
        </w:rPr>
      </w:pPr>
    </w:p>
    <w:p w14:paraId="A2000000">
      <w:pPr>
        <w:rPr>
          <w:rFonts w:ascii="XO Thames" w:hAnsi="XO Thames"/>
          <w:b w:val="1"/>
          <w:sz w:val="26"/>
        </w:rPr>
      </w:pPr>
    </w:p>
    <w:p w14:paraId="A3000000">
      <w:pPr>
        <w:rPr>
          <w:rFonts w:ascii="XO Thames" w:hAnsi="XO Thames"/>
          <w:b w:val="1"/>
          <w:sz w:val="26"/>
        </w:rPr>
      </w:pPr>
    </w:p>
    <w:p w14:paraId="A4000000">
      <w:pPr>
        <w:rPr>
          <w:rFonts w:ascii="XO Thames" w:hAnsi="XO Thames"/>
          <w:b w:val="1"/>
          <w:sz w:val="26"/>
        </w:rPr>
      </w:pPr>
    </w:p>
    <w:p w14:paraId="A5000000">
      <w:pPr>
        <w:rPr>
          <w:rFonts w:ascii="XO Thames" w:hAnsi="XO Thames"/>
          <w:b w:val="1"/>
          <w:sz w:val="26"/>
        </w:rPr>
      </w:pPr>
    </w:p>
    <w:p w14:paraId="A6000000">
      <w:pPr>
        <w:pStyle w:val="Style_3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1</w:t>
      </w:r>
      <w:r>
        <w:rPr>
          <w:rFonts w:ascii="XO Thames" w:hAnsi="XO Thames"/>
          <w:b w:val="1"/>
          <w:sz w:val="26"/>
        </w:rPr>
        <w:t>3</w:t>
      </w:r>
      <w:r>
        <w:rPr>
          <w:rFonts w:ascii="XO Thames" w:hAnsi="XO Thames"/>
          <w:b w:val="1"/>
          <w:sz w:val="26"/>
        </w:rPr>
        <w:t>. Адреса и реквизиты Сторон</w:t>
      </w:r>
    </w:p>
    <w:p w14:paraId="A7000000">
      <w:pPr>
        <w:pStyle w:val="Style_3"/>
        <w:ind w:firstLine="0" w:left="709"/>
        <w:rPr>
          <w:rFonts w:ascii="XO Thames" w:hAnsi="XO Thames"/>
          <w:b w:val="1"/>
          <w:sz w:val="26"/>
        </w:rPr>
      </w:pPr>
    </w:p>
    <w:tbl>
      <w:tblPr>
        <w:tblStyle w:val="Style_10"/>
        <w:tblW w:type="auto" w:w="0"/>
        <w:tblBorders>
          <w:insideH w:color="000000" w:sz="4" w:val="single"/>
        </w:tblBorders>
        <w:tblLayout w:type="fixed"/>
      </w:tblPr>
      <w:tblGrid>
        <w:gridCol w:w="5353"/>
        <w:gridCol w:w="4536"/>
      </w:tblGrid>
      <w:tr>
        <w:tc>
          <w:tcPr>
            <w:tcW w:type="dxa" w:w="5353"/>
            <w:tcBorders/>
          </w:tcPr>
          <w:p w14:paraId="A8000000">
            <w:pPr>
              <w:pStyle w:val="Style_4"/>
              <w:ind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Заказчик</w:t>
            </w:r>
          </w:p>
          <w:p w14:paraId="A9000000">
            <w:pPr>
              <w:pStyle w:val="Style_4"/>
              <w:ind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ФКУ ГУОДОП ФСИН России</w:t>
            </w:r>
          </w:p>
          <w:p w14:paraId="AA000000">
            <w:pPr>
              <w:pStyle w:val="Style_4"/>
              <w:ind/>
              <w:jc w:val="both"/>
              <w:rPr>
                <w:rFonts w:ascii="XO Thames" w:hAnsi="XO Thames"/>
                <w:sz w:val="26"/>
              </w:rPr>
            </w:pPr>
          </w:p>
        </w:tc>
        <w:tc>
          <w:tcPr>
            <w:tcW w:type="dxa" w:w="4536"/>
            <w:tcBorders/>
          </w:tcPr>
          <w:p w14:paraId="AB000000">
            <w:pPr>
              <w:pStyle w:val="Style_4"/>
              <w:ind w:right="440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Поставщик</w:t>
            </w:r>
          </w:p>
          <w:p w14:paraId="AC000000">
            <w:pPr>
              <w:pStyle w:val="Style_4"/>
              <w:ind w:right="440"/>
              <w:jc w:val="both"/>
              <w:rPr>
                <w:rFonts w:ascii="XO Thames" w:hAnsi="XO Thames"/>
                <w:sz w:val="26"/>
              </w:rPr>
            </w:pPr>
          </w:p>
        </w:tc>
      </w:tr>
      <w:tr>
        <w:tc>
          <w:tcPr>
            <w:tcW w:type="dxa" w:w="5353"/>
            <w:tcBorders/>
          </w:tcPr>
          <w:p w14:paraId="AD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Место нахождения: 119049, г. Москва, </w:t>
            </w:r>
          </w:p>
          <w:p w14:paraId="AE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вн.тер.г.муниципальный</w:t>
            </w:r>
            <w:r>
              <w:rPr>
                <w:rFonts w:ascii="XO Thames" w:hAnsi="XO Thames"/>
                <w:sz w:val="26"/>
              </w:rPr>
              <w:t xml:space="preserve"> округ Якиманка,</w:t>
            </w:r>
          </w:p>
          <w:p w14:paraId="AF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ул. Житная, д. 14, стр. 1</w:t>
            </w:r>
          </w:p>
          <w:p w14:paraId="B0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Межрегиональное операционное управление Федерального </w:t>
            </w:r>
            <w:r>
              <w:rPr>
                <w:rFonts w:ascii="XO Thames" w:hAnsi="XO Thames"/>
                <w:sz w:val="26"/>
              </w:rPr>
              <w:t>казначейства,</w:t>
            </w:r>
            <w:r>
              <w:rPr>
                <w:rFonts w:ascii="XO Thames" w:hAnsi="XO Thames"/>
                <w:sz w:val="26"/>
              </w:rPr>
              <w:br/>
            </w:r>
            <w:r>
              <w:rPr>
                <w:rFonts w:ascii="XO Thames" w:hAnsi="XO Thames"/>
                <w:sz w:val="26"/>
              </w:rPr>
              <w:t>лицевой</w:t>
            </w:r>
            <w:r>
              <w:rPr>
                <w:rFonts w:ascii="XO Thames" w:hAnsi="XO Thames"/>
                <w:sz w:val="26"/>
              </w:rPr>
              <w:t xml:space="preserve"> счет: 03951397350</w:t>
            </w:r>
          </w:p>
          <w:p w14:paraId="B1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Номер казначейского счета: 03211643000000019500</w:t>
            </w:r>
          </w:p>
          <w:p w14:paraId="B2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Единый казначейский счет (ЕКС): 40102810045370000002</w:t>
            </w:r>
          </w:p>
          <w:p w14:paraId="B3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Банк получателя: Операционный департамент Банка России // Межрегиональное операционное УФК </w:t>
            </w:r>
          </w:p>
          <w:p w14:paraId="B4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г. Москва</w:t>
            </w:r>
          </w:p>
          <w:p w14:paraId="B5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ИНН: 7706592947, КПП: 770601001</w:t>
            </w:r>
          </w:p>
          <w:p w14:paraId="B6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ОГРН: 1057748249503</w:t>
            </w:r>
          </w:p>
          <w:p w14:paraId="B7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БИК: 024501901</w:t>
            </w:r>
          </w:p>
          <w:p w14:paraId="B8000000">
            <w:pPr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ОКПО: 08941771, ОКТМО: 45384000</w:t>
            </w:r>
          </w:p>
          <w:p w14:paraId="B9000000">
            <w:pPr>
              <w:tabs>
                <w:tab w:leader="none" w:pos="360" w:val="decimal"/>
              </w:tabs>
              <w:spacing w:line="252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ОКОПФ: 75104, ОКФС: 12.</w:t>
            </w:r>
          </w:p>
          <w:p w14:paraId="BA000000">
            <w:pPr>
              <w:rPr>
                <w:rFonts w:ascii="XO Thames" w:hAnsi="XO Thames"/>
              </w:rPr>
            </w:pPr>
          </w:p>
        </w:tc>
        <w:tc>
          <w:tcPr>
            <w:tcW w:type="dxa" w:w="4536"/>
            <w:tcBorders/>
          </w:tcPr>
          <w:p w14:paraId="BB000000">
            <w:pPr>
              <w:tabs>
                <w:tab w:leader="none" w:pos="360" w:val="decimal"/>
              </w:tabs>
              <w:ind w:firstLine="0" w:left="-108"/>
              <w:rPr>
                <w:rFonts w:ascii="XO Thames" w:hAnsi="XO Thames"/>
                <w:sz w:val="26"/>
              </w:rPr>
            </w:pPr>
          </w:p>
        </w:tc>
      </w:tr>
    </w:tbl>
    <w:p w14:paraId="BC000000">
      <w:pPr>
        <w:tabs>
          <w:tab w:leader="none" w:pos="3907" w:val="left"/>
        </w:tabs>
        <w:ind/>
        <w:rPr>
          <w:rFonts w:ascii="XO Thames" w:hAnsi="XO Thames"/>
        </w:rPr>
      </w:pPr>
    </w:p>
    <w:p w14:paraId="BD000000">
      <w:pPr>
        <w:tabs>
          <w:tab w:leader="none" w:pos="3907" w:val="left"/>
        </w:tabs>
        <w:ind/>
        <w:rPr>
          <w:rFonts w:ascii="XO Thames" w:hAnsi="XO Thames"/>
        </w:rPr>
      </w:pPr>
    </w:p>
    <w:tbl>
      <w:tblPr>
        <w:tblStyle w:val="Style_10"/>
        <w:tblW w:type="auto" w:w="0"/>
        <w:tblLayout w:type="fixed"/>
      </w:tblPr>
      <w:tblGrid>
        <w:gridCol w:w="5495"/>
        <w:gridCol w:w="4540"/>
      </w:tblGrid>
      <w:tr>
        <w:trPr>
          <w:trHeight w:hRule="atLeast" w:val="487"/>
        </w:trPr>
        <w:tc>
          <w:tcPr>
            <w:tcW w:type="dxa" w:w="5495"/>
          </w:tcPr>
          <w:p w14:paraId="BE000000">
            <w:pPr>
              <w:ind w:right="-71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Заместитель начальника Управления</w:t>
            </w:r>
          </w:p>
          <w:p w14:paraId="BF000000">
            <w:pPr>
              <w:ind w:right="-71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ФКУ ГУОДОП ФСИН России</w:t>
            </w:r>
          </w:p>
          <w:p w14:paraId="C0000000">
            <w:pPr>
              <w:ind w:firstLine="12" w:left="0" w:right="-71"/>
              <w:jc w:val="both"/>
              <w:rPr>
                <w:rFonts w:ascii="XO Thames" w:hAnsi="XO Thames"/>
                <w:sz w:val="26"/>
              </w:rPr>
            </w:pPr>
          </w:p>
        </w:tc>
        <w:tc>
          <w:tcPr>
            <w:tcW w:type="dxa" w:w="4540"/>
          </w:tcPr>
          <w:p w14:paraId="C1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__________________________</w:t>
            </w:r>
          </w:p>
        </w:tc>
      </w:tr>
      <w:tr>
        <w:trPr>
          <w:trHeight w:hRule="atLeast" w:val="667"/>
        </w:trPr>
        <w:tc>
          <w:tcPr>
            <w:tcW w:type="dxa" w:w="5495"/>
          </w:tcPr>
          <w:p w14:paraId="C2000000">
            <w:pPr>
              <w:ind w:right="-71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_________________/______________/</w:t>
            </w:r>
          </w:p>
          <w:p w14:paraId="C3000000">
            <w:pPr>
              <w:ind w:right="-71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              М.П.</w:t>
            </w:r>
          </w:p>
        </w:tc>
        <w:tc>
          <w:tcPr>
            <w:tcW w:type="dxa" w:w="4540"/>
          </w:tcPr>
          <w:p w14:paraId="C4000000">
            <w:pPr>
              <w:widowControl w:val="0"/>
              <w:ind w:right="-71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______________/_____________/</w:t>
            </w:r>
          </w:p>
          <w:p w14:paraId="C5000000">
            <w:pPr>
              <w:widowControl w:val="0"/>
              <w:ind w:firstLine="0" w:left="187" w:right="-71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            М.П.</w:t>
            </w:r>
          </w:p>
        </w:tc>
      </w:tr>
    </w:tbl>
    <w:p w14:paraId="C6000000">
      <w:pPr>
        <w:rPr>
          <w:rFonts w:ascii="XO Thames" w:hAnsi="XO Thames"/>
          <w:sz w:val="26"/>
        </w:rPr>
      </w:pPr>
    </w:p>
    <w:p w14:paraId="C7000000">
      <w:pPr>
        <w:tabs>
          <w:tab w:leader="none" w:pos="1770" w:val="left"/>
          <w:tab w:leader="none" w:pos="9496" w:val="right"/>
        </w:tabs>
        <w:ind/>
        <w:jc w:val="center"/>
        <w:rPr>
          <w:rFonts w:ascii="XO Thames" w:hAnsi="XO Thames"/>
          <w:b w:val="1"/>
          <w:sz w:val="26"/>
        </w:rPr>
      </w:pPr>
    </w:p>
    <w:p w14:paraId="C8000000">
      <w:pPr>
        <w:pStyle w:val="Style_11"/>
        <w:spacing w:after="0" w:before="0"/>
        <w:ind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  </w:t>
      </w:r>
    </w:p>
    <w:p w14:paraId="C9000000">
      <w:pPr>
        <w:rPr>
          <w:rFonts w:ascii="XO Thames" w:hAnsi="XO Thames"/>
        </w:rPr>
      </w:pPr>
    </w:p>
    <w:p w14:paraId="CA000000">
      <w:pPr>
        <w:rPr>
          <w:rFonts w:ascii="XO Thames" w:hAnsi="XO Thames"/>
        </w:rPr>
      </w:pPr>
    </w:p>
    <w:p w14:paraId="CB000000">
      <w:pPr>
        <w:rPr>
          <w:rFonts w:ascii="XO Thames" w:hAnsi="XO Thames"/>
        </w:rPr>
      </w:pPr>
    </w:p>
    <w:p w14:paraId="CC000000">
      <w:pPr>
        <w:rPr>
          <w:rFonts w:ascii="XO Thames" w:hAnsi="XO Thames"/>
        </w:rPr>
      </w:pPr>
    </w:p>
    <w:p w14:paraId="CD000000">
      <w:pPr>
        <w:rPr>
          <w:rFonts w:ascii="XO Thames" w:hAnsi="XO Thames"/>
        </w:rPr>
      </w:pPr>
    </w:p>
    <w:p w14:paraId="CE000000">
      <w:pPr>
        <w:rPr>
          <w:rFonts w:ascii="XO Thames" w:hAnsi="XO Thames"/>
        </w:rPr>
      </w:pPr>
    </w:p>
    <w:p w14:paraId="CF000000">
      <w:pPr>
        <w:rPr>
          <w:rFonts w:ascii="XO Thames" w:hAnsi="XO Thames"/>
        </w:rPr>
      </w:pPr>
    </w:p>
    <w:p w14:paraId="D0000000">
      <w:pPr>
        <w:rPr>
          <w:rFonts w:ascii="XO Thames" w:hAnsi="XO Thames"/>
        </w:rPr>
      </w:pPr>
    </w:p>
    <w:p w14:paraId="D1000000">
      <w:pPr>
        <w:rPr>
          <w:rFonts w:ascii="XO Thames" w:hAnsi="XO Thames"/>
        </w:rPr>
      </w:pPr>
    </w:p>
    <w:p w14:paraId="D2000000">
      <w:pPr>
        <w:rPr>
          <w:rFonts w:ascii="XO Thames" w:hAnsi="XO Thames"/>
        </w:rPr>
      </w:pPr>
    </w:p>
    <w:p w14:paraId="D3000000">
      <w:pPr>
        <w:rPr>
          <w:rFonts w:ascii="XO Thames" w:hAnsi="XO Thames"/>
        </w:rPr>
      </w:pPr>
    </w:p>
    <w:p w14:paraId="D4000000">
      <w:pPr>
        <w:rPr>
          <w:rFonts w:ascii="XO Thames" w:hAnsi="XO Thames"/>
        </w:rPr>
      </w:pPr>
    </w:p>
    <w:p w14:paraId="D5000000">
      <w:pPr>
        <w:rPr>
          <w:rFonts w:ascii="XO Thames" w:hAnsi="XO Thames"/>
        </w:rPr>
      </w:pPr>
    </w:p>
    <w:p w14:paraId="D6000000">
      <w:pPr>
        <w:rPr>
          <w:rFonts w:ascii="XO Thames" w:hAnsi="XO Thames"/>
        </w:rPr>
      </w:pPr>
    </w:p>
    <w:p w14:paraId="D7000000">
      <w:pPr>
        <w:rPr>
          <w:rFonts w:ascii="XO Thames" w:hAnsi="XO Thames"/>
        </w:rPr>
      </w:pPr>
    </w:p>
    <w:p w14:paraId="D8000000">
      <w:pPr>
        <w:rPr>
          <w:rFonts w:ascii="XO Thames" w:hAnsi="XO Thames"/>
        </w:rPr>
      </w:pPr>
    </w:p>
    <w:p w14:paraId="D9000000">
      <w:pPr>
        <w:tabs>
          <w:tab w:leader="none" w:pos="5812" w:val="left"/>
        </w:tabs>
        <w:ind w:hanging="425" w:left="5812" w:right="-1"/>
        <w:jc w:val="right"/>
        <w:rPr>
          <w:rFonts w:ascii="XO Thames" w:hAnsi="XO Thames"/>
          <w:sz w:val="26"/>
        </w:rPr>
      </w:pPr>
      <w:bookmarkStart w:id="5" w:name="_Hlk196838009"/>
      <w:r>
        <w:rPr>
          <w:rFonts w:ascii="XO Thames" w:hAnsi="XO Thames"/>
          <w:sz w:val="26"/>
        </w:rPr>
        <w:t>Приложение к Контракту</w:t>
      </w:r>
    </w:p>
    <w:p w14:paraId="DA000000">
      <w:pPr>
        <w:tabs>
          <w:tab w:leader="none" w:pos="5812" w:val="left"/>
        </w:tabs>
        <w:ind w:hanging="425" w:left="5812" w:right="-1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 от «___» ________202</w:t>
      </w:r>
      <w:r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г. №___</w:t>
      </w:r>
    </w:p>
    <w:p w14:paraId="DB000000">
      <w:pPr>
        <w:tabs>
          <w:tab w:leader="none" w:pos="5812" w:val="left"/>
        </w:tabs>
        <w:ind w:hanging="283" w:left="5812" w:right="-1"/>
        <w:rPr>
          <w:rFonts w:ascii="XO Thames" w:hAnsi="XO Thames"/>
          <w:sz w:val="26"/>
        </w:rPr>
      </w:pPr>
    </w:p>
    <w:p w14:paraId="DC000000">
      <w:pPr>
        <w:tabs>
          <w:tab w:leader="none" w:pos="5812" w:val="left"/>
        </w:tabs>
        <w:ind w:hanging="283" w:left="5812" w:right="-1"/>
        <w:rPr>
          <w:rFonts w:ascii="XO Thames" w:hAnsi="XO Thames"/>
          <w:sz w:val="26"/>
        </w:rPr>
      </w:pPr>
    </w:p>
    <w:p w14:paraId="DD000000">
      <w:pPr>
        <w:ind/>
        <w:jc w:val="center"/>
        <w:rPr>
          <w:rFonts w:ascii="XO Thames" w:hAnsi="XO Thames"/>
          <w:b w:val="1"/>
          <w:color w:val="000000"/>
          <w:sz w:val="26"/>
        </w:rPr>
      </w:pPr>
      <w:r>
        <w:rPr>
          <w:rFonts w:ascii="XO Thames" w:hAnsi="XO Thames"/>
          <w:b w:val="1"/>
          <w:color w:val="000000"/>
          <w:sz w:val="26"/>
        </w:rPr>
        <w:t>Спецификация</w:t>
      </w:r>
    </w:p>
    <w:p w14:paraId="DE000000">
      <w:pPr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2"/>
        <w:tblW w:type="auto" w:w="0"/>
        <w:tblInd w:type="dxa" w:w="-594"/>
        <w:tblLayout w:type="fixed"/>
      </w:tblPr>
      <w:tblGrid>
        <w:gridCol w:w="607"/>
        <w:gridCol w:w="1525"/>
        <w:gridCol w:w="1231"/>
        <w:gridCol w:w="1359"/>
        <w:gridCol w:w="1483"/>
        <w:gridCol w:w="989"/>
        <w:gridCol w:w="614"/>
        <w:gridCol w:w="1117"/>
        <w:gridCol w:w="1113"/>
      </w:tblGrid>
      <w:tr>
        <w:tc>
          <w:tcPr>
            <w:tcW w:type="dxa" w:w="607"/>
            <w:shd w:fill="FFFFFF" w:val="clear"/>
            <w:vAlign w:val="center"/>
          </w:tcPr>
          <w:p w14:paraId="DF000000">
            <w:pPr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 п/п</w:t>
            </w:r>
          </w:p>
        </w:tc>
        <w:tc>
          <w:tcPr>
            <w:tcW w:type="dxa" w:w="1525"/>
            <w:shd w:fill="FFFFFF" w:val="clear"/>
            <w:vAlign w:val="center"/>
          </w:tcPr>
          <w:p w14:paraId="E000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Наименование</w:t>
            </w:r>
          </w:p>
          <w:p w14:paraId="E100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Товара</w:t>
            </w:r>
          </w:p>
        </w:tc>
        <w:tc>
          <w:tcPr>
            <w:tcW w:type="dxa" w:w="1231"/>
            <w:shd w:fill="FFFFFF" w:val="clear"/>
            <w:vAlign w:val="center"/>
          </w:tcPr>
          <w:p w14:paraId="E200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Наименование товара, работы, услуги по КТРУ</w:t>
            </w:r>
          </w:p>
        </w:tc>
        <w:tc>
          <w:tcPr>
            <w:tcW w:type="dxa" w:w="1359"/>
            <w:vAlign w:val="center"/>
          </w:tcPr>
          <w:p w14:paraId="E300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 xml:space="preserve">Наименование </w:t>
            </w:r>
            <w:r>
              <w:rPr>
                <w:rFonts w:ascii="XO Thames" w:hAnsi="XO Thames"/>
                <w:b w:val="1"/>
                <w:sz w:val="20"/>
              </w:rPr>
              <w:t xml:space="preserve"> </w:t>
            </w:r>
            <w:r>
              <w:rPr>
                <w:rFonts w:ascii="XO Thames" w:hAnsi="XO Thames"/>
                <w:b w:val="1"/>
                <w:sz w:val="20"/>
              </w:rPr>
              <w:t>показателя</w:t>
            </w:r>
            <w:r>
              <w:rPr>
                <w:rFonts w:ascii="XO Thames" w:hAnsi="XO Thames"/>
                <w:b w:val="1"/>
                <w:sz w:val="20"/>
              </w:rPr>
              <w:t xml:space="preserve"> или характеристики</w:t>
            </w:r>
          </w:p>
        </w:tc>
        <w:tc>
          <w:tcPr>
            <w:tcW w:type="dxa" w:w="1483"/>
            <w:vAlign w:val="center"/>
          </w:tcPr>
          <w:p w14:paraId="E400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Значение</w:t>
            </w:r>
          </w:p>
          <w:p w14:paraId="E500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характеристики</w:t>
            </w:r>
          </w:p>
        </w:tc>
        <w:tc>
          <w:tcPr>
            <w:tcW w:type="dxa" w:w="989"/>
            <w:vAlign w:val="center"/>
          </w:tcPr>
          <w:p w14:paraId="E600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  <w:r>
              <w:rPr>
                <w:rFonts w:ascii="XO Thames" w:hAnsi="XO Thames"/>
                <w:b w:val="1"/>
                <w:color w:val="333333"/>
                <w:sz w:val="20"/>
              </w:rPr>
              <w:t>Ед.</w:t>
            </w:r>
            <w:r>
              <w:rPr>
                <w:rFonts w:ascii="XO Thames" w:hAnsi="XO Thames"/>
                <w:b w:val="1"/>
                <w:color w:val="333333"/>
                <w:sz w:val="20"/>
              </w:rPr>
              <w:t xml:space="preserve"> изм.</w:t>
            </w:r>
          </w:p>
        </w:tc>
        <w:tc>
          <w:tcPr>
            <w:tcW w:type="dxa" w:w="614"/>
            <w:vAlign w:val="center"/>
          </w:tcPr>
          <w:p w14:paraId="E700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Кол-во закупаемого товара,</w:t>
            </w:r>
          </w:p>
          <w:p w14:paraId="E800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(шт.)</w:t>
            </w:r>
          </w:p>
        </w:tc>
        <w:tc>
          <w:tcPr>
            <w:tcW w:type="dxa" w:w="1117"/>
            <w:vAlign w:val="center"/>
          </w:tcPr>
          <w:p w14:paraId="E900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Цена за ед., руб.</w:t>
            </w:r>
          </w:p>
          <w:p w14:paraId="EA00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с НДС</w:t>
            </w:r>
          </w:p>
          <w:p w14:paraId="EB000000">
            <w:pPr>
              <w:tabs>
                <w:tab w:leader="none" w:pos="4080" w:val="left"/>
              </w:tabs>
              <w:ind w:firstLine="0" w:left="-100" w:right="-106"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(если НДС</w:t>
            </w:r>
            <w:r>
              <w:rPr>
                <w:rFonts w:ascii="XO Thames" w:hAnsi="XO Thames"/>
                <w:b w:val="1"/>
                <w:sz w:val="20"/>
              </w:rPr>
              <w:br/>
            </w:r>
            <w:r>
              <w:rPr>
                <w:rFonts w:ascii="XO Thames" w:hAnsi="XO Thames"/>
                <w:b w:val="1"/>
                <w:sz w:val="20"/>
              </w:rPr>
              <w:t xml:space="preserve">не облагается, указать </w:t>
            </w:r>
            <w:r>
              <w:rPr>
                <w:rFonts w:ascii="XO Thames" w:hAnsi="XO Thames"/>
                <w:b w:val="1"/>
                <w:sz w:val="20"/>
              </w:rPr>
              <w:br/>
            </w:r>
            <w:r>
              <w:rPr>
                <w:rFonts w:ascii="XO Thames" w:hAnsi="XO Thames"/>
                <w:b w:val="1"/>
                <w:sz w:val="20"/>
              </w:rPr>
              <w:t>«</w:t>
            </w:r>
            <w:r>
              <w:rPr>
                <w:rFonts w:ascii="XO Thames" w:hAnsi="XO Thames"/>
                <w:b w:val="1"/>
                <w:sz w:val="20"/>
              </w:rPr>
              <w:t>НДС  не</w:t>
            </w:r>
            <w:r>
              <w:rPr>
                <w:rFonts w:ascii="XO Thames" w:hAnsi="XO Thames"/>
                <w:b w:val="1"/>
                <w:sz w:val="20"/>
              </w:rPr>
              <w:t xml:space="preserve"> облагается»)</w:t>
            </w:r>
          </w:p>
        </w:tc>
        <w:tc>
          <w:tcPr>
            <w:tcW w:type="dxa" w:w="1113"/>
            <w:vAlign w:val="center"/>
          </w:tcPr>
          <w:p w14:paraId="EC00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Сумма, руб.</w:t>
            </w:r>
          </w:p>
          <w:p w14:paraId="ED00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с НДС</w:t>
            </w:r>
          </w:p>
          <w:p w14:paraId="EE000000">
            <w:pPr>
              <w:tabs>
                <w:tab w:leader="none" w:pos="4080" w:val="left"/>
              </w:tabs>
              <w:ind w:firstLine="0" w:left="-104" w:right="-112"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(если НДС</w:t>
            </w:r>
            <w:r>
              <w:rPr>
                <w:rFonts w:ascii="XO Thames" w:hAnsi="XO Thames"/>
                <w:b w:val="1"/>
                <w:sz w:val="20"/>
              </w:rPr>
              <w:br/>
            </w:r>
            <w:r>
              <w:rPr>
                <w:rFonts w:ascii="XO Thames" w:hAnsi="XO Thames"/>
                <w:b w:val="1"/>
                <w:sz w:val="20"/>
              </w:rPr>
              <w:t xml:space="preserve">не облагается, указать </w:t>
            </w:r>
            <w:r>
              <w:rPr>
                <w:rFonts w:ascii="XO Thames" w:hAnsi="XO Thames"/>
                <w:b w:val="1"/>
                <w:sz w:val="20"/>
              </w:rPr>
              <w:br/>
            </w:r>
            <w:r>
              <w:rPr>
                <w:rFonts w:ascii="XO Thames" w:hAnsi="XO Thames"/>
                <w:b w:val="1"/>
                <w:sz w:val="20"/>
              </w:rPr>
              <w:t>«НДС не облагается»)</w:t>
            </w:r>
          </w:p>
        </w:tc>
      </w:tr>
      <w:tr>
        <w:tc>
          <w:tcPr>
            <w:tcW w:type="dxa" w:w="607"/>
            <w:vMerge w:val="restart"/>
            <w:shd w:fill="FFFFFF" w:val="clear"/>
            <w:vAlign w:val="top"/>
          </w:tcPr>
          <w:p w14:paraId="EF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XO Thames" w:hAnsi="XO Thames"/>
                <w:b w:val="0"/>
                <w:sz w:val="20"/>
              </w:rPr>
              <w:t>1.</w:t>
            </w:r>
          </w:p>
          <w:p w14:paraId="F0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1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2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3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4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5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6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7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8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</w:tc>
        <w:tc>
          <w:tcPr>
            <w:tcW w:type="dxa" w:w="1525"/>
            <w:vMerge w:val="restart"/>
            <w:shd w:fill="FFFFFF" w:val="clear"/>
            <w:vAlign w:val="top"/>
          </w:tcPr>
          <w:p w14:paraId="F9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instrText>HYPERLINK "https://www.officemag.ru/catalog/goods/641249/" \o "https://www.officemag.ru/catalog/goods/641249/"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t>Стол письменный «Арго», 1400×600×760 мм, орех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end"/>
            </w:r>
          </w:p>
          <w:p w14:paraId="FA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B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C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D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E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FF00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0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1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2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</w:tc>
        <w:tc>
          <w:tcPr>
            <w:tcW w:type="dxa" w:w="1231"/>
            <w:vMerge w:val="restart"/>
            <w:shd w:fill="FFFFFF" w:val="clear"/>
            <w:vAlign w:val="top"/>
          </w:tcPr>
          <w:p w14:paraId="0301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Стол письменный</w:t>
            </w:r>
          </w:p>
          <w:p w14:paraId="04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instrText>HYPERLINK "https://zakupki.gov.ru/epz/ktru/ktruCard/ktru-description.html?itemId=31.01.10.000-00000004&amp;amp;amp;amp;amp;amp;backUrl=" \o "https://zakupki.gov.ru/epz/ktru/ktruCard/ktru-description.html?itemId=31.01.10.000-00000004&amp;amp;amp;amp;amp;amp;backUrl="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t>31.01.10.000-00000004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end"/>
            </w:r>
          </w:p>
          <w:p w14:paraId="05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6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7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8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9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A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B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C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  <w:p w14:paraId="0D010000">
            <w:pPr>
              <w:pStyle w:val="Style_4"/>
              <w:rPr>
                <w:rFonts w:ascii="XO Thames" w:hAnsi="XO Thames"/>
                <w:b w:val="0"/>
                <w:sz w:val="20"/>
              </w:rPr>
            </w:pPr>
          </w:p>
        </w:tc>
        <w:tc>
          <w:tcPr>
            <w:tcW w:type="dxa" w:w="1359"/>
            <w:vAlign w:val="top"/>
          </w:tcPr>
          <w:p w14:paraId="0E01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Вид материала каркаса</w:t>
            </w:r>
          </w:p>
        </w:tc>
        <w:tc>
          <w:tcPr>
            <w:tcW w:type="dxa" w:w="1483"/>
            <w:vAlign w:val="top"/>
          </w:tcPr>
          <w:p w14:paraId="0F010000">
            <w:pPr>
              <w:pStyle w:val="Style_4"/>
              <w:rPr>
                <w:rFonts w:ascii="XO Thames" w:hAnsi="XO Thames"/>
                <w:b w:val="0"/>
                <w:color w:val="00000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z w:val="20"/>
              </w:rPr>
              <w:t>ЛДСП</w:t>
            </w:r>
          </w:p>
        </w:tc>
        <w:tc>
          <w:tcPr>
            <w:tcW w:type="dxa" w:w="989"/>
            <w:vMerge w:val="restart"/>
            <w:vAlign w:val="top"/>
          </w:tcPr>
          <w:p w14:paraId="10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шт.</w:t>
            </w:r>
          </w:p>
          <w:p w14:paraId="11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12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13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14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15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16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17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18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19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</w:tc>
        <w:tc>
          <w:tcPr>
            <w:tcW w:type="dxa" w:w="614"/>
            <w:vMerge w:val="restart"/>
            <w:vAlign w:val="top"/>
          </w:tcPr>
          <w:p w14:paraId="1A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3</w:t>
            </w:r>
          </w:p>
          <w:p w14:paraId="1B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1C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1D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1E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1F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20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21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22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23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7"/>
            <w:vMerge w:val="restart"/>
            <w:vAlign w:val="center"/>
          </w:tcPr>
          <w:p w14:paraId="2401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3"/>
            <w:vMerge w:val="restart"/>
            <w:vAlign w:val="center"/>
          </w:tcPr>
          <w:p w14:paraId="2501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26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Конфигурация стола</w:t>
            </w:r>
          </w:p>
        </w:tc>
        <w:tc>
          <w:tcPr>
            <w:tcW w:type="dxa" w:w="1483"/>
            <w:vAlign w:val="top"/>
          </w:tcPr>
          <w:p w14:paraId="27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прямой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28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Назначение стола</w:t>
            </w:r>
          </w:p>
        </w:tc>
        <w:tc>
          <w:tcPr>
            <w:tcW w:type="dxa" w:w="1483"/>
            <w:vAlign w:val="top"/>
          </w:tcPr>
          <w:p w14:paraId="29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для персонала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2A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Тип каркаса</w:t>
            </w:r>
          </w:p>
        </w:tc>
        <w:tc>
          <w:tcPr>
            <w:tcW w:type="dxa" w:w="1483"/>
            <w:vAlign w:val="top"/>
          </w:tcPr>
          <w:p w14:paraId="2B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деревянный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2C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 xml:space="preserve">Толщина материала 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каркаса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 xml:space="preserve"> (мм)</w:t>
            </w:r>
          </w:p>
        </w:tc>
        <w:tc>
          <w:tcPr>
            <w:tcW w:type="dxa" w:w="1483"/>
            <w:vAlign w:val="top"/>
          </w:tcPr>
          <w:p w14:paraId="2D010000">
            <w:pPr>
              <w:pStyle w:val="Style_4"/>
              <w:rPr>
                <w:rFonts w:ascii="XO Thames" w:hAnsi="XO Thames"/>
                <w:b w:val="1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334059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  <w:t>20 и &lt; 24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2E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Высота (мм)</w:t>
            </w:r>
          </w:p>
        </w:tc>
        <w:tc>
          <w:tcPr>
            <w:tcW w:type="dxa" w:w="1483"/>
            <w:vAlign w:val="top"/>
          </w:tcPr>
          <w:p w14:paraId="2F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7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6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0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30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Глубина (мм)</w:t>
            </w:r>
          </w:p>
        </w:tc>
        <w:tc>
          <w:tcPr>
            <w:tcW w:type="dxa" w:w="1483"/>
            <w:vAlign w:val="top"/>
          </w:tcPr>
          <w:p w14:paraId="31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6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00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32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Ширина (мм)</w:t>
            </w:r>
          </w:p>
        </w:tc>
        <w:tc>
          <w:tcPr>
            <w:tcW w:type="dxa" w:w="1483"/>
            <w:vAlign w:val="top"/>
          </w:tcPr>
          <w:p w14:paraId="33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1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4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00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34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Цвет</w:t>
            </w:r>
          </w:p>
        </w:tc>
        <w:tc>
          <w:tcPr>
            <w:tcW w:type="dxa" w:w="1483"/>
            <w:vAlign w:val="top"/>
          </w:tcPr>
          <w:p w14:paraId="35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о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рех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3601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Фурнитура</w:t>
            </w:r>
          </w:p>
        </w:tc>
        <w:tc>
          <w:tcPr>
            <w:tcW w:type="dxa" w:w="1483"/>
            <w:vAlign w:val="top"/>
          </w:tcPr>
          <w:p w14:paraId="3701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наличие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vMerge w:val="restart"/>
            <w:shd w:fill="FFFFFF" w:val="clear"/>
            <w:vAlign w:val="top"/>
          </w:tcPr>
          <w:p w14:paraId="38010000">
            <w:pPr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 xml:space="preserve">2. </w:t>
            </w:r>
          </w:p>
          <w:p w14:paraId="39010000">
            <w:pPr>
              <w:rPr>
                <w:rFonts w:ascii="XO Thames" w:hAnsi="XO Thames"/>
                <w:b w:val="1"/>
                <w:sz w:val="20"/>
              </w:rPr>
            </w:pPr>
          </w:p>
          <w:p w14:paraId="3A010000">
            <w:pPr>
              <w:rPr>
                <w:rFonts w:ascii="XO Thames" w:hAnsi="XO Thames"/>
                <w:b w:val="1"/>
                <w:sz w:val="20"/>
              </w:rPr>
            </w:pPr>
          </w:p>
          <w:p w14:paraId="3B010000">
            <w:pPr>
              <w:rPr>
                <w:rFonts w:ascii="XO Thames" w:hAnsi="XO Thames"/>
                <w:b w:val="1"/>
                <w:sz w:val="20"/>
              </w:rPr>
            </w:pPr>
          </w:p>
          <w:p w14:paraId="3C010000">
            <w:pPr>
              <w:rPr>
                <w:rFonts w:ascii="XO Thames" w:hAnsi="XO Thames"/>
                <w:b w:val="1"/>
                <w:sz w:val="20"/>
              </w:rPr>
            </w:pPr>
          </w:p>
          <w:p w14:paraId="3D010000">
            <w:pPr>
              <w:rPr>
                <w:rFonts w:ascii="XO Thames" w:hAnsi="XO Thames"/>
                <w:b w:val="1"/>
                <w:sz w:val="20"/>
              </w:rPr>
            </w:pPr>
          </w:p>
          <w:p w14:paraId="3E010000">
            <w:pPr>
              <w:rPr>
                <w:rFonts w:ascii="XO Thames" w:hAnsi="XO Thames"/>
                <w:b w:val="1"/>
                <w:sz w:val="20"/>
              </w:rPr>
            </w:pPr>
          </w:p>
          <w:p w14:paraId="3F010000">
            <w:pPr>
              <w:rPr>
                <w:rFonts w:ascii="XO Thames" w:hAnsi="XO Thames"/>
                <w:b w:val="1"/>
                <w:sz w:val="20"/>
              </w:rPr>
            </w:pPr>
          </w:p>
          <w:p w14:paraId="40010000">
            <w:pPr>
              <w:rPr>
                <w:rFonts w:ascii="XO Thames" w:hAnsi="XO Thames"/>
                <w:b w:val="1"/>
                <w:sz w:val="20"/>
              </w:rPr>
            </w:pPr>
          </w:p>
          <w:p w14:paraId="41010000">
            <w:pPr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525"/>
            <w:vMerge w:val="restart"/>
            <w:shd w:fill="FFFFFF" w:val="clear"/>
            <w:vAlign w:val="top"/>
          </w:tcPr>
          <w:p w14:paraId="42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instrText>HYPERLINK "https://www.officemag.ru/catalog/goods/641395/" \o "https://www.officemag.ru/catalog/goods/641395/"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t>Тумба подкатная «Арго», 440×450×580 мм,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br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t xml:space="preserve"> 3 ящика, замок, орех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end"/>
            </w:r>
          </w:p>
          <w:p w14:paraId="43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4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5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6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7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8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9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A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B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231"/>
            <w:vMerge w:val="restart"/>
            <w:shd w:fill="FFFFFF" w:val="clear"/>
            <w:vAlign w:val="top"/>
          </w:tcPr>
          <w:p w14:paraId="4C010000">
            <w:pPr>
              <w:pStyle w:val="Style_14"/>
              <w:spacing w:after="0" w:line="240" w:lineRule="auto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Тумба офисная деревянная</w:t>
            </w:r>
          </w:p>
          <w:p w14:paraId="4D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instrText>HYPERLINK "https://zakupki.gov.ru/epz/ktru/ktruCard/ktru-description.html?itemId=31.01.12.150-00000003&amp;amp;amp;amp;backUrl=" \o "https://zakupki.gov.ru/epz/ktru/ktruCard/ktru-description.html?itemId=31.01.12.150-00000003&amp;amp;amp;amp;backUrl="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t>31.01.12.150-00000003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end"/>
            </w:r>
          </w:p>
          <w:p w14:paraId="4E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F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50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51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52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53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54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55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56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359"/>
            <w:vAlign w:val="top"/>
          </w:tcPr>
          <w:p w14:paraId="57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Вид тумбы</w:t>
            </w:r>
          </w:p>
        </w:tc>
        <w:tc>
          <w:tcPr>
            <w:tcW w:type="dxa" w:w="1483"/>
            <w:vAlign w:val="top"/>
          </w:tcPr>
          <w:p w14:paraId="58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для документов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br/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 xml:space="preserve"> и канцелярских принадлежностей</w:t>
            </w:r>
          </w:p>
        </w:tc>
        <w:tc>
          <w:tcPr>
            <w:tcW w:type="dxa" w:w="989"/>
            <w:vMerge w:val="restart"/>
            <w:vAlign w:val="center"/>
          </w:tcPr>
          <w:p w14:paraId="59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шт.</w:t>
            </w:r>
          </w:p>
          <w:p w14:paraId="5A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5B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5C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5D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5E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5F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0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1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2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3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4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5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6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7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8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9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A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6B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</w:tc>
        <w:tc>
          <w:tcPr>
            <w:tcW w:type="dxa" w:w="614"/>
            <w:vMerge w:val="restart"/>
            <w:vAlign w:val="center"/>
          </w:tcPr>
          <w:p w14:paraId="6C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3</w:t>
            </w:r>
          </w:p>
          <w:p w14:paraId="6D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6E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6F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0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1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2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3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4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5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6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7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8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9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A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B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C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D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E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7"/>
            <w:vMerge w:val="restart"/>
            <w:vAlign w:val="center"/>
          </w:tcPr>
          <w:p w14:paraId="7F01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3"/>
            <w:vMerge w:val="restart"/>
            <w:vAlign w:val="center"/>
          </w:tcPr>
          <w:p w14:paraId="8001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81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Вид материала корпуса</w:t>
            </w:r>
          </w:p>
        </w:tc>
        <w:tc>
          <w:tcPr>
            <w:tcW w:type="dxa" w:w="1483"/>
            <w:vAlign w:val="top"/>
          </w:tcPr>
          <w:p w14:paraId="82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ЛДСП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83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Тип конструкции тумбы</w:t>
            </w:r>
          </w:p>
        </w:tc>
        <w:tc>
          <w:tcPr>
            <w:tcW w:type="dxa" w:w="1483"/>
            <w:vAlign w:val="top"/>
          </w:tcPr>
          <w:p w14:paraId="84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выкатная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85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Высота тумбы (см)</w:t>
            </w:r>
          </w:p>
        </w:tc>
        <w:tc>
          <w:tcPr>
            <w:tcW w:type="dxa" w:w="1483"/>
            <w:vAlign w:val="top"/>
          </w:tcPr>
          <w:p w14:paraId="86010000">
            <w:pPr>
              <w:pStyle w:val="Style_4"/>
              <w:rPr>
                <w:rFonts w:ascii="XO Thames" w:hAnsi="XO Thames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55  и  &lt; 60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87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Глубина тумбы (см)</w:t>
            </w:r>
          </w:p>
        </w:tc>
        <w:tc>
          <w:tcPr>
            <w:tcW w:type="dxa" w:w="1483"/>
            <w:vAlign w:val="top"/>
          </w:tcPr>
          <w:p w14:paraId="88010000">
            <w:pPr>
              <w:pStyle w:val="Style_4"/>
              <w:rPr>
                <w:rFonts w:ascii="XO Thames" w:hAnsi="XO Thames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45  и  &lt; 50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89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Ширина тумбы (см)</w:t>
            </w:r>
          </w:p>
        </w:tc>
        <w:tc>
          <w:tcPr>
            <w:tcW w:type="dxa" w:w="1483"/>
            <w:vAlign w:val="top"/>
          </w:tcPr>
          <w:p w14:paraId="8A010000">
            <w:pPr>
              <w:pStyle w:val="Style_4"/>
              <w:rPr>
                <w:rFonts w:ascii="XO Thames" w:hAnsi="XO Thames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40  и  &lt; 45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8B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Количество выдвижных ящиков (шт)</w:t>
            </w:r>
          </w:p>
        </w:tc>
        <w:tc>
          <w:tcPr>
            <w:tcW w:type="dxa" w:w="1483"/>
            <w:vAlign w:val="top"/>
          </w:tcPr>
          <w:p w14:paraId="8C010000">
            <w:pPr>
              <w:pStyle w:val="Style_4"/>
              <w:rPr>
                <w:rFonts w:ascii="XO Thames" w:hAnsi="XO Thames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8D01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Наличие замка</w:t>
            </w:r>
          </w:p>
        </w:tc>
        <w:tc>
          <w:tcPr>
            <w:tcW w:type="dxa" w:w="1483"/>
            <w:vAlign w:val="top"/>
          </w:tcPr>
          <w:p w14:paraId="8E01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замок на верхнем выдвижном ящике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8F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Цвет</w:t>
            </w:r>
          </w:p>
        </w:tc>
        <w:tc>
          <w:tcPr>
            <w:tcW w:type="dxa" w:w="1483"/>
            <w:vAlign w:val="top"/>
          </w:tcPr>
          <w:p w14:paraId="90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о</w:t>
            </w:r>
            <w:r>
              <w:rPr>
                <w:rFonts w:ascii="XO Thames" w:hAnsi="XO Thames"/>
                <w:color w:val="000000"/>
                <w:spacing w:val="0"/>
                <w:sz w:val="20"/>
              </w:rPr>
              <w:t>рех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9101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Фурнитура</w:t>
            </w:r>
          </w:p>
        </w:tc>
        <w:tc>
          <w:tcPr>
            <w:tcW w:type="dxa" w:w="1483"/>
            <w:vAlign w:val="top"/>
          </w:tcPr>
          <w:p w14:paraId="9201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наличие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vMerge w:val="restart"/>
            <w:shd w:fill="FFFFFF" w:val="clear"/>
            <w:vAlign w:val="top"/>
          </w:tcPr>
          <w:p w14:paraId="93010000">
            <w:pPr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3.</w:t>
            </w:r>
          </w:p>
          <w:p w14:paraId="94010000">
            <w:pPr>
              <w:rPr>
                <w:rFonts w:ascii="XO Thames" w:hAnsi="XO Thames"/>
                <w:b w:val="1"/>
                <w:sz w:val="20"/>
              </w:rPr>
            </w:pPr>
          </w:p>
          <w:p w14:paraId="95010000">
            <w:pPr>
              <w:rPr>
                <w:rFonts w:ascii="XO Thames" w:hAnsi="XO Thames"/>
                <w:b w:val="1"/>
                <w:sz w:val="20"/>
              </w:rPr>
            </w:pPr>
          </w:p>
          <w:p w14:paraId="96010000">
            <w:pPr>
              <w:rPr>
                <w:rFonts w:ascii="XO Thames" w:hAnsi="XO Thames"/>
                <w:b w:val="1"/>
                <w:sz w:val="20"/>
              </w:rPr>
            </w:pPr>
          </w:p>
          <w:p w14:paraId="97010000">
            <w:pPr>
              <w:rPr>
                <w:rFonts w:ascii="XO Thames" w:hAnsi="XO Thames"/>
                <w:b w:val="1"/>
                <w:sz w:val="20"/>
              </w:rPr>
            </w:pPr>
          </w:p>
          <w:p w14:paraId="98010000">
            <w:pPr>
              <w:rPr>
                <w:rFonts w:ascii="XO Thames" w:hAnsi="XO Thames"/>
                <w:b w:val="1"/>
                <w:sz w:val="20"/>
              </w:rPr>
            </w:pPr>
          </w:p>
          <w:p w14:paraId="99010000">
            <w:pPr>
              <w:rPr>
                <w:rFonts w:ascii="XO Thames" w:hAnsi="XO Thames"/>
                <w:b w:val="1"/>
                <w:sz w:val="20"/>
              </w:rPr>
            </w:pPr>
          </w:p>
          <w:p w14:paraId="9A010000">
            <w:pPr>
              <w:rPr>
                <w:rFonts w:ascii="XO Thames" w:hAnsi="XO Thames"/>
                <w:b w:val="1"/>
                <w:sz w:val="20"/>
              </w:rPr>
            </w:pPr>
          </w:p>
          <w:p w14:paraId="9B010000">
            <w:pPr>
              <w:rPr>
                <w:rFonts w:ascii="XO Thames" w:hAnsi="XO Thames"/>
                <w:b w:val="1"/>
                <w:sz w:val="20"/>
              </w:rPr>
            </w:pPr>
          </w:p>
          <w:p w14:paraId="9C010000">
            <w:pPr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525"/>
            <w:vMerge w:val="restart"/>
            <w:shd w:fill="FFFFFF" w:val="clear"/>
            <w:vAlign w:val="top"/>
          </w:tcPr>
          <w:p w14:paraId="9D010000">
            <w:pPr>
              <w:pStyle w:val="Style_6"/>
              <w:spacing w:after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z w:val="2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instrText>HYPERLINK "https://www.officemag.ru/catalog/goods/641254/" \o "https://www.officemag.ru/catalog/goods/641254/"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t>Стол письменный «Арго», 1200×730×760 мм, орех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end"/>
            </w:r>
          </w:p>
          <w:p w14:paraId="9E010000">
            <w:pPr>
              <w:pStyle w:val="Style_6"/>
              <w:tabs>
                <w:tab w:leader="none" w:pos="3468" w:val="left"/>
              </w:tabs>
              <w:spacing w:after="0" w:before="0" w:line="240" w:lineRule="auto"/>
              <w:ind w:firstLine="0" w:left="0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9F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0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1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2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3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4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5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6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7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8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231"/>
            <w:vMerge w:val="restart"/>
            <w:shd w:fill="FFFFFF" w:val="clear"/>
            <w:vAlign w:val="top"/>
          </w:tcPr>
          <w:p w14:paraId="A9010000">
            <w:pPr>
              <w:pStyle w:val="Style_14"/>
              <w:spacing w:after="0" w:line="240" w:lineRule="auto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Стол письменный</w:t>
            </w:r>
          </w:p>
          <w:p w14:paraId="AA010000">
            <w:pPr>
              <w:pStyle w:val="Style_14"/>
              <w:spacing w:after="0" w:line="240" w:lineRule="auto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instrText>HYPERLINK "https://zakupki.gov.ru/epz/ktru/ktruCard/ktru-description.html?itemId=31.01.10.000-00000004&amp;amp;amp;backUrl=" \o "https://zakupki.gov.ru/epz/ktru/ktruCard/ktru-description.html?itemId=31.01.10.000-00000004&amp;amp;amp;backUrl="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t>31.01.10.000-00000004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end"/>
            </w:r>
          </w:p>
          <w:p w14:paraId="AB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C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D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E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F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B0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B1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B2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B3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B401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359"/>
            <w:vAlign w:val="top"/>
          </w:tcPr>
          <w:p w14:paraId="B501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Вид материала каркаса</w:t>
            </w:r>
          </w:p>
        </w:tc>
        <w:tc>
          <w:tcPr>
            <w:tcW w:type="dxa" w:w="1483"/>
            <w:vAlign w:val="top"/>
          </w:tcPr>
          <w:p w14:paraId="B601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ЛДСП</w:t>
            </w:r>
          </w:p>
        </w:tc>
        <w:tc>
          <w:tcPr>
            <w:tcW w:type="dxa" w:w="989"/>
            <w:vMerge w:val="restart"/>
            <w:vAlign w:val="center"/>
          </w:tcPr>
          <w:p w14:paraId="B7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шт.</w:t>
            </w:r>
          </w:p>
          <w:p w14:paraId="B8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B9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BA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BB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BC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BD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BE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BF01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C0010000">
            <w:pPr>
              <w:ind/>
              <w:jc w:val="center"/>
              <w:rPr>
                <w:rFonts w:ascii="XO Thames" w:hAnsi="XO Thames"/>
                <w:sz w:val="20"/>
              </w:rPr>
            </w:pPr>
          </w:p>
          <w:p w14:paraId="C1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C2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C3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C4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C5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C6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C7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C8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C901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</w:tc>
        <w:tc>
          <w:tcPr>
            <w:tcW w:type="dxa" w:w="614"/>
            <w:vMerge w:val="restart"/>
            <w:vAlign w:val="center"/>
          </w:tcPr>
          <w:p w14:paraId="CA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9</w:t>
            </w:r>
          </w:p>
          <w:p w14:paraId="CB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CC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CD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CE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CF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D0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D1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D201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D3010000">
            <w:pPr>
              <w:ind/>
              <w:jc w:val="center"/>
              <w:rPr>
                <w:rFonts w:ascii="XO Thames" w:hAnsi="XO Thames"/>
                <w:sz w:val="20"/>
              </w:rPr>
            </w:pPr>
          </w:p>
          <w:p w14:paraId="D4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5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6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7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8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9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A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B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C01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7"/>
            <w:vMerge w:val="restart"/>
            <w:vAlign w:val="center"/>
          </w:tcPr>
          <w:p w14:paraId="DD01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3"/>
            <w:vMerge w:val="restart"/>
            <w:vAlign w:val="center"/>
          </w:tcPr>
          <w:p w14:paraId="DE01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DF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Конфигурация стола</w:t>
            </w:r>
          </w:p>
        </w:tc>
        <w:tc>
          <w:tcPr>
            <w:tcW w:type="dxa" w:w="1483"/>
            <w:vAlign w:val="top"/>
          </w:tcPr>
          <w:p w14:paraId="E0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прямой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E1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Назначение стола</w:t>
            </w:r>
          </w:p>
        </w:tc>
        <w:tc>
          <w:tcPr>
            <w:tcW w:type="dxa" w:w="1483"/>
            <w:vAlign w:val="top"/>
          </w:tcPr>
          <w:p w14:paraId="E2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для персонала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E3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Тип каркаса</w:t>
            </w:r>
          </w:p>
        </w:tc>
        <w:tc>
          <w:tcPr>
            <w:tcW w:type="dxa" w:w="1483"/>
            <w:vAlign w:val="top"/>
          </w:tcPr>
          <w:p w14:paraId="E4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деревянный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E5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 xml:space="preserve">Толщина материала 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каркаса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 xml:space="preserve"> (мм)</w:t>
            </w:r>
          </w:p>
        </w:tc>
        <w:tc>
          <w:tcPr>
            <w:tcW w:type="dxa" w:w="1483"/>
            <w:vAlign w:val="top"/>
          </w:tcPr>
          <w:p w14:paraId="E601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20 и &lt; 24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E7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Высота (мм)</w:t>
            </w:r>
          </w:p>
        </w:tc>
        <w:tc>
          <w:tcPr>
            <w:tcW w:type="dxa" w:w="1483"/>
            <w:vAlign w:val="top"/>
          </w:tcPr>
          <w:p w14:paraId="E8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7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6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0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E9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Глубина (мм)</w:t>
            </w:r>
          </w:p>
        </w:tc>
        <w:tc>
          <w:tcPr>
            <w:tcW w:type="dxa" w:w="1483"/>
            <w:vAlign w:val="top"/>
          </w:tcPr>
          <w:p w14:paraId="EA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730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EB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Ширина (мм)</w:t>
            </w:r>
          </w:p>
        </w:tc>
        <w:tc>
          <w:tcPr>
            <w:tcW w:type="dxa" w:w="1483"/>
            <w:vAlign w:val="top"/>
          </w:tcPr>
          <w:p w14:paraId="EC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1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2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00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ED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Цвет</w:t>
            </w:r>
          </w:p>
        </w:tc>
        <w:tc>
          <w:tcPr>
            <w:tcW w:type="dxa" w:w="1483"/>
            <w:vAlign w:val="top"/>
          </w:tcPr>
          <w:p w14:paraId="EE01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о</w:t>
            </w:r>
            <w:r>
              <w:rPr>
                <w:rFonts w:ascii="XO Thames" w:hAnsi="XO Thames"/>
                <w:color w:val="000000"/>
                <w:spacing w:val="0"/>
                <w:sz w:val="20"/>
              </w:rPr>
              <w:t>рех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EF01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Фурнитура</w:t>
            </w:r>
          </w:p>
        </w:tc>
        <w:tc>
          <w:tcPr>
            <w:tcW w:type="dxa" w:w="1483"/>
            <w:vAlign w:val="top"/>
          </w:tcPr>
          <w:p w14:paraId="F001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наличие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vMerge w:val="restart"/>
            <w:shd w:fill="FFFFFF" w:val="clear"/>
            <w:vAlign w:val="top"/>
          </w:tcPr>
          <w:p w14:paraId="F1010000">
            <w:pPr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4.</w:t>
            </w:r>
          </w:p>
          <w:p w14:paraId="F2010000">
            <w:pPr>
              <w:rPr>
                <w:rFonts w:ascii="XO Thames" w:hAnsi="XO Thames"/>
                <w:b w:val="1"/>
                <w:sz w:val="20"/>
              </w:rPr>
            </w:pPr>
          </w:p>
          <w:p w14:paraId="F3010000">
            <w:pPr>
              <w:rPr>
                <w:rFonts w:ascii="XO Thames" w:hAnsi="XO Thames"/>
                <w:b w:val="1"/>
                <w:sz w:val="20"/>
              </w:rPr>
            </w:pPr>
          </w:p>
          <w:p w14:paraId="F4010000">
            <w:pPr>
              <w:rPr>
                <w:rFonts w:ascii="XO Thames" w:hAnsi="XO Thames"/>
                <w:b w:val="1"/>
                <w:sz w:val="20"/>
              </w:rPr>
            </w:pPr>
          </w:p>
          <w:p w14:paraId="F5010000">
            <w:pPr>
              <w:rPr>
                <w:rFonts w:ascii="XO Thames" w:hAnsi="XO Thames"/>
                <w:b w:val="1"/>
                <w:sz w:val="20"/>
              </w:rPr>
            </w:pPr>
          </w:p>
          <w:p w14:paraId="F6010000">
            <w:pPr>
              <w:rPr>
                <w:rFonts w:ascii="XO Thames" w:hAnsi="XO Thames"/>
                <w:b w:val="1"/>
                <w:sz w:val="20"/>
              </w:rPr>
            </w:pPr>
          </w:p>
          <w:p w14:paraId="F7010000">
            <w:pPr>
              <w:rPr>
                <w:rFonts w:ascii="XO Thames" w:hAnsi="XO Thames"/>
                <w:b w:val="1"/>
                <w:sz w:val="20"/>
              </w:rPr>
            </w:pPr>
          </w:p>
          <w:p w14:paraId="F8010000">
            <w:pPr>
              <w:rPr>
                <w:rFonts w:ascii="XO Thames" w:hAnsi="XO Thames"/>
                <w:b w:val="1"/>
                <w:sz w:val="20"/>
              </w:rPr>
            </w:pPr>
          </w:p>
          <w:p w14:paraId="F9010000">
            <w:pPr>
              <w:rPr>
                <w:rFonts w:ascii="XO Thames" w:hAnsi="XO Thames"/>
                <w:b w:val="1"/>
                <w:sz w:val="20"/>
              </w:rPr>
            </w:pPr>
          </w:p>
          <w:p w14:paraId="FA010000">
            <w:pPr>
              <w:rPr>
                <w:rFonts w:ascii="XO Thames" w:hAnsi="XO Thames"/>
                <w:b w:val="1"/>
                <w:sz w:val="20"/>
              </w:rPr>
            </w:pPr>
          </w:p>
          <w:p w14:paraId="FB010000">
            <w:pPr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525"/>
            <w:vMerge w:val="restart"/>
            <w:shd w:fill="FFFFFF" w:val="clear"/>
            <w:vAlign w:val="top"/>
          </w:tcPr>
          <w:p w14:paraId="FC010000">
            <w:pPr>
              <w:pStyle w:val="Style_6"/>
              <w:tabs>
                <w:tab w:leader="none" w:pos="3468" w:val="left"/>
              </w:tabs>
              <w:spacing w:after="0" w:before="0" w:line="240" w:lineRule="auto"/>
              <w:ind w:firstLine="0" w:left="0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Т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 xml:space="preserve">умба приставная «Арго», 440×450×760 мм, 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4 ящика, замок, орех (КОМПЛЕКТ)</w:t>
            </w:r>
          </w:p>
          <w:p w14:paraId="FD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FE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FF01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0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1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2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3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4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5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6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7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231"/>
            <w:vMerge w:val="restart"/>
            <w:shd w:fill="FFFFFF" w:val="clear"/>
            <w:vAlign w:val="top"/>
          </w:tcPr>
          <w:p w14:paraId="08020000">
            <w:pPr>
              <w:pStyle w:val="Style_14"/>
              <w:spacing w:after="0" w:line="240" w:lineRule="auto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Тумба офисная деревянная</w:t>
            </w:r>
          </w:p>
          <w:p w14:paraId="09020000">
            <w:pPr>
              <w:pStyle w:val="Style_14"/>
              <w:spacing w:after="0" w:line="240" w:lineRule="auto"/>
              <w:ind w:firstLine="0" w:left="0" w:right="0"/>
              <w:jc w:val="center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instrText>HYPERLINK "https://zakupki.gov.ru/epz/ktru/ktruCard/ktru-description.html?itemId=31.01.12.150-00000003&amp;amp;amp;backUrl=" \o "https://zakupki.gov.ru/epz/ktru/ktruCard/ktru-description.html?itemId=31.01.12.150-00000003&amp;amp;amp;backUrl="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t>31.01.12.150-00000003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end"/>
            </w:r>
          </w:p>
          <w:p w14:paraId="0A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B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C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D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E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0F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10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11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12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13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14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359"/>
            <w:vAlign w:val="top"/>
          </w:tcPr>
          <w:p w14:paraId="15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Вид тумбы</w:t>
            </w:r>
          </w:p>
        </w:tc>
        <w:tc>
          <w:tcPr>
            <w:tcW w:type="dxa" w:w="1483"/>
            <w:vAlign w:val="top"/>
          </w:tcPr>
          <w:p w14:paraId="16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для документов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br/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 xml:space="preserve"> и канцелярских принадлежностей</w:t>
            </w:r>
          </w:p>
        </w:tc>
        <w:tc>
          <w:tcPr>
            <w:tcW w:type="dxa" w:w="989"/>
            <w:vMerge w:val="restart"/>
            <w:vAlign w:val="center"/>
          </w:tcPr>
          <w:p w14:paraId="17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шт.</w:t>
            </w:r>
          </w:p>
          <w:p w14:paraId="18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19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1A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1B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1C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1D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1E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1F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20020000">
            <w:pPr>
              <w:ind/>
              <w:jc w:val="center"/>
              <w:rPr>
                <w:rFonts w:ascii="XO Thames" w:hAnsi="XO Thames"/>
                <w:sz w:val="20"/>
              </w:rPr>
            </w:pPr>
          </w:p>
          <w:p w14:paraId="21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2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3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4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5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6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7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8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9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A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B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C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D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E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2F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30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31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32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33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</w:tc>
        <w:tc>
          <w:tcPr>
            <w:tcW w:type="dxa" w:w="614"/>
            <w:vMerge w:val="restart"/>
            <w:vAlign w:val="center"/>
          </w:tcPr>
          <w:p w14:paraId="34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9</w:t>
            </w:r>
          </w:p>
          <w:p w14:paraId="35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36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37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38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39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3A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3B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3C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3D020000">
            <w:pPr>
              <w:ind/>
              <w:jc w:val="center"/>
              <w:rPr>
                <w:rFonts w:ascii="XO Thames" w:hAnsi="XO Thames"/>
                <w:sz w:val="20"/>
              </w:rPr>
            </w:pPr>
          </w:p>
          <w:p w14:paraId="3E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3F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0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1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2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3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4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5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6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7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8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9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A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B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C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D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E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4F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50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7"/>
            <w:vMerge w:val="restart"/>
            <w:vAlign w:val="center"/>
          </w:tcPr>
          <w:p w14:paraId="5102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3"/>
            <w:vMerge w:val="restart"/>
            <w:vAlign w:val="center"/>
          </w:tcPr>
          <w:p w14:paraId="5202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53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Вид материала корпуса</w:t>
            </w:r>
          </w:p>
        </w:tc>
        <w:tc>
          <w:tcPr>
            <w:tcW w:type="dxa" w:w="1483"/>
            <w:vAlign w:val="top"/>
          </w:tcPr>
          <w:p w14:paraId="54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ЛДСП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55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Тип конструкции тумбы</w:t>
            </w:r>
          </w:p>
        </w:tc>
        <w:tc>
          <w:tcPr>
            <w:tcW w:type="dxa" w:w="1483"/>
            <w:vAlign w:val="top"/>
          </w:tcPr>
          <w:p w14:paraId="56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приставная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57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Высота тумбы (см)</w:t>
            </w:r>
          </w:p>
        </w:tc>
        <w:tc>
          <w:tcPr>
            <w:tcW w:type="dxa" w:w="1483"/>
            <w:vAlign w:val="top"/>
          </w:tcPr>
          <w:p w14:paraId="58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≥ 70 и &lt; 80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59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Глубина тумбы (см)</w:t>
            </w:r>
          </w:p>
        </w:tc>
        <w:tc>
          <w:tcPr>
            <w:tcW w:type="dxa" w:w="1483"/>
            <w:vAlign w:val="top"/>
          </w:tcPr>
          <w:p w14:paraId="5A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45 и &lt; 50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5B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Ширина тумбы (см)</w:t>
            </w:r>
          </w:p>
        </w:tc>
        <w:tc>
          <w:tcPr>
            <w:tcW w:type="dxa" w:w="1483"/>
            <w:vAlign w:val="top"/>
          </w:tcPr>
          <w:p w14:paraId="5C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40 и &lt; 45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5D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Количество выдвижных ящиков (шт)</w:t>
            </w:r>
          </w:p>
        </w:tc>
        <w:tc>
          <w:tcPr>
            <w:tcW w:type="dxa" w:w="1483"/>
            <w:vAlign w:val="top"/>
          </w:tcPr>
          <w:p w14:paraId="5E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≥ 4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5F02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Крышка для тумбы</w:t>
            </w:r>
          </w:p>
        </w:tc>
        <w:tc>
          <w:tcPr>
            <w:tcW w:type="dxa" w:w="1483"/>
            <w:vAlign w:val="top"/>
          </w:tcPr>
          <w:p w14:paraId="6002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наличие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6102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Наличие замка</w:t>
            </w:r>
          </w:p>
        </w:tc>
        <w:tc>
          <w:tcPr>
            <w:tcW w:type="dxa" w:w="1483"/>
            <w:vAlign w:val="top"/>
          </w:tcPr>
          <w:p w14:paraId="6202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замок на верхнем выдвижном ящике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63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Цвет</w:t>
            </w:r>
          </w:p>
        </w:tc>
        <w:tc>
          <w:tcPr>
            <w:tcW w:type="dxa" w:w="1483"/>
            <w:vAlign w:val="top"/>
          </w:tcPr>
          <w:p w14:paraId="64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о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рех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6502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Фурнитура</w:t>
            </w:r>
          </w:p>
        </w:tc>
        <w:tc>
          <w:tcPr>
            <w:tcW w:type="dxa" w:w="1483"/>
            <w:vAlign w:val="top"/>
          </w:tcPr>
          <w:p w14:paraId="6602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наличие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vMerge w:val="restart"/>
            <w:shd w:fill="FFFFFF" w:val="clear"/>
            <w:vAlign w:val="center"/>
          </w:tcPr>
          <w:p w14:paraId="67020000">
            <w:pPr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5.</w:t>
            </w:r>
          </w:p>
          <w:p w14:paraId="68020000">
            <w:pPr>
              <w:rPr>
                <w:rFonts w:ascii="XO Thames" w:hAnsi="XO Thames"/>
                <w:b w:val="1"/>
                <w:sz w:val="20"/>
              </w:rPr>
            </w:pPr>
          </w:p>
          <w:p w14:paraId="69020000">
            <w:pPr>
              <w:rPr>
                <w:rFonts w:ascii="XO Thames" w:hAnsi="XO Thames"/>
                <w:b w:val="1"/>
                <w:sz w:val="20"/>
              </w:rPr>
            </w:pPr>
          </w:p>
          <w:p w14:paraId="6A020000">
            <w:pPr>
              <w:rPr>
                <w:rFonts w:ascii="XO Thames" w:hAnsi="XO Thames"/>
                <w:b w:val="1"/>
                <w:sz w:val="20"/>
              </w:rPr>
            </w:pPr>
          </w:p>
          <w:p w14:paraId="6B020000">
            <w:pPr>
              <w:rPr>
                <w:rFonts w:ascii="XO Thames" w:hAnsi="XO Thames"/>
                <w:b w:val="1"/>
                <w:sz w:val="20"/>
              </w:rPr>
            </w:pPr>
          </w:p>
          <w:p w14:paraId="6C020000">
            <w:pPr>
              <w:rPr>
                <w:rFonts w:ascii="XO Thames" w:hAnsi="XO Thames"/>
                <w:b w:val="1"/>
                <w:sz w:val="20"/>
              </w:rPr>
            </w:pPr>
          </w:p>
          <w:p w14:paraId="6D020000">
            <w:pPr>
              <w:rPr>
                <w:rFonts w:ascii="XO Thames" w:hAnsi="XO Thames"/>
                <w:b w:val="1"/>
                <w:sz w:val="20"/>
              </w:rPr>
            </w:pPr>
          </w:p>
          <w:p w14:paraId="6E020000">
            <w:pPr>
              <w:rPr>
                <w:rFonts w:ascii="XO Thames" w:hAnsi="XO Thames"/>
                <w:b w:val="1"/>
                <w:sz w:val="20"/>
              </w:rPr>
            </w:pPr>
          </w:p>
          <w:p w14:paraId="6F020000">
            <w:pPr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525"/>
            <w:vMerge w:val="restart"/>
            <w:shd w:fill="FFFFFF" w:val="clear"/>
            <w:vAlign w:val="center"/>
          </w:tcPr>
          <w:p w14:paraId="70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instrText>HYPERLINK "https://www.officemag.ru/catalog/goods/981586/" \o "https://www.officemag.ru/catalog/goods/981586/"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t>Шкаф для одежды «Арго», 770×580×2000 мм, орех (КОМПЛЕКТ)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end"/>
            </w:r>
          </w:p>
          <w:p w14:paraId="71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2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3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4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5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6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7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8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231"/>
            <w:vMerge w:val="restart"/>
            <w:shd w:fill="FFFFFF" w:val="clear"/>
            <w:vAlign w:val="center"/>
          </w:tcPr>
          <w:p w14:paraId="7902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Шкаф для одежды деревянный</w:t>
            </w:r>
          </w:p>
          <w:p w14:paraId="7A02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instrText>HYPERLINK "https://zakupki.gov.ru/epz/ktru/ktruCard/ktru-description.html?itemId=31.01.12.131-00000001&amp;amp;amp;backUrl=" \o "https://zakupki.gov.ru/epz/ktru/ktruCard/ktru-description.html?itemId=31.01.12.131-00000001&amp;amp;amp;backUrl="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t>31.01.12.131-00000001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end"/>
            </w:r>
          </w:p>
          <w:p w14:paraId="7B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C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D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E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7F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80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81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82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83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359"/>
            <w:vAlign w:val="center"/>
          </w:tcPr>
          <w:p w14:paraId="84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Высота шкафа (мм)</w:t>
            </w:r>
          </w:p>
        </w:tc>
        <w:tc>
          <w:tcPr>
            <w:tcW w:type="dxa" w:w="1483"/>
            <w:vAlign w:val="center"/>
          </w:tcPr>
          <w:p w14:paraId="85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2000 и &lt; 2100</w:t>
            </w:r>
          </w:p>
        </w:tc>
        <w:tc>
          <w:tcPr>
            <w:tcW w:type="dxa" w:w="989"/>
            <w:vMerge w:val="restart"/>
            <w:vAlign w:val="center"/>
          </w:tcPr>
          <w:p w14:paraId="86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шт.</w:t>
            </w:r>
          </w:p>
          <w:p w14:paraId="87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88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89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8A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8B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8C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8D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8E020000">
            <w:pPr>
              <w:ind/>
              <w:jc w:val="center"/>
              <w:rPr>
                <w:rFonts w:ascii="XO Thames" w:hAnsi="XO Thames"/>
                <w:sz w:val="20"/>
              </w:rPr>
            </w:pPr>
          </w:p>
          <w:p w14:paraId="8F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90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91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92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93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94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95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96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</w:tc>
        <w:tc>
          <w:tcPr>
            <w:tcW w:type="dxa" w:w="614"/>
            <w:vMerge w:val="restart"/>
            <w:vAlign w:val="center"/>
          </w:tcPr>
          <w:p w14:paraId="97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2</w:t>
            </w:r>
          </w:p>
          <w:p w14:paraId="98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99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9A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9B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9C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9D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9E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</w:p>
          <w:p w14:paraId="9F020000">
            <w:pPr>
              <w:ind/>
              <w:jc w:val="center"/>
              <w:rPr>
                <w:rFonts w:ascii="XO Thames" w:hAnsi="XO Thames"/>
                <w:sz w:val="20"/>
              </w:rPr>
            </w:pPr>
          </w:p>
          <w:p w14:paraId="A0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1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2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3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4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5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6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A7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7"/>
            <w:vMerge w:val="restart"/>
            <w:vAlign w:val="center"/>
          </w:tcPr>
          <w:p w14:paraId="A802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3"/>
            <w:vMerge w:val="restart"/>
            <w:vAlign w:val="center"/>
          </w:tcPr>
          <w:p w14:paraId="A902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359"/>
            <w:vAlign w:val="center"/>
          </w:tcPr>
          <w:p w14:paraId="AA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Глубина шкафа (мм)</w:t>
            </w:r>
          </w:p>
        </w:tc>
        <w:tc>
          <w:tcPr>
            <w:tcW w:type="dxa" w:w="1483"/>
            <w:vAlign w:val="center"/>
          </w:tcPr>
          <w:p w14:paraId="AB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550 и &lt; 600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359"/>
            <w:vAlign w:val="center"/>
          </w:tcPr>
          <w:p w14:paraId="AC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Длина шкафа (мм)</w:t>
            </w:r>
          </w:p>
        </w:tc>
        <w:tc>
          <w:tcPr>
            <w:tcW w:type="dxa" w:w="1483"/>
            <w:vAlign w:val="center"/>
          </w:tcPr>
          <w:p w14:paraId="AD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700 и &lt; 800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359"/>
            <w:vAlign w:val="center"/>
          </w:tcPr>
          <w:p w14:paraId="AE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Дополнительная комплектация шкафа</w:t>
            </w:r>
          </w:p>
        </w:tc>
        <w:tc>
          <w:tcPr>
            <w:tcW w:type="dxa" w:w="1483"/>
            <w:vAlign w:val="center"/>
          </w:tcPr>
          <w:p w14:paraId="AF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штанга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359"/>
            <w:vAlign w:val="center"/>
          </w:tcPr>
          <w:p w14:paraId="B0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Количество дверей (шт)</w:t>
            </w:r>
          </w:p>
        </w:tc>
        <w:tc>
          <w:tcPr>
            <w:tcW w:type="dxa" w:w="1483"/>
            <w:vAlign w:val="center"/>
          </w:tcPr>
          <w:p w14:paraId="B1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2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359"/>
            <w:vAlign w:val="center"/>
          </w:tcPr>
          <w:p w14:paraId="B2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Тип дверей шкафа</w:t>
            </w:r>
          </w:p>
        </w:tc>
        <w:tc>
          <w:tcPr>
            <w:tcW w:type="dxa" w:w="1483"/>
            <w:vAlign w:val="center"/>
          </w:tcPr>
          <w:p w14:paraId="B3020000">
            <w:pPr>
              <w:pStyle w:val="Style_4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распашные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359"/>
            <w:vAlign w:val="center"/>
          </w:tcPr>
          <w:p w14:paraId="B402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 xml:space="preserve">Количество полок внутренних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(шт)</w:t>
            </w:r>
          </w:p>
        </w:tc>
        <w:tc>
          <w:tcPr>
            <w:tcW w:type="dxa" w:w="1483"/>
            <w:vAlign w:val="center"/>
          </w:tcPr>
          <w:p w14:paraId="B5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1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359"/>
            <w:vAlign w:val="center"/>
          </w:tcPr>
          <w:p w14:paraId="B602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Цвет</w:t>
            </w:r>
          </w:p>
        </w:tc>
        <w:tc>
          <w:tcPr>
            <w:tcW w:type="dxa" w:w="1483"/>
            <w:vAlign w:val="center"/>
          </w:tcPr>
          <w:p w14:paraId="B702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о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рех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center"/>
          </w:tcPr>
          <w:p/>
        </w:tc>
        <w:tc>
          <w:tcPr>
            <w:tcW w:type="dxa" w:w="1359"/>
            <w:vAlign w:val="center"/>
          </w:tcPr>
          <w:p w14:paraId="B802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Фурнитура</w:t>
            </w:r>
          </w:p>
        </w:tc>
        <w:tc>
          <w:tcPr>
            <w:tcW w:type="dxa" w:w="1483"/>
            <w:vAlign w:val="center"/>
          </w:tcPr>
          <w:p w14:paraId="B902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наличие</w:t>
            </w:r>
          </w:p>
        </w:tc>
        <w:tc>
          <w:tcPr>
            <w:tcW w:type="dxa" w:w="989"/>
            <w:gridSpan w:val="1"/>
            <w:vMerge w:val="continue"/>
            <w:vAlign w:val="center"/>
          </w:tcPr>
          <w:p/>
        </w:tc>
        <w:tc>
          <w:tcPr>
            <w:tcW w:type="dxa" w:w="614"/>
            <w:gridSpan w:val="1"/>
            <w:vMerge w:val="continue"/>
            <w:vAlign w:val="center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vMerge w:val="restart"/>
            <w:shd w:fill="FFFFFF" w:val="clear"/>
            <w:vAlign w:val="top"/>
          </w:tcPr>
          <w:p w14:paraId="BA020000">
            <w:pPr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6.</w:t>
            </w:r>
          </w:p>
          <w:p w14:paraId="BB020000">
            <w:pPr>
              <w:rPr>
                <w:rFonts w:ascii="XO Thames" w:hAnsi="XO Thames"/>
                <w:b w:val="1"/>
                <w:sz w:val="20"/>
              </w:rPr>
            </w:pPr>
          </w:p>
          <w:p w14:paraId="BC020000">
            <w:pPr>
              <w:rPr>
                <w:rFonts w:ascii="XO Thames" w:hAnsi="XO Thames"/>
                <w:b w:val="1"/>
                <w:sz w:val="20"/>
              </w:rPr>
            </w:pPr>
          </w:p>
          <w:p w14:paraId="BD020000">
            <w:pPr>
              <w:rPr>
                <w:rFonts w:ascii="XO Thames" w:hAnsi="XO Thames"/>
                <w:b w:val="1"/>
                <w:sz w:val="20"/>
              </w:rPr>
            </w:pPr>
          </w:p>
          <w:p w14:paraId="BE020000">
            <w:pPr>
              <w:rPr>
                <w:rFonts w:ascii="XO Thames" w:hAnsi="XO Thames"/>
                <w:b w:val="1"/>
                <w:sz w:val="20"/>
              </w:rPr>
            </w:pPr>
          </w:p>
          <w:p w14:paraId="BF020000">
            <w:pPr>
              <w:rPr>
                <w:rFonts w:ascii="XO Thames" w:hAnsi="XO Thames"/>
                <w:b w:val="1"/>
                <w:sz w:val="20"/>
              </w:rPr>
            </w:pPr>
          </w:p>
          <w:p w14:paraId="C0020000">
            <w:pPr>
              <w:rPr>
                <w:rFonts w:ascii="XO Thames" w:hAnsi="XO Thames"/>
                <w:b w:val="1"/>
                <w:sz w:val="20"/>
              </w:rPr>
            </w:pPr>
          </w:p>
          <w:p w14:paraId="C1020000">
            <w:pPr>
              <w:rPr>
                <w:rFonts w:ascii="XO Thames" w:hAnsi="XO Thames"/>
                <w:b w:val="1"/>
                <w:sz w:val="20"/>
              </w:rPr>
            </w:pPr>
          </w:p>
          <w:p w14:paraId="C2020000">
            <w:pPr>
              <w:rPr>
                <w:rFonts w:ascii="XO Thames" w:hAnsi="XO Thames"/>
                <w:b w:val="1"/>
                <w:sz w:val="20"/>
              </w:rPr>
            </w:pPr>
          </w:p>
          <w:p w14:paraId="C3020000">
            <w:pPr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525"/>
            <w:vMerge w:val="restart"/>
            <w:shd w:fill="FFFFFF" w:val="clear"/>
            <w:vAlign w:val="top"/>
          </w:tcPr>
          <w:p w14:paraId="C4020000">
            <w:pPr>
              <w:pStyle w:val="Style_6"/>
              <w:tabs>
                <w:tab w:leader="none" w:pos="3468" w:val="left"/>
              </w:tabs>
              <w:spacing w:after="0" w:before="0" w:line="240" w:lineRule="auto"/>
              <w:ind w:firstLine="0" w:left="0" w:right="-79"/>
              <w:jc w:val="center"/>
              <w:rPr>
                <w:rFonts w:ascii="XO Thames" w:hAnsi="XO Thames"/>
                <w:b w:val="0"/>
                <w:color w:val="000000"/>
                <w:spacing w:val="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instrText>HYPERLINK "https://www.officemag.ru/catalog/goods/981556/" \o "https://www.officemag.ru/catalog/goods/981556/"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t xml:space="preserve">Шкаф закрытый 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br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t>со стеклом «Арго», 770×370×2000 мм, орех (КОМПЛЕКТ)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u w:val="none"/>
              </w:rPr>
              <w:fldChar w:fldCharType="end"/>
            </w:r>
          </w:p>
          <w:p w14:paraId="C5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C6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C7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C8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C9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CA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CB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CC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CD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CE020000">
            <w:pPr>
              <w:tabs>
                <w:tab w:leader="none" w:pos="3470" w:val="left"/>
              </w:tabs>
              <w:ind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231"/>
            <w:vMerge w:val="restart"/>
            <w:shd w:fill="FFFFFF" w:val="clear"/>
            <w:vAlign w:val="top"/>
          </w:tcPr>
          <w:p w14:paraId="CF02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</w:rPr>
            </w:pP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 xml:space="preserve">Шкаф деревянный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br/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для документов</w:t>
            </w:r>
          </w:p>
          <w:p w14:paraId="D0020000">
            <w:pPr>
              <w:pStyle w:val="Style_4"/>
              <w:rPr>
                <w:rFonts w:ascii="XO Thames" w:hAnsi="XO Thames"/>
                <w:b w:val="0"/>
                <w:i w:val="0"/>
                <w:caps w:val="0"/>
                <w:smallCaps w:val="0"/>
                <w:color w:val="334059"/>
                <w:spacing w:val="0"/>
              </w:rPr>
            </w:pP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begin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instrText>HYPERLINK "https://zakupki.gov.ru/epz/ktru/ktruCard/ktru-description.html?itemId=31.01.12.139-00000001&amp;amp;amp;backUrl=" \o "https://zakupki.gov.ru/epz/ktru/ktruCard/ktru-description.html?itemId=31.01.12.139-00000001&amp;amp;amp;backUrl="</w:instrTex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separate"/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t>31.01.12.139-00000001</w:t>
            </w:r>
            <w:r>
              <w:rPr>
                <w:rStyle w:val="Style_13_ch"/>
                <w:rFonts w:ascii="XO Thames" w:hAnsi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highlight w:val="white"/>
                <w:u w:val="none"/>
              </w:rPr>
              <w:fldChar w:fldCharType="end"/>
            </w:r>
          </w:p>
          <w:p w14:paraId="D102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</w:rPr>
            </w:pPr>
          </w:p>
          <w:p w14:paraId="D2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3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4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5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6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7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8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9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A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DB020000">
            <w:pPr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359"/>
            <w:vAlign w:val="top"/>
          </w:tcPr>
          <w:p w14:paraId="DC02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Наличие остекления</w:t>
            </w:r>
          </w:p>
        </w:tc>
        <w:tc>
          <w:tcPr>
            <w:tcW w:type="dxa" w:w="1483"/>
            <w:vAlign w:val="top"/>
          </w:tcPr>
          <w:p w14:paraId="DD02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да</w:t>
            </w:r>
          </w:p>
        </w:tc>
        <w:tc>
          <w:tcPr>
            <w:tcW w:type="dxa" w:w="989"/>
            <w:vMerge w:val="restart"/>
            <w:vAlign w:val="top"/>
          </w:tcPr>
          <w:p w14:paraId="DE020000">
            <w:pPr>
              <w:pStyle w:val="Style_6"/>
              <w:tabs>
                <w:tab w:leader="none" w:pos="566" w:val="left"/>
              </w:tabs>
              <w:spacing w:after="0" w:before="0" w:line="240" w:lineRule="auto"/>
              <w:ind w:firstLine="0" w:left="-79" w:right="-79"/>
              <w:jc w:val="center"/>
              <w:rPr>
                <w:rFonts w:ascii="XO Thames" w:hAnsi="XO Thames"/>
                <w:b w:val="0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шт.</w:t>
            </w:r>
          </w:p>
          <w:p w14:paraId="DF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E0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E1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E2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E3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E4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E5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E6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  <w:p w14:paraId="E7020000">
            <w:pPr>
              <w:tabs>
                <w:tab w:leader="none" w:pos="4080" w:val="left"/>
              </w:tabs>
              <w:ind/>
              <w:jc w:val="center"/>
              <w:rPr>
                <w:rFonts w:ascii="XO Thames" w:hAnsi="XO Thames"/>
                <w:b w:val="1"/>
                <w:color w:val="333333"/>
                <w:sz w:val="20"/>
              </w:rPr>
            </w:pPr>
          </w:p>
        </w:tc>
        <w:tc>
          <w:tcPr>
            <w:tcW w:type="dxa" w:w="614"/>
            <w:vMerge w:val="restart"/>
            <w:vAlign w:val="top"/>
          </w:tcPr>
          <w:p w14:paraId="E8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1</w:t>
            </w:r>
          </w:p>
          <w:p w14:paraId="E9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</w:rPr>
            </w:pPr>
          </w:p>
          <w:p w14:paraId="EA020000">
            <w:pPr>
              <w:pStyle w:val="Style_6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color w:val="000000"/>
                <w:spacing w:val="0"/>
              </w:rPr>
            </w:pPr>
          </w:p>
          <w:p w14:paraId="EB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EC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ED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EE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EF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F0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F1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F2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  <w:p w14:paraId="F3020000">
            <w:pPr>
              <w:tabs>
                <w:tab w:leader="none" w:pos="918" w:val="left"/>
              </w:tabs>
              <w:ind w:firstLine="0" w:left="-108" w:right="-108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7"/>
            <w:vMerge w:val="restart"/>
            <w:vAlign w:val="center"/>
          </w:tcPr>
          <w:p w14:paraId="F402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1113"/>
            <w:vMerge w:val="restart"/>
            <w:vAlign w:val="center"/>
          </w:tcPr>
          <w:p w14:paraId="F5020000">
            <w:pPr>
              <w:ind w:firstLine="0" w:left="-113" w:right="-113"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F602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Тип фасада</w:t>
            </w:r>
          </w:p>
        </w:tc>
        <w:tc>
          <w:tcPr>
            <w:tcW w:type="dxa" w:w="1483"/>
            <w:vAlign w:val="top"/>
          </w:tcPr>
          <w:p w14:paraId="F702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полуоткрытый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F802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Высота шкафа (мм)</w:t>
            </w:r>
          </w:p>
        </w:tc>
        <w:tc>
          <w:tcPr>
            <w:tcW w:type="dxa" w:w="1483"/>
            <w:vAlign w:val="top"/>
          </w:tcPr>
          <w:p w14:paraId="F9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2000  и  &lt; 2100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FA02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Глубина шкафа (мм)</w:t>
            </w:r>
          </w:p>
        </w:tc>
        <w:tc>
          <w:tcPr>
            <w:tcW w:type="dxa" w:w="1483"/>
            <w:vAlign w:val="top"/>
          </w:tcPr>
          <w:p w14:paraId="FB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350  и  &lt; 400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FC02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Длина шкафа (мм)</w:t>
            </w:r>
          </w:p>
        </w:tc>
        <w:tc>
          <w:tcPr>
            <w:tcW w:type="dxa" w:w="1483"/>
            <w:vAlign w:val="top"/>
          </w:tcPr>
          <w:p w14:paraId="FD020000">
            <w:pPr>
              <w:pStyle w:val="Style_4"/>
              <w:rPr>
                <w:rFonts w:ascii="XO Thames" w:hAnsi="XO Thames"/>
                <w:caps w:val="0"/>
                <w:smallCaps w:val="0"/>
                <w:color w:val="334059"/>
                <w:spacing w:val="0"/>
              </w:rPr>
            </w:pPr>
            <w:r>
              <w:rPr>
                <w:rFonts w:ascii="XO Thames" w:hAnsi="XO Thames"/>
                <w:b w:val="0"/>
                <w:caps w:val="0"/>
                <w:smallCaps w:val="0"/>
                <w:color w:val="000000"/>
                <w:spacing w:val="0"/>
                <w:sz w:val="20"/>
              </w:rPr>
              <w:t xml:space="preserve">≥ </w:t>
            </w:r>
            <w:r>
              <w:rPr>
                <w:rFonts w:ascii="XO Thames" w:hAnsi="XO Thames"/>
                <w:b w:val="0"/>
                <w:i w:val="0"/>
                <w:caps w:val="0"/>
                <w:smallCaps w:val="0"/>
                <w:color w:val="000000"/>
                <w:spacing w:val="0"/>
                <w:sz w:val="20"/>
              </w:rPr>
              <w:t>700  и  &lt; 800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FE02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Материал корпуса</w:t>
            </w:r>
          </w:p>
        </w:tc>
        <w:tc>
          <w:tcPr>
            <w:tcW w:type="dxa" w:w="1483"/>
            <w:vAlign w:val="top"/>
          </w:tcPr>
          <w:p w14:paraId="FF02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ЛДСП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0003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Материал верхних дверей</w:t>
            </w:r>
          </w:p>
        </w:tc>
        <w:tc>
          <w:tcPr>
            <w:tcW w:type="dxa" w:w="1483"/>
            <w:vAlign w:val="top"/>
          </w:tcPr>
          <w:p w14:paraId="0103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прозрачное</w:t>
            </w: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 xml:space="preserve"> стекло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0203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Материал нижних дверей</w:t>
            </w:r>
          </w:p>
        </w:tc>
        <w:tc>
          <w:tcPr>
            <w:tcW w:type="dxa" w:w="1483"/>
            <w:vAlign w:val="top"/>
          </w:tcPr>
          <w:p w14:paraId="0303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ЛДСП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0403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Цвет</w:t>
            </w:r>
          </w:p>
        </w:tc>
        <w:tc>
          <w:tcPr>
            <w:tcW w:type="dxa" w:w="1483"/>
            <w:vAlign w:val="top"/>
          </w:tcPr>
          <w:p w14:paraId="05030000">
            <w:pPr>
              <w:pStyle w:val="Style_4"/>
              <w:rPr>
                <w:rFonts w:ascii="XO Thames" w:hAnsi="XO Thames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орех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c>
          <w:tcPr>
            <w:tcW w:type="dxa" w:w="607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525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231"/>
            <w:gridSpan w:val="1"/>
            <w:vMerge w:val="continue"/>
            <w:shd w:fill="FFFFFF" w:val="clear"/>
            <w:vAlign w:val="top"/>
          </w:tcPr>
          <w:p/>
        </w:tc>
        <w:tc>
          <w:tcPr>
            <w:tcW w:type="dxa" w:w="1359"/>
            <w:vAlign w:val="top"/>
          </w:tcPr>
          <w:p w14:paraId="0603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Фурнитура</w:t>
            </w:r>
          </w:p>
        </w:tc>
        <w:tc>
          <w:tcPr>
            <w:tcW w:type="dxa" w:w="1483"/>
            <w:vAlign w:val="top"/>
          </w:tcPr>
          <w:p w14:paraId="07030000">
            <w:pPr>
              <w:pStyle w:val="Style_4"/>
              <w:rPr>
                <w:rFonts w:ascii="XO Thames" w:hAnsi="XO Thames"/>
                <w:b w:val="0"/>
                <w:color w:val="000000"/>
                <w:spacing w:val="0"/>
              </w:rPr>
            </w:pPr>
            <w:r>
              <w:rPr>
                <w:rFonts w:ascii="XO Thames" w:hAnsi="XO Thames"/>
                <w:b w:val="0"/>
                <w:color w:val="000000"/>
                <w:spacing w:val="0"/>
                <w:sz w:val="20"/>
              </w:rPr>
              <w:t>наличие</w:t>
            </w:r>
          </w:p>
        </w:tc>
        <w:tc>
          <w:tcPr>
            <w:tcW w:type="dxa" w:w="989"/>
            <w:gridSpan w:val="1"/>
            <w:vMerge w:val="continue"/>
            <w:vAlign w:val="top"/>
          </w:tcPr>
          <w:p/>
        </w:tc>
        <w:tc>
          <w:tcPr>
            <w:tcW w:type="dxa" w:w="614"/>
            <w:gridSpan w:val="1"/>
            <w:vMerge w:val="continue"/>
            <w:vAlign w:val="top"/>
          </w:tcPr>
          <w:p/>
        </w:tc>
        <w:tc>
          <w:tcPr>
            <w:tcW w:type="dxa" w:w="1117"/>
            <w:gridSpan w:val="1"/>
            <w:vMerge w:val="continue"/>
            <w:vAlign w:val="center"/>
          </w:tcPr>
          <w:p/>
        </w:tc>
        <w:tc>
          <w:tcPr>
            <w:tcW w:type="dxa" w:w="1113"/>
            <w:gridSpan w:val="1"/>
            <w:vMerge w:val="continue"/>
            <w:vAlign w:val="center"/>
          </w:tcPr>
          <w:p/>
        </w:tc>
      </w:tr>
      <w:tr>
        <w:trPr>
          <w:trHeight w:hRule="atLeast" w:val="504"/>
        </w:trPr>
        <w:tc>
          <w:tcPr>
            <w:tcW w:type="dxa" w:w="607"/>
            <w:shd w:fill="FFFFFF" w:val="clear"/>
            <w:vAlign w:val="center"/>
          </w:tcPr>
          <w:p w14:paraId="0803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9431"/>
            <w:gridSpan w:val="8"/>
            <w:shd w:fill="auto" w:val="clear"/>
            <w:vAlign w:val="center"/>
          </w:tcPr>
          <w:p w14:paraId="09030000">
            <w:pPr>
              <w:tabs>
                <w:tab w:leader="none" w:pos="594" w:val="left"/>
              </w:tabs>
              <w:ind/>
              <w:jc w:val="both"/>
              <w:rPr>
                <w:rStyle w:val="Style_15_ch"/>
                <w:rFonts w:ascii="XO Thames" w:hAnsi="XO Thames"/>
                <w:b w:val="0"/>
                <w:sz w:val="20"/>
              </w:rPr>
            </w:pPr>
            <w:r>
              <w:rPr>
                <w:rFonts w:ascii="XO Thames" w:hAnsi="XO Thames"/>
                <w:sz w:val="20"/>
              </w:rPr>
              <w:t>Итого, цена Контракта составляет _______ (_______) рублей ___ копеек, с учетом НДС 2</w:t>
            </w:r>
            <w:r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 xml:space="preserve">% ____ (_____) рублей ___ копеек </w:t>
            </w:r>
            <w:r>
              <w:rPr>
                <w:rFonts w:ascii="XO Thames" w:hAnsi="XO Thames"/>
                <w:i w:val="1"/>
                <w:sz w:val="20"/>
              </w:rPr>
              <w:t xml:space="preserve">(в случае освобождения стороны Контракта в соответствии с Налоговым кодексом Российской Федерации </w:t>
            </w:r>
            <w:r>
              <w:rPr>
                <w:rFonts w:ascii="XO Thames" w:hAnsi="XO Thames"/>
                <w:i w:val="1"/>
                <w:sz w:val="20"/>
              </w:rPr>
              <w:t>от уплаты НДС, указывается НДС не облагается на основании 346.11 Налогового кодекса Российской Федерации)</w:t>
            </w:r>
            <w:r>
              <w:rPr>
                <w:rFonts w:ascii="XO Thames" w:hAnsi="XO Thames"/>
                <w:i w:val="1"/>
                <w:sz w:val="20"/>
              </w:rPr>
              <w:t>.</w:t>
            </w:r>
          </w:p>
        </w:tc>
      </w:tr>
    </w:tbl>
    <w:p w14:paraId="0A030000">
      <w:pPr>
        <w:ind/>
        <w:contextualSpacing w:val="1"/>
        <w:jc w:val="both"/>
        <w:rPr>
          <w:rFonts w:ascii="XO Thames" w:hAnsi="XO Thames"/>
          <w:sz w:val="26"/>
        </w:rPr>
      </w:pPr>
    </w:p>
    <w:p w14:paraId="0B030000">
      <w:pPr>
        <w:pStyle w:val="Style_4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Поставляемый Товар должен быть новый (не бывший в употреблении, в ремонте,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в том числе, который не был восстановлен, у которого не была осуществлена замена составных частей, не были восставлены потребительские свойства), не обремененный любыми правами третьих лиц (в том числе не заложенным, не арестованным,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не являющимся предметом спора). </w:t>
      </w:r>
    </w:p>
    <w:p w14:paraId="0C030000">
      <w:pPr>
        <w:pStyle w:val="Style_4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Поставка Товара частями не допускается. </w:t>
      </w:r>
    </w:p>
    <w:p w14:paraId="0D030000">
      <w:pPr>
        <w:pStyle w:val="Style_4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Цена контракта включает в себя сборку Товара.</w:t>
      </w:r>
    </w:p>
    <w:p w14:paraId="0E03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Поставщик в течение 10 рабочих дней с момента заключения Контракта обязан предоставить Заказчику список персонала (только граждан Российской Федерации) </w:t>
      </w:r>
      <w:r>
        <w:rPr>
          <w:sz w:val="24"/>
        </w:rPr>
        <w:br/>
      </w:r>
      <w:r>
        <w:rPr>
          <w:sz w:val="24"/>
        </w:rPr>
        <w:t>с указанием фамилии, имени, отчества, даты и места рождения, гражданства, места жительства и паспортных данных, сканированные листы паспорта, содержащие</w:t>
      </w:r>
      <w:r>
        <w:rPr>
          <w:sz w:val="24"/>
        </w:rPr>
        <w:br/>
      </w:r>
      <w:r>
        <w:rPr>
          <w:sz w:val="24"/>
        </w:rPr>
        <w:t>эти сведения, а также регистрационные данные автомашин, доставляющих Товар,</w:t>
      </w:r>
      <w:r>
        <w:rPr>
          <w:sz w:val="24"/>
        </w:rPr>
        <w:br/>
      </w:r>
      <w:r>
        <w:rPr>
          <w:sz w:val="24"/>
        </w:rPr>
        <w:t xml:space="preserve">для оформления пропусков на проход и на проезд на территорию Заказчика. Указанный список должен быть подписан руководителем и заверен печатью Поставщика. Поставщик обязан соблюдать требования законодательства Российской Федерации </w:t>
      </w:r>
      <w:r>
        <w:rPr>
          <w:sz w:val="24"/>
        </w:rPr>
        <w:br/>
      </w:r>
      <w:r>
        <w:rPr>
          <w:sz w:val="24"/>
        </w:rPr>
        <w:t>в области защиты персональных данных при передаче Заказчику персональных данных своих работников.</w:t>
      </w:r>
    </w:p>
    <w:p w14:paraId="0F030000">
      <w:pPr>
        <w:pStyle w:val="Style_4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Гарантийный срок Производителя или Поставщика на Товар составляет: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>не менее 12</w:t>
      </w:r>
      <w:r>
        <w:rPr>
          <w:rFonts w:ascii="XO Thames" w:hAnsi="XO Thames"/>
          <w:sz w:val="24"/>
        </w:rPr>
        <w:t xml:space="preserve"> месяцев с даты подписания </w:t>
      </w:r>
      <w:r>
        <w:rPr>
          <w:rFonts w:ascii="XO Thames" w:hAnsi="XO Thames"/>
          <w:sz w:val="24"/>
        </w:rPr>
        <w:t>акта (ф. 0510452). Предоставление такой гарантии осуществляется вместе с данным Товаром.</w:t>
      </w:r>
    </w:p>
    <w:p w14:paraId="10030000">
      <w:pPr>
        <w:pStyle w:val="Style_3"/>
        <w:tabs>
          <w:tab w:leader="none" w:pos="567" w:val="left"/>
        </w:tabs>
        <w:spacing w:line="240" w:lineRule="auto"/>
        <w:ind w:firstLine="709" w:left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Наименование страны происхождения Товара: _________________.</w:t>
      </w:r>
    </w:p>
    <w:p w14:paraId="11030000">
      <w:pPr>
        <w:pStyle w:val="Style_4"/>
        <w:ind w:firstLine="142" w:left="0"/>
        <w:jc w:val="both"/>
        <w:rPr>
          <w:rFonts w:ascii="XO Thames" w:hAnsi="XO Thames"/>
          <w:sz w:val="24"/>
        </w:rPr>
      </w:pPr>
    </w:p>
    <w:p w14:paraId="12030000">
      <w:pPr>
        <w:ind/>
        <w:contextualSpacing w:val="1"/>
        <w:jc w:val="both"/>
        <w:rPr>
          <w:rFonts w:ascii="XO Thames" w:hAnsi="XO Thames"/>
        </w:rPr>
      </w:pPr>
      <w:bookmarkStart w:id="6" w:name="_GoBack"/>
      <w:bookmarkEnd w:id="6"/>
      <w:bookmarkEnd w:id="5"/>
      <w:bookmarkStart w:id="7" w:name="_Hlk220653639"/>
    </w:p>
    <w:tbl>
      <w:tblPr>
        <w:tblStyle w:val="Style_10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495"/>
        <w:gridCol w:w="34"/>
        <w:gridCol w:w="3826"/>
        <w:gridCol w:w="680"/>
      </w:tblGrid>
      <w:tr>
        <w:trPr>
          <w:trHeight w:hRule="atLeast" w:val="200"/>
        </w:trPr>
        <w:tc>
          <w:tcPr>
            <w:tcW w:type="dxa" w:w="5529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</w:t>
            </w:r>
            <w:r>
              <w:rPr>
                <w:rFonts w:ascii="XO Thames" w:hAnsi="XO Thames"/>
              </w:rPr>
              <w:t>аказчик:</w:t>
            </w:r>
          </w:p>
        </w:tc>
        <w:tc>
          <w:tcPr>
            <w:tcW w:type="dxa" w:w="382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Поставщик:</w:t>
            </w:r>
          </w:p>
        </w:tc>
        <w:tc>
          <w:tcPr>
            <w:tcW w:type="dxa" w:w="6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rPr>
          <w:trHeight w:hRule="atLeast" w:val="487"/>
        </w:trPr>
        <w:tc>
          <w:tcPr>
            <w:tcW w:type="dxa" w:w="54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5030000">
            <w:pPr>
              <w:ind w:right="-7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начальника Управления</w:t>
            </w:r>
          </w:p>
          <w:p w14:paraId="16030000">
            <w:pPr>
              <w:ind w:right="-7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ФКУ ГУОДОП ФСИН России</w:t>
            </w:r>
          </w:p>
          <w:p w14:paraId="17030000">
            <w:pPr>
              <w:ind w:firstLine="12" w:left="0" w:right="-71"/>
              <w:jc w:val="both"/>
              <w:rPr>
                <w:rFonts w:ascii="XO Thames" w:hAnsi="XO Thames"/>
              </w:rPr>
            </w:pPr>
          </w:p>
        </w:tc>
        <w:tc>
          <w:tcPr>
            <w:tcW w:type="dxa" w:w="454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803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__________________________</w:t>
            </w:r>
          </w:p>
        </w:tc>
      </w:tr>
      <w:tr>
        <w:trPr>
          <w:trHeight w:hRule="atLeast" w:val="667"/>
        </w:trPr>
        <w:tc>
          <w:tcPr>
            <w:tcW w:type="dxa" w:w="54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30000">
            <w:pPr>
              <w:ind w:right="-7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_________________/______________/</w:t>
            </w:r>
          </w:p>
          <w:p w14:paraId="1A030000">
            <w:pPr>
              <w:ind w:right="-7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М.П.</w:t>
            </w:r>
          </w:p>
        </w:tc>
        <w:tc>
          <w:tcPr>
            <w:tcW w:type="dxa" w:w="454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B030000">
            <w:pPr>
              <w:widowControl w:val="0"/>
              <w:ind w:right="-7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______________/_____________/</w:t>
            </w:r>
          </w:p>
          <w:p w14:paraId="1C030000">
            <w:pPr>
              <w:widowControl w:val="0"/>
              <w:ind w:firstLine="0" w:left="187" w:right="-7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М.П.</w:t>
            </w:r>
          </w:p>
        </w:tc>
      </w:tr>
    </w:tbl>
    <w:p w14:paraId="1D030000">
      <w:pPr>
        <w:ind w:firstLine="0" w:left="5103" w:right="-1"/>
        <w:rPr>
          <w:rFonts w:ascii="XO Thames" w:hAnsi="XO Thames"/>
          <w:sz w:val="26"/>
        </w:rPr>
      </w:pPr>
    </w:p>
    <w:p w14:paraId="1E030000">
      <w:pPr>
        <w:rPr>
          <w:rFonts w:ascii="XO Thames" w:hAnsi="XO Thames"/>
        </w:rPr>
      </w:pPr>
      <w:bookmarkEnd w:id="7"/>
    </w:p>
    <w:p w14:paraId="1F030000">
      <w:pPr>
        <w:rPr>
          <w:rFonts w:ascii="XO Thames" w:hAnsi="XO Thames"/>
        </w:rPr>
      </w:pPr>
    </w:p>
    <w:sectPr>
      <w:headerReference r:id="rId1" w:type="default"/>
      <w:type w:val="nextPage"/>
      <w:pgSz w:h="16838" w:orient="portrait" w:w="11906"/>
      <w:pgMar w:bottom="709" w:footer="708" w:gutter="0" w:header="708" w:left="1701" w:right="850" w:top="993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0030000">
      <w:pPr>
        <w:pStyle w:val="Style_54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Далее – акт (ф. 0510452)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firstLine="709" w:left="0"/>
      </w:pPr>
      <w:rPr>
        <w:b w:val="1"/>
      </w:rPr>
    </w:lvl>
    <w:lvl w:ilvl="1">
      <w:start w:val="1"/>
      <w:numFmt w:val="decimal"/>
      <w:lvlText w:val="%1.%2."/>
      <w:lvlJc w:val="left"/>
      <w:pPr>
        <w:ind w:firstLine="709" w:left="1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firstLine="720" w:left="-1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leader="none" w:pos="1728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232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2736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24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3744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4320" w:val="left"/>
        </w:tabs>
        <w:ind w:hanging="1440" w:left="4320"/>
      </w:pPr>
    </w:lvl>
  </w:abstractNum>
  <w:abstractNum w:abstractNumId="1">
    <w:lvl w:ilvl="0">
      <w:start w:val="3"/>
      <w:numFmt w:val="decimal"/>
      <w:lvlText w:val="%1."/>
      <w:lvlJc w:val="left"/>
      <w:pPr>
        <w:ind w:hanging="390" w:left="390"/>
      </w:pPr>
      <w:rPr>
        <w:sz w:val="26"/>
      </w:rPr>
    </w:lvl>
    <w:lvl w:ilvl="1">
      <w:start w:val="1"/>
      <w:numFmt w:val="decimal"/>
      <w:lvlText w:val="%1.%2."/>
      <w:lvlJc w:val="left"/>
      <w:pPr>
        <w:ind w:hanging="720" w:left="2989"/>
      </w:pPr>
    </w:lvl>
    <w:lvl w:ilvl="2">
      <w:start w:val="1"/>
      <w:numFmt w:val="decimal"/>
      <w:lvlText w:val="%1.%2.%3."/>
      <w:lvlJc w:val="left"/>
      <w:pPr>
        <w:ind w:hanging="720" w:left="2138"/>
      </w:pPr>
    </w:lvl>
    <w:lvl w:ilvl="3">
      <w:start w:val="1"/>
      <w:numFmt w:val="decimal"/>
      <w:lvlText w:val="%1.%2.%3.%4."/>
      <w:lvlJc w:val="left"/>
      <w:pPr>
        <w:ind w:hanging="1080" w:left="3207"/>
      </w:pPr>
    </w:lvl>
    <w:lvl w:ilvl="4">
      <w:start w:val="1"/>
      <w:numFmt w:val="decimal"/>
      <w:lvlText w:val="%1.%2.%3.%4.%5."/>
      <w:lvlJc w:val="left"/>
      <w:pPr>
        <w:ind w:hanging="1080" w:left="3916"/>
      </w:pPr>
    </w:lvl>
    <w:lvl w:ilvl="5">
      <w:start w:val="1"/>
      <w:numFmt w:val="decimal"/>
      <w:lvlText w:val="%1.%2.%3.%4.%5.%6."/>
      <w:lvlJc w:val="left"/>
      <w:pPr>
        <w:ind w:hanging="1440" w:left="4985"/>
      </w:pPr>
    </w:lvl>
    <w:lvl w:ilvl="6">
      <w:start w:val="1"/>
      <w:numFmt w:val="decimal"/>
      <w:lvlText w:val="%1.%2.%3.%4.%5.%6.%7."/>
      <w:lvlJc w:val="left"/>
      <w:pPr>
        <w:ind w:hanging="1440" w:left="5694"/>
      </w:pPr>
    </w:lvl>
    <w:lvl w:ilvl="7">
      <w:start w:val="1"/>
      <w:numFmt w:val="decimal"/>
      <w:lvlText w:val="%1.%2.%3.%4.%5.%6.%7.%8."/>
      <w:lvlJc w:val="left"/>
      <w:pPr>
        <w:ind w:hanging="1800" w:left="6763"/>
      </w:pPr>
    </w:lvl>
    <w:lvl w:ilvl="8">
      <w:start w:val="1"/>
      <w:numFmt w:val="decimal"/>
      <w:lvlText w:val="%1.%2.%3.%4.%5.%6.%7.%8.%9."/>
      <w:lvlJc w:val="left"/>
      <w:pPr>
        <w:ind w:hanging="1800" w:left="74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6" w:type="paragraph">
    <w:name w:val="Normal"/>
    <w:link w:val="Style_16_ch"/>
    <w:uiPriority w:val="0"/>
    <w:qFormat/>
    <w:rPr>
      <w:rFonts w:ascii="Times New Roman" w:hAnsi="Times New Roman"/>
      <w:sz w:val="24"/>
    </w:rPr>
  </w:style>
  <w:style w:default="1" w:styleId="Style_16_ch" w:type="character">
    <w:name w:val="Normal"/>
    <w:link w:val="Style_16"/>
    <w:rPr>
      <w:rFonts w:ascii="Times New Roman" w:hAnsi="Times New Roman"/>
      <w:sz w:val="24"/>
    </w:rPr>
  </w:style>
  <w:style w:styleId="Style_17" w:type="paragraph">
    <w:name w:val="endnote reference"/>
    <w:basedOn w:val="Style_18"/>
    <w:link w:val="Style_17_ch"/>
    <w:rPr>
      <w:vertAlign w:val="superscript"/>
    </w:rPr>
  </w:style>
  <w:style w:styleId="Style_17_ch" w:type="character">
    <w:name w:val="endnote reference"/>
    <w:basedOn w:val="Style_18_ch"/>
    <w:link w:val="Style_17"/>
    <w:rPr>
      <w:vertAlign w:val="superscript"/>
    </w:rPr>
  </w:style>
  <w:style w:styleId="Style_19" w:type="paragraph">
    <w:name w:val="Основной текст (2)"/>
    <w:basedOn w:val="Style_16"/>
    <w:link w:val="Style_19_ch"/>
    <w:pPr>
      <w:spacing w:line="0" w:lineRule="atLeast"/>
      <w:ind/>
    </w:pPr>
    <w:rPr>
      <w:sz w:val="20"/>
    </w:rPr>
  </w:style>
  <w:style w:styleId="Style_19_ch" w:type="character">
    <w:name w:val="Основной текст (2)"/>
    <w:basedOn w:val="Style_16_ch"/>
    <w:link w:val="Style_19"/>
    <w:rPr>
      <w:sz w:val="20"/>
    </w:rPr>
  </w:style>
  <w:style w:styleId="Style_20" w:type="paragraph">
    <w:name w:val="toc 2"/>
    <w:next w:val="Style_16"/>
    <w:link w:val="Style_20_ch"/>
    <w:uiPriority w:val="39"/>
    <w:pPr>
      <w:ind w:firstLine="0" w:left="200"/>
    </w:pPr>
    <w:rPr>
      <w:rFonts w:ascii="XO Thames" w:hAnsi="XO Thames"/>
      <w:sz w:val="28"/>
    </w:rPr>
  </w:style>
  <w:style w:styleId="Style_20_ch" w:type="character">
    <w:name w:val="toc 2"/>
    <w:link w:val="Style_20"/>
    <w:rPr>
      <w:rFonts w:ascii="XO Thames" w:hAnsi="XO Thames"/>
      <w:sz w:val="28"/>
    </w:rPr>
  </w:style>
  <w:style w:styleId="Style_21" w:type="paragraph">
    <w:name w:val="Title Char"/>
    <w:basedOn w:val="Style_18"/>
    <w:link w:val="Style_21_ch"/>
    <w:rPr>
      <w:sz w:val="48"/>
    </w:rPr>
  </w:style>
  <w:style w:styleId="Style_21_ch" w:type="character">
    <w:name w:val="Title Char"/>
    <w:basedOn w:val="Style_18_ch"/>
    <w:link w:val="Style_21"/>
    <w:rPr>
      <w:sz w:val="48"/>
    </w:rPr>
  </w:style>
  <w:style w:styleId="Style_22" w:type="paragraph">
    <w:name w:val="toc 4"/>
    <w:next w:val="Style_16"/>
    <w:link w:val="Style_22_ch"/>
    <w:uiPriority w:val="39"/>
    <w:pPr>
      <w:ind w:firstLine="0" w:left="600"/>
    </w:pPr>
    <w:rPr>
      <w:rFonts w:ascii="XO Thames" w:hAnsi="XO Thames"/>
      <w:sz w:val="28"/>
    </w:rPr>
  </w:style>
  <w:style w:styleId="Style_22_ch" w:type="character">
    <w:name w:val="toc 4"/>
    <w:link w:val="Style_22"/>
    <w:rPr>
      <w:rFonts w:ascii="XO Thames" w:hAnsi="XO Thames"/>
      <w:sz w:val="28"/>
    </w:rPr>
  </w:style>
  <w:style w:styleId="Style_23" w:type="paragraph">
    <w:name w:val="Caption"/>
    <w:basedOn w:val="Style_16"/>
    <w:next w:val="Style_16"/>
    <w:link w:val="Style_23_ch"/>
    <w:pPr>
      <w:spacing w:line="276" w:lineRule="auto"/>
      <w:ind/>
    </w:pPr>
    <w:rPr>
      <w:b w:val="1"/>
      <w:color w:themeColor="accent1" w:val="5B9BD5"/>
      <w:sz w:val="18"/>
    </w:rPr>
  </w:style>
  <w:style w:styleId="Style_23_ch" w:type="character">
    <w:name w:val="Caption"/>
    <w:basedOn w:val="Style_16_ch"/>
    <w:link w:val="Style_23"/>
    <w:rPr>
      <w:b w:val="1"/>
      <w:color w:themeColor="accent1" w:val="5B9BD5"/>
      <w:sz w:val="18"/>
    </w:rPr>
  </w:style>
  <w:style w:styleId="Style_24" w:type="paragraph">
    <w:name w:val="Основной текст (2)_"/>
    <w:basedOn w:val="Style_18"/>
    <w:link w:val="Style_24_ch"/>
    <w:rPr>
      <w:rFonts w:ascii="Times New Roman" w:hAnsi="Times New Roman"/>
      <w:sz w:val="28"/>
      <w:highlight w:val="white"/>
    </w:rPr>
  </w:style>
  <w:style w:styleId="Style_24_ch" w:type="character">
    <w:name w:val="Основной текст (2)_"/>
    <w:basedOn w:val="Style_18_ch"/>
    <w:link w:val="Style_24"/>
    <w:rPr>
      <w:rFonts w:ascii="Times New Roman" w:hAnsi="Times New Roman"/>
      <w:sz w:val="28"/>
      <w:highlight w:val="white"/>
    </w:rPr>
  </w:style>
  <w:style w:styleId="Style_25" w:type="paragraph">
    <w:name w:val="heading 7"/>
    <w:basedOn w:val="Style_16"/>
    <w:next w:val="Style_16"/>
    <w:link w:val="Style_25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5_ch" w:type="character">
    <w:name w:val="heading 7"/>
    <w:basedOn w:val="Style_16_ch"/>
    <w:link w:val="Style_25"/>
    <w:rPr>
      <w:rFonts w:ascii="Arial" w:hAnsi="Arial"/>
      <w:b w:val="1"/>
      <w:i w:val="1"/>
      <w:sz w:val="22"/>
    </w:rPr>
  </w:style>
  <w:style w:styleId="Style_5" w:type="paragraph">
    <w:name w:val="Body Text Indent"/>
    <w:basedOn w:val="Style_16"/>
    <w:link w:val="Style_5_ch"/>
    <w:pPr>
      <w:spacing w:after="120"/>
      <w:ind w:firstLine="0" w:left="283"/>
    </w:pPr>
  </w:style>
  <w:style w:styleId="Style_5_ch" w:type="character">
    <w:name w:val="Body Text Indent"/>
    <w:basedOn w:val="Style_16_ch"/>
    <w:link w:val="Style_5"/>
  </w:style>
  <w:style w:styleId="Style_8" w:type="paragraph">
    <w:name w:val="Обычный1"/>
    <w:link w:val="Style_8_ch"/>
    <w:pPr>
      <w:widowControl w:val="0"/>
      <w:spacing w:line="300" w:lineRule="auto"/>
      <w:ind w:firstLine="720" w:left="0"/>
      <w:jc w:val="both"/>
    </w:pPr>
    <w:rPr>
      <w:rFonts w:ascii="Times New Roman" w:hAnsi="Times New Roman"/>
      <w:sz w:val="24"/>
    </w:rPr>
  </w:style>
  <w:style w:styleId="Style_8_ch" w:type="character">
    <w:name w:val="Обычный1"/>
    <w:link w:val="Style_8"/>
    <w:rPr>
      <w:rFonts w:ascii="Times New Roman" w:hAnsi="Times New Roman"/>
      <w:sz w:val="24"/>
    </w:rPr>
  </w:style>
  <w:style w:styleId="Style_26" w:type="paragraph">
    <w:name w:val="toc 6"/>
    <w:next w:val="Style_16"/>
    <w:link w:val="Style_26_ch"/>
    <w:uiPriority w:val="39"/>
    <w:pPr>
      <w:ind w:firstLine="0" w:left="1000"/>
    </w:pPr>
    <w:rPr>
      <w:rFonts w:ascii="XO Thames" w:hAnsi="XO Thames"/>
      <w:sz w:val="28"/>
    </w:rPr>
  </w:style>
  <w:style w:styleId="Style_26_ch" w:type="character">
    <w:name w:val="toc 6"/>
    <w:link w:val="Style_26"/>
    <w:rPr>
      <w:rFonts w:ascii="XO Thames" w:hAnsi="XO Thames"/>
      <w:sz w:val="28"/>
    </w:rPr>
  </w:style>
  <w:style w:styleId="Style_2" w:type="paragraph">
    <w:name w:val="Обычный2"/>
    <w:link w:val="Style_2_ch"/>
    <w:rPr>
      <w:rFonts w:ascii="Times New Roman" w:hAnsi="Times New Roman"/>
    </w:rPr>
  </w:style>
  <w:style w:styleId="Style_2_ch" w:type="character">
    <w:name w:val="Обычный2"/>
    <w:link w:val="Style_2"/>
    <w:rPr>
      <w:rFonts w:ascii="Times New Roman" w:hAnsi="Times New Roman"/>
    </w:rPr>
  </w:style>
  <w:style w:styleId="Style_27" w:type="paragraph">
    <w:name w:val="toc 7"/>
    <w:next w:val="Style_16"/>
    <w:link w:val="Style_27_ch"/>
    <w:uiPriority w:val="39"/>
    <w:pPr>
      <w:ind w:firstLine="0" w:left="1200"/>
    </w:pPr>
    <w:rPr>
      <w:rFonts w:ascii="XO Thames" w:hAnsi="XO Thames"/>
      <w:sz w:val="28"/>
    </w:rPr>
  </w:style>
  <w:style w:styleId="Style_27_ch" w:type="character">
    <w:name w:val="toc 7"/>
    <w:link w:val="Style_27"/>
    <w:rPr>
      <w:rFonts w:ascii="XO Thames" w:hAnsi="XO Thames"/>
      <w:sz w:val="28"/>
    </w:rPr>
  </w:style>
  <w:style w:styleId="Style_28" w:type="paragraph">
    <w:name w:val="FR1"/>
    <w:link w:val="Style_28_ch"/>
    <w:pPr>
      <w:widowControl w:val="0"/>
      <w:spacing w:before="700"/>
      <w:ind/>
    </w:pPr>
    <w:rPr>
      <w:rFonts w:ascii="Times New Roman" w:hAnsi="Times New Roman"/>
      <w:b w:val="1"/>
      <w:sz w:val="28"/>
    </w:rPr>
  </w:style>
  <w:style w:styleId="Style_28_ch" w:type="character">
    <w:name w:val="FR1"/>
    <w:link w:val="Style_28"/>
    <w:rPr>
      <w:rFonts w:ascii="Times New Roman" w:hAnsi="Times New Roman"/>
      <w:b w:val="1"/>
      <w:sz w:val="28"/>
    </w:rPr>
  </w:style>
  <w:style w:styleId="Style_29" w:type="paragraph">
    <w:name w:val="Абзац списка1"/>
    <w:basedOn w:val="Style_16"/>
    <w:link w:val="Style_29_ch"/>
    <w:pPr>
      <w:ind w:firstLine="0" w:left="720"/>
      <w:contextualSpacing w:val="1"/>
    </w:pPr>
  </w:style>
  <w:style w:styleId="Style_29_ch" w:type="character">
    <w:name w:val="Абзац списка1"/>
    <w:basedOn w:val="Style_16_ch"/>
    <w:link w:val="Style_29"/>
  </w:style>
  <w:style w:styleId="Style_30" w:type="paragraph">
    <w:name w:val="Endnote"/>
    <w:basedOn w:val="Style_16"/>
    <w:link w:val="Style_30_ch"/>
    <w:pPr>
      <w:spacing w:after="0" w:line="240" w:lineRule="auto"/>
      <w:ind/>
    </w:pPr>
    <w:rPr>
      <w:sz w:val="20"/>
    </w:rPr>
  </w:style>
  <w:style w:styleId="Style_30_ch" w:type="character">
    <w:name w:val="Endnote"/>
    <w:basedOn w:val="Style_16_ch"/>
    <w:link w:val="Style_30"/>
    <w:rPr>
      <w:sz w:val="20"/>
    </w:rPr>
  </w:style>
  <w:style w:styleId="Style_31" w:type="paragraph">
    <w:name w:val="heading 3"/>
    <w:next w:val="Style_16"/>
    <w:link w:val="Style_3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1_ch" w:type="character">
    <w:name w:val="heading 3"/>
    <w:link w:val="Style_31"/>
    <w:rPr>
      <w:rFonts w:ascii="XO Thames" w:hAnsi="XO Thames"/>
      <w:b w:val="1"/>
      <w:sz w:val="26"/>
    </w:rPr>
  </w:style>
  <w:style w:styleId="Style_32" w:type="paragraph">
    <w:name w:val="apple-converted-space"/>
    <w:link w:val="Style_32_ch"/>
  </w:style>
  <w:style w:styleId="Style_32_ch" w:type="character">
    <w:name w:val="apple-converted-space"/>
    <w:link w:val="Style_32"/>
  </w:style>
  <w:style w:styleId="Style_33" w:type="paragraph">
    <w:name w:val="Гиперссылка2"/>
    <w:link w:val="Style_33_ch"/>
    <w:rPr>
      <w:color w:val="0000FF"/>
      <w:u w:val="single"/>
    </w:rPr>
  </w:style>
  <w:style w:styleId="Style_33_ch" w:type="character">
    <w:name w:val="Гиперссылка2"/>
    <w:link w:val="Style_33"/>
    <w:rPr>
      <w:color w:val="0000FF"/>
      <w:u w:val="single"/>
    </w:rPr>
  </w:style>
  <w:style w:styleId="Style_34" w:type="paragraph">
    <w:name w:val="Heading 2 Char"/>
    <w:basedOn w:val="Style_18"/>
    <w:link w:val="Style_34_ch"/>
    <w:rPr>
      <w:rFonts w:ascii="Arial" w:hAnsi="Arial"/>
      <w:sz w:val="34"/>
    </w:rPr>
  </w:style>
  <w:style w:styleId="Style_34_ch" w:type="character">
    <w:name w:val="Heading 2 Char"/>
    <w:basedOn w:val="Style_18_ch"/>
    <w:link w:val="Style_34"/>
    <w:rPr>
      <w:rFonts w:ascii="Arial" w:hAnsi="Arial"/>
      <w:sz w:val="34"/>
    </w:rPr>
  </w:style>
  <w:style w:styleId="Style_35" w:type="paragraph">
    <w:name w:val="Основной текст1"/>
    <w:link w:val="Style_35_ch"/>
    <w:rPr>
      <w:rFonts w:ascii="Times New Roman" w:hAnsi="Times New Roman"/>
      <w:highlight w:val="white"/>
    </w:rPr>
  </w:style>
  <w:style w:styleId="Style_35_ch" w:type="character">
    <w:name w:val="Основной текст1"/>
    <w:link w:val="Style_35"/>
    <w:rPr>
      <w:rFonts w:ascii="Times New Roman" w:hAnsi="Times New Roman"/>
      <w:highlight w:val="white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6" w:type="paragraph">
    <w:name w:val="Обычный1"/>
    <w:link w:val="Style_36_ch"/>
    <w:rPr>
      <w:rFonts w:ascii="Times New Roman" w:hAnsi="Times New Roman"/>
      <w:sz w:val="24"/>
    </w:rPr>
  </w:style>
  <w:style w:styleId="Style_36_ch" w:type="character">
    <w:name w:val="Обычный1"/>
    <w:link w:val="Style_36"/>
    <w:rPr>
      <w:rFonts w:ascii="Times New Roman" w:hAnsi="Times New Roman"/>
      <w:sz w:val="24"/>
    </w:rPr>
  </w:style>
  <w:style w:styleId="Style_7" w:type="paragraph">
    <w:name w:val="Обычный4"/>
    <w:link w:val="Style_7_ch"/>
    <w:pPr>
      <w:widowControl w:val="0"/>
      <w:spacing w:line="300" w:lineRule="auto"/>
      <w:ind w:firstLine="720" w:left="0"/>
      <w:jc w:val="both"/>
    </w:pPr>
    <w:rPr>
      <w:rFonts w:ascii="Times New Roman" w:hAnsi="Times New Roman"/>
      <w:sz w:val="24"/>
    </w:rPr>
  </w:style>
  <w:style w:styleId="Style_7_ch" w:type="character">
    <w:name w:val="Обычный4"/>
    <w:link w:val="Style_7"/>
    <w:rPr>
      <w:rFonts w:ascii="Times New Roman" w:hAnsi="Times New Roman"/>
      <w:sz w:val="24"/>
    </w:rPr>
  </w:style>
  <w:style w:styleId="Style_37" w:type="paragraph">
    <w:name w:val="Subtitle Char"/>
    <w:basedOn w:val="Style_18"/>
    <w:link w:val="Style_37_ch"/>
    <w:rPr>
      <w:sz w:val="24"/>
    </w:rPr>
  </w:style>
  <w:style w:styleId="Style_37_ch" w:type="character">
    <w:name w:val="Subtitle Char"/>
    <w:basedOn w:val="Style_18_ch"/>
    <w:link w:val="Style_37"/>
    <w:rPr>
      <w:sz w:val="24"/>
    </w:rPr>
  </w:style>
  <w:style w:styleId="Style_38" w:type="paragraph">
    <w:name w:val="Основной текст 21"/>
    <w:basedOn w:val="Style_16"/>
    <w:link w:val="Style_38_ch"/>
    <w:pPr>
      <w:widowControl w:val="0"/>
      <w:ind/>
      <w:jc w:val="both"/>
    </w:pPr>
  </w:style>
  <w:style w:styleId="Style_38_ch" w:type="character">
    <w:name w:val="Основной текст 21"/>
    <w:basedOn w:val="Style_16_ch"/>
    <w:link w:val="Style_38"/>
  </w:style>
  <w:style w:styleId="Style_1" w:type="paragraph">
    <w:name w:val="Header"/>
    <w:basedOn w:val="Style_1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6_ch"/>
    <w:link w:val="Style_1"/>
  </w:style>
  <w:style w:styleId="Style_39" w:type="paragraph">
    <w:name w:val="heading 9"/>
    <w:basedOn w:val="Style_16"/>
    <w:next w:val="Style_16"/>
    <w:link w:val="Style_3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9_ch" w:type="character">
    <w:name w:val="heading 9"/>
    <w:basedOn w:val="Style_16_ch"/>
    <w:link w:val="Style_39"/>
    <w:rPr>
      <w:rFonts w:ascii="Arial" w:hAnsi="Arial"/>
      <w:i w:val="1"/>
      <w:sz w:val="21"/>
    </w:rPr>
  </w:style>
  <w:style w:styleId="Style_40" w:type="paragraph">
    <w:name w:val="Гиперссылка1"/>
    <w:link w:val="Style_40_ch"/>
    <w:rPr>
      <w:color w:val="0000FF"/>
      <w:u w:val="single"/>
    </w:rPr>
  </w:style>
  <w:style w:styleId="Style_40_ch" w:type="character">
    <w:name w:val="Гиперссылка1"/>
    <w:link w:val="Style_40"/>
    <w:rPr>
      <w:color w:val="0000FF"/>
      <w:u w:val="single"/>
    </w:rPr>
  </w:style>
  <w:style w:styleId="Style_41" w:type="paragraph">
    <w:name w:val="Caption Char"/>
    <w:basedOn w:val="Style_23"/>
    <w:link w:val="Style_41_ch"/>
  </w:style>
  <w:style w:styleId="Style_41_ch" w:type="character">
    <w:name w:val="Caption Char"/>
    <w:basedOn w:val="Style_23_ch"/>
    <w:link w:val="Style_41"/>
  </w:style>
  <w:style w:styleId="Style_42" w:type="paragraph">
    <w:name w:val="Основной текст2"/>
    <w:basedOn w:val="Style_16"/>
    <w:link w:val="Style_42_ch"/>
    <w:pPr>
      <w:spacing w:line="0" w:lineRule="atLeast"/>
      <w:ind/>
    </w:pPr>
    <w:rPr>
      <w:sz w:val="20"/>
    </w:rPr>
  </w:style>
  <w:style w:styleId="Style_42_ch" w:type="character">
    <w:name w:val="Основной текст2"/>
    <w:basedOn w:val="Style_16_ch"/>
    <w:link w:val="Style_42"/>
    <w:rPr>
      <w:sz w:val="20"/>
    </w:rPr>
  </w:style>
  <w:style w:styleId="Style_43" w:type="paragraph">
    <w:name w:val="Основной шрифт абзаца1"/>
    <w:link w:val="Style_43_ch"/>
  </w:style>
  <w:style w:styleId="Style_43_ch" w:type="character">
    <w:name w:val="Основной шрифт абзаца1"/>
    <w:link w:val="Style_43"/>
  </w:style>
  <w:style w:styleId="Style_44" w:type="paragraph">
    <w:name w:val="toc 3"/>
    <w:next w:val="Style_16"/>
    <w:link w:val="Style_44_ch"/>
    <w:uiPriority w:val="39"/>
    <w:pPr>
      <w:ind w:firstLine="0" w:left="400"/>
    </w:pPr>
    <w:rPr>
      <w:rFonts w:ascii="XO Thames" w:hAnsi="XO Thames"/>
      <w:sz w:val="28"/>
    </w:rPr>
  </w:style>
  <w:style w:styleId="Style_44_ch" w:type="character">
    <w:name w:val="toc 3"/>
    <w:link w:val="Style_44"/>
    <w:rPr>
      <w:rFonts w:ascii="XO Thames" w:hAnsi="XO Thames"/>
      <w:sz w:val="28"/>
    </w:rPr>
  </w:style>
  <w:style w:styleId="Style_45" w:type="paragraph">
    <w:name w:val="Заголовок №1"/>
    <w:basedOn w:val="Style_16"/>
    <w:link w:val="Style_45_ch"/>
    <w:pPr>
      <w:widowControl w:val="0"/>
      <w:spacing w:after="400" w:line="310" w:lineRule="exact"/>
      <w:ind/>
      <w:jc w:val="center"/>
      <w:outlineLvl w:val="0"/>
    </w:pPr>
    <w:rPr>
      <w:b w:val="1"/>
      <w:sz w:val="28"/>
    </w:rPr>
  </w:style>
  <w:style w:styleId="Style_45_ch" w:type="character">
    <w:name w:val="Заголовок №1"/>
    <w:basedOn w:val="Style_16_ch"/>
    <w:link w:val="Style_45"/>
    <w:rPr>
      <w:b w:val="1"/>
      <w:sz w:val="28"/>
    </w:rPr>
  </w:style>
  <w:style w:styleId="Style_46" w:type="paragraph">
    <w:name w:val="Quote"/>
    <w:basedOn w:val="Style_16"/>
    <w:next w:val="Style_16"/>
    <w:link w:val="Style_46_ch"/>
    <w:pPr>
      <w:ind w:firstLine="0" w:left="720" w:right="720"/>
    </w:pPr>
    <w:rPr>
      <w:i w:val="1"/>
    </w:rPr>
  </w:style>
  <w:style w:styleId="Style_46_ch" w:type="character">
    <w:name w:val="Quote"/>
    <w:basedOn w:val="Style_16_ch"/>
    <w:link w:val="Style_46"/>
    <w:rPr>
      <w:i w:val="1"/>
    </w:rPr>
  </w:style>
  <w:style w:styleId="Style_9" w:type="paragraph">
    <w:name w:val="ConsPlusNormal"/>
    <w:link w:val="Style_9_ch"/>
    <w:pPr>
      <w:widowControl w:val="0"/>
      <w:ind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47" w:type="paragraph">
    <w:name w:val="Normal (Web)"/>
    <w:basedOn w:val="Style_16"/>
    <w:link w:val="Style_47_ch"/>
    <w:pPr>
      <w:spacing w:afterAutospacing="on" w:beforeAutospacing="on"/>
      <w:ind/>
    </w:pPr>
  </w:style>
  <w:style w:styleId="Style_47_ch" w:type="character">
    <w:name w:val="Normal (Web)"/>
    <w:basedOn w:val="Style_16_ch"/>
    <w:link w:val="Style_47"/>
  </w:style>
  <w:style w:styleId="Style_14" w:type="paragraph">
    <w:name w:val="Table Contents"/>
    <w:basedOn w:val="Style_48"/>
    <w:link w:val="Style_14_ch"/>
    <w:pPr>
      <w:keepNext w:val="0"/>
      <w:keepLines w:val="0"/>
      <w:pageBreakBefore w:val="0"/>
      <w:widowControl w:val="1"/>
      <w:spacing w:after="160" w:before="0" w:line="264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4_ch" w:type="character">
    <w:name w:val="Table Contents"/>
    <w:basedOn w:val="Style_48_ch"/>
    <w:link w:val="Style_14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49" w:type="paragraph">
    <w:name w:val="heading 5"/>
    <w:next w:val="Style_16"/>
    <w:link w:val="Style_4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9_ch" w:type="character">
    <w:name w:val="heading 5"/>
    <w:link w:val="Style_49"/>
    <w:rPr>
      <w:rFonts w:ascii="XO Thames" w:hAnsi="XO Thames"/>
      <w:b w:val="1"/>
      <w:sz w:val="22"/>
    </w:rPr>
  </w:style>
  <w:style w:styleId="Style_3" w:type="paragraph">
    <w:name w:val="List Paragraph"/>
    <w:basedOn w:val="Style_16"/>
    <w:link w:val="Style_3_ch"/>
    <w:pPr>
      <w:ind w:firstLine="0" w:left="720"/>
      <w:contextualSpacing w:val="1"/>
      <w:jc w:val="both"/>
    </w:pPr>
    <w:rPr>
      <w:sz w:val="28"/>
    </w:rPr>
  </w:style>
  <w:style w:styleId="Style_3_ch" w:type="character">
    <w:name w:val="List Paragraph"/>
    <w:basedOn w:val="Style_16_ch"/>
    <w:link w:val="Style_3"/>
    <w:rPr>
      <w:sz w:val="28"/>
    </w:rPr>
  </w:style>
  <w:style w:styleId="Style_4" w:type="paragraph">
    <w:name w:val="No Spacing"/>
    <w:link w:val="Style_4_ch"/>
    <w:rPr>
      <w:sz w:val="22"/>
    </w:rPr>
  </w:style>
  <w:style w:styleId="Style_4_ch" w:type="character">
    <w:name w:val="No Spacing"/>
    <w:link w:val="Style_4"/>
    <w:rPr>
      <w:sz w:val="22"/>
    </w:rPr>
  </w:style>
  <w:style w:styleId="Style_50" w:type="paragraph">
    <w:name w:val="Основной текст (5)8"/>
    <w:link w:val="Style_50_ch"/>
    <w:rPr>
      <w:rFonts w:ascii="Times New Roman" w:hAnsi="Times New Roman"/>
      <w:spacing w:val="3"/>
      <w:sz w:val="23"/>
    </w:rPr>
  </w:style>
  <w:style w:styleId="Style_50_ch" w:type="character">
    <w:name w:val="Основной текст (5)8"/>
    <w:link w:val="Style_50"/>
    <w:rPr>
      <w:rFonts w:ascii="Times New Roman" w:hAnsi="Times New Roman"/>
      <w:spacing w:val="3"/>
      <w:sz w:val="23"/>
    </w:rPr>
  </w:style>
  <w:style w:styleId="Style_11" w:type="paragraph">
    <w:name w:val="heading 1"/>
    <w:basedOn w:val="Style_16"/>
    <w:next w:val="Style_16"/>
    <w:link w:val="Style_11_ch"/>
    <w:uiPriority w:val="9"/>
    <w:qFormat/>
    <w:pPr>
      <w:widowControl w:val="0"/>
      <w:spacing w:after="108" w:before="108"/>
      <w:ind/>
      <w:jc w:val="center"/>
      <w:outlineLvl w:val="0"/>
    </w:pPr>
    <w:rPr>
      <w:rFonts w:ascii="Times New Roman CYR" w:hAnsi="Times New Roman CYR"/>
      <w:b w:val="1"/>
      <w:color w:val="26282F"/>
    </w:rPr>
  </w:style>
  <w:style w:styleId="Style_11_ch" w:type="character">
    <w:name w:val="heading 1"/>
    <w:basedOn w:val="Style_16_ch"/>
    <w:link w:val="Style_11"/>
    <w:rPr>
      <w:rFonts w:ascii="Times New Roman CYR" w:hAnsi="Times New Roman CYR"/>
      <w:b w:val="1"/>
      <w:color w:val="26282F"/>
    </w:rPr>
  </w:style>
  <w:style w:styleId="Style_51" w:type="paragraph">
    <w:name w:val="ConsNormal"/>
    <w:link w:val="Style_51_ch"/>
    <w:pPr>
      <w:widowControl w:val="0"/>
      <w:ind w:firstLine="720" w:left="0"/>
    </w:pPr>
    <w:rPr>
      <w:rFonts w:ascii="Consultant" w:hAnsi="Consultant"/>
      <w:color w:val="000000"/>
    </w:rPr>
  </w:style>
  <w:style w:styleId="Style_51_ch" w:type="character">
    <w:name w:val="ConsNormal"/>
    <w:link w:val="Style_51"/>
    <w:rPr>
      <w:rFonts w:ascii="Consultant" w:hAnsi="Consultant"/>
      <w:color w:val="000000"/>
    </w:rPr>
  </w:style>
  <w:style w:styleId="Style_52" w:type="paragraph">
    <w:name w:val="Heading 3 Char"/>
    <w:basedOn w:val="Style_18"/>
    <w:link w:val="Style_52_ch"/>
    <w:rPr>
      <w:rFonts w:ascii="Arial" w:hAnsi="Arial"/>
      <w:sz w:val="30"/>
    </w:rPr>
  </w:style>
  <w:style w:styleId="Style_52_ch" w:type="character">
    <w:name w:val="Heading 3 Char"/>
    <w:basedOn w:val="Style_18_ch"/>
    <w:link w:val="Style_52"/>
    <w:rPr>
      <w:rFonts w:ascii="Arial" w:hAnsi="Arial"/>
      <w:sz w:val="30"/>
    </w:rPr>
  </w:style>
  <w:style w:styleId="Style_53" w:type="paragraph">
    <w:name w:val="Hyperlink"/>
    <w:link w:val="Style_53_ch"/>
    <w:rPr>
      <w:color w:val="0000FF"/>
      <w:u w:val="single"/>
    </w:rPr>
  </w:style>
  <w:style w:styleId="Style_53_ch" w:type="character">
    <w:name w:val="Hyperlink"/>
    <w:link w:val="Style_53"/>
    <w:rPr>
      <w:color w:val="0000FF"/>
      <w:u w:val="single"/>
    </w:rPr>
  </w:style>
  <w:style w:styleId="Style_54" w:type="paragraph">
    <w:name w:val="Footnote"/>
    <w:link w:val="Style_54_ch"/>
    <w:pPr>
      <w:ind w:firstLine="851" w:left="0"/>
      <w:jc w:val="both"/>
    </w:pPr>
    <w:rPr>
      <w:rFonts w:ascii="XO Thames" w:hAnsi="XO Thames"/>
      <w:sz w:val="22"/>
    </w:rPr>
  </w:style>
  <w:style w:styleId="Style_54_ch" w:type="character">
    <w:name w:val="Footnote"/>
    <w:link w:val="Style_54"/>
    <w:rPr>
      <w:rFonts w:ascii="XO Thames" w:hAnsi="XO Thames"/>
      <w:sz w:val="22"/>
    </w:rPr>
  </w:style>
  <w:style w:styleId="Style_55" w:type="paragraph">
    <w:name w:val="Heading 4 Char"/>
    <w:basedOn w:val="Style_18"/>
    <w:link w:val="Style_55_ch"/>
    <w:rPr>
      <w:rFonts w:ascii="Arial" w:hAnsi="Arial"/>
      <w:b w:val="1"/>
      <w:sz w:val="26"/>
    </w:rPr>
  </w:style>
  <w:style w:styleId="Style_55_ch" w:type="character">
    <w:name w:val="Heading 4 Char"/>
    <w:basedOn w:val="Style_18_ch"/>
    <w:link w:val="Style_55"/>
    <w:rPr>
      <w:rFonts w:ascii="Arial" w:hAnsi="Arial"/>
      <w:b w:val="1"/>
      <w:sz w:val="26"/>
    </w:rPr>
  </w:style>
  <w:style w:styleId="Style_56" w:type="paragraph">
    <w:name w:val="heading 8"/>
    <w:basedOn w:val="Style_16"/>
    <w:next w:val="Style_16"/>
    <w:link w:val="Style_5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6_ch" w:type="character">
    <w:name w:val="heading 8"/>
    <w:basedOn w:val="Style_16_ch"/>
    <w:link w:val="Style_56"/>
    <w:rPr>
      <w:rFonts w:ascii="Arial" w:hAnsi="Arial"/>
      <w:i w:val="1"/>
      <w:sz w:val="22"/>
    </w:rPr>
  </w:style>
  <w:style w:styleId="Style_57" w:type="paragraph">
    <w:name w:val="Endnote"/>
    <w:link w:val="Style_57_ch"/>
    <w:pPr>
      <w:ind w:firstLine="851" w:left="0"/>
      <w:jc w:val="both"/>
    </w:pPr>
    <w:rPr>
      <w:rFonts w:ascii="XO Thames" w:hAnsi="XO Thames"/>
      <w:sz w:val="22"/>
    </w:rPr>
  </w:style>
  <w:style w:styleId="Style_57_ch" w:type="character">
    <w:name w:val="Endnote"/>
    <w:link w:val="Style_57"/>
    <w:rPr>
      <w:rFonts w:ascii="XO Thames" w:hAnsi="XO Thames"/>
      <w:sz w:val="22"/>
    </w:rPr>
  </w:style>
  <w:style w:styleId="Style_58" w:type="paragraph">
    <w:name w:val="toc 1"/>
    <w:next w:val="Style_16"/>
    <w:link w:val="Style_58_ch"/>
    <w:uiPriority w:val="39"/>
    <w:rPr>
      <w:rFonts w:ascii="XO Thames" w:hAnsi="XO Thames"/>
      <w:b w:val="1"/>
      <w:sz w:val="28"/>
    </w:rPr>
  </w:style>
  <w:style w:styleId="Style_58_ch" w:type="character">
    <w:name w:val="toc 1"/>
    <w:link w:val="Style_58"/>
    <w:rPr>
      <w:rFonts w:ascii="XO Thames" w:hAnsi="XO Thames"/>
      <w:b w:val="1"/>
      <w:sz w:val="28"/>
    </w:rPr>
  </w:style>
  <w:style w:styleId="Style_59" w:type="paragraph">
    <w:name w:val="ConsPlusNonformat"/>
    <w:link w:val="Style_59_ch"/>
    <w:rPr>
      <w:rFonts w:ascii="Courier New" w:hAnsi="Courier New"/>
      <w:sz w:val="24"/>
    </w:rPr>
  </w:style>
  <w:style w:styleId="Style_59_ch" w:type="character">
    <w:name w:val="ConsPlusNonformat"/>
    <w:link w:val="Style_59"/>
    <w:rPr>
      <w:rFonts w:ascii="Courier New" w:hAnsi="Courier New"/>
      <w:sz w:val="24"/>
    </w:rPr>
  </w:style>
  <w:style w:styleId="Style_60" w:type="paragraph">
    <w:name w:val="Header and Footer"/>
    <w:link w:val="Style_60_ch"/>
    <w:pPr>
      <w:ind/>
      <w:jc w:val="both"/>
    </w:pPr>
    <w:rPr>
      <w:rFonts w:ascii="XO Thames" w:hAnsi="XO Thames"/>
      <w:sz w:val="28"/>
    </w:rPr>
  </w:style>
  <w:style w:styleId="Style_60_ch" w:type="character">
    <w:name w:val="Header and Footer"/>
    <w:link w:val="Style_60"/>
    <w:rPr>
      <w:rFonts w:ascii="XO Thames" w:hAnsi="XO Thames"/>
      <w:sz w:val="28"/>
    </w:rPr>
  </w:style>
  <w:style w:styleId="Style_48" w:type="paragraph">
    <w:name w:val="Основной текст (5)"/>
    <w:link w:val="Style_48_ch"/>
    <w:rPr>
      <w:spacing w:val="2"/>
      <w:sz w:val="23"/>
    </w:rPr>
  </w:style>
  <w:style w:styleId="Style_48_ch" w:type="character">
    <w:name w:val="Основной текст (5)"/>
    <w:link w:val="Style_48"/>
    <w:rPr>
      <w:spacing w:val="2"/>
      <w:sz w:val="23"/>
    </w:rPr>
  </w:style>
  <w:style w:styleId="Style_61" w:type="paragraph">
    <w:name w:val="Heading 1 Char"/>
    <w:basedOn w:val="Style_18"/>
    <w:link w:val="Style_61_ch"/>
    <w:rPr>
      <w:rFonts w:ascii="Arial" w:hAnsi="Arial"/>
      <w:sz w:val="40"/>
    </w:rPr>
  </w:style>
  <w:style w:styleId="Style_61_ch" w:type="character">
    <w:name w:val="Heading 1 Char"/>
    <w:basedOn w:val="Style_18_ch"/>
    <w:link w:val="Style_61"/>
    <w:rPr>
      <w:rFonts w:ascii="Arial" w:hAnsi="Arial"/>
      <w:sz w:val="40"/>
    </w:rPr>
  </w:style>
  <w:style w:styleId="Style_6" w:type="paragraph">
    <w:name w:val="Standard"/>
    <w:link w:val="Style_6_ch"/>
    <w:pPr>
      <w:spacing w:after="200" w:line="276" w:lineRule="auto"/>
      <w:ind/>
    </w:pPr>
    <w:rPr>
      <w:sz w:val="22"/>
    </w:rPr>
  </w:style>
  <w:style w:styleId="Style_6_ch" w:type="character">
    <w:name w:val="Standard"/>
    <w:link w:val="Style_6"/>
    <w:rPr>
      <w:sz w:val="22"/>
    </w:rPr>
  </w:style>
  <w:style w:styleId="Style_62" w:type="paragraph">
    <w:name w:val="Header Char"/>
    <w:basedOn w:val="Style_18"/>
    <w:link w:val="Style_62_ch"/>
  </w:style>
  <w:style w:styleId="Style_62_ch" w:type="character">
    <w:name w:val="Header Char"/>
    <w:basedOn w:val="Style_18_ch"/>
    <w:link w:val="Style_62"/>
  </w:style>
  <w:style w:styleId="Style_63" w:type="paragraph">
    <w:name w:val="toc 9"/>
    <w:next w:val="Style_16"/>
    <w:link w:val="Style_63_ch"/>
    <w:uiPriority w:val="39"/>
    <w:pPr>
      <w:ind w:firstLine="0" w:left="1600"/>
    </w:pPr>
    <w:rPr>
      <w:rFonts w:ascii="XO Thames" w:hAnsi="XO Thames"/>
      <w:sz w:val="28"/>
    </w:rPr>
  </w:style>
  <w:style w:styleId="Style_63_ch" w:type="character">
    <w:name w:val="toc 9"/>
    <w:link w:val="Style_63"/>
    <w:rPr>
      <w:rFonts w:ascii="XO Thames" w:hAnsi="XO Thames"/>
      <w:sz w:val="28"/>
    </w:rPr>
  </w:style>
  <w:style w:styleId="Style_64" w:type="paragraph">
    <w:name w:val="toc 8"/>
    <w:next w:val="Style_16"/>
    <w:link w:val="Style_64_ch"/>
    <w:uiPriority w:val="39"/>
    <w:pPr>
      <w:ind w:firstLine="0" w:left="1400"/>
    </w:pPr>
    <w:rPr>
      <w:rFonts w:ascii="XO Thames" w:hAnsi="XO Thames"/>
      <w:sz w:val="28"/>
    </w:rPr>
  </w:style>
  <w:style w:styleId="Style_64_ch" w:type="character">
    <w:name w:val="toc 8"/>
    <w:link w:val="Style_64"/>
    <w:rPr>
      <w:rFonts w:ascii="XO Thames" w:hAnsi="XO Thames"/>
      <w:sz w:val="28"/>
    </w:rPr>
  </w:style>
  <w:style w:styleId="Style_65" w:type="paragraph">
    <w:name w:val="Обычный Char Char"/>
    <w:link w:val="Style_65_ch"/>
    <w:rPr>
      <w:rFonts w:ascii="Times New Roman" w:hAnsi="Times New Roman"/>
      <w:sz w:val="24"/>
    </w:rPr>
  </w:style>
  <w:style w:styleId="Style_65_ch" w:type="character">
    <w:name w:val="Обычный Char Char"/>
    <w:link w:val="Style_65"/>
    <w:rPr>
      <w:rFonts w:ascii="Times New Roman" w:hAnsi="Times New Roman"/>
      <w:sz w:val="24"/>
    </w:rPr>
  </w:style>
  <w:style w:styleId="Style_66" w:type="paragraph">
    <w:name w:val="Footer"/>
    <w:basedOn w:val="Style_16"/>
    <w:link w:val="Style_66_ch"/>
    <w:pPr>
      <w:tabs>
        <w:tab w:leader="none" w:pos="4677" w:val="center"/>
        <w:tab w:leader="none" w:pos="9355" w:val="right"/>
      </w:tabs>
      <w:ind/>
    </w:pPr>
  </w:style>
  <w:style w:styleId="Style_66_ch" w:type="character">
    <w:name w:val="Footer"/>
    <w:basedOn w:val="Style_16_ch"/>
    <w:link w:val="Style_66"/>
  </w:style>
  <w:style w:styleId="Style_67" w:type="paragraph">
    <w:name w:val="blk"/>
    <w:basedOn w:val="Style_18"/>
    <w:link w:val="Style_67_ch"/>
  </w:style>
  <w:style w:styleId="Style_67_ch" w:type="character">
    <w:name w:val="blk"/>
    <w:basedOn w:val="Style_18_ch"/>
    <w:link w:val="Style_67"/>
  </w:style>
  <w:style w:styleId="Style_68" w:type="paragraph">
    <w:name w:val="footnote reference"/>
    <w:basedOn w:val="Style_18"/>
    <w:link w:val="Style_68_ch"/>
    <w:rPr>
      <w:vertAlign w:val="superscript"/>
    </w:rPr>
  </w:style>
  <w:style w:styleId="Style_68_ch" w:type="character">
    <w:name w:val="footnote reference"/>
    <w:basedOn w:val="Style_18_ch"/>
    <w:link w:val="Style_68"/>
    <w:rPr>
      <w:vertAlign w:val="superscript"/>
    </w:rPr>
  </w:style>
  <w:style w:styleId="Style_69" w:type="paragraph">
    <w:name w:val="page number"/>
    <w:basedOn w:val="Style_18"/>
    <w:link w:val="Style_69_ch"/>
  </w:style>
  <w:style w:styleId="Style_69_ch" w:type="character">
    <w:name w:val="page number"/>
    <w:basedOn w:val="Style_18_ch"/>
    <w:link w:val="Style_69"/>
  </w:style>
  <w:style w:styleId="Style_70" w:type="paragraph">
    <w:name w:val="toc 5"/>
    <w:next w:val="Style_16"/>
    <w:link w:val="Style_70_ch"/>
    <w:uiPriority w:val="39"/>
    <w:pPr>
      <w:ind w:firstLine="0" w:left="800"/>
    </w:pPr>
    <w:rPr>
      <w:rFonts w:ascii="XO Thames" w:hAnsi="XO Thames"/>
      <w:sz w:val="28"/>
    </w:rPr>
  </w:style>
  <w:style w:styleId="Style_70_ch" w:type="character">
    <w:name w:val="toc 5"/>
    <w:link w:val="Style_70"/>
    <w:rPr>
      <w:rFonts w:ascii="XO Thames" w:hAnsi="XO Thames"/>
      <w:sz w:val="28"/>
    </w:rPr>
  </w:style>
  <w:style w:styleId="Style_15" w:type="paragraph">
    <w:name w:val="Выделение жирным"/>
    <w:link w:val="Style_15_ch"/>
    <w:rPr>
      <w:b w:val="1"/>
    </w:rPr>
  </w:style>
  <w:style w:styleId="Style_15_ch" w:type="character">
    <w:name w:val="Выделение жирным"/>
    <w:link w:val="Style_15"/>
    <w:rPr>
      <w:b w:val="1"/>
    </w:rPr>
  </w:style>
  <w:style w:styleId="Style_71" w:type="paragraph">
    <w:name w:val="Heading 5 Char"/>
    <w:basedOn w:val="Style_18"/>
    <w:link w:val="Style_71_ch"/>
    <w:rPr>
      <w:rFonts w:ascii="Arial" w:hAnsi="Arial"/>
      <w:b w:val="1"/>
      <w:sz w:val="24"/>
    </w:rPr>
  </w:style>
  <w:style w:styleId="Style_71_ch" w:type="character">
    <w:name w:val="Heading 5 Char"/>
    <w:basedOn w:val="Style_18_ch"/>
    <w:link w:val="Style_71"/>
    <w:rPr>
      <w:rFonts w:ascii="Arial" w:hAnsi="Arial"/>
      <w:b w:val="1"/>
      <w:sz w:val="24"/>
    </w:rPr>
  </w:style>
  <w:style w:styleId="Style_72" w:type="paragraph">
    <w:name w:val="Intense Quote"/>
    <w:basedOn w:val="Style_16"/>
    <w:next w:val="Style_16"/>
    <w:link w:val="Style_72_ch"/>
    <w:pPr>
      <w:ind w:firstLine="0" w:left="720" w:right="720"/>
      <w:contextualSpacing w:val="0"/>
    </w:pPr>
    <w:rPr>
      <w:i w:val="1"/>
    </w:rPr>
  </w:style>
  <w:style w:styleId="Style_72_ch" w:type="character">
    <w:name w:val="Intense Quote"/>
    <w:basedOn w:val="Style_16_ch"/>
    <w:link w:val="Style_72"/>
    <w:rPr>
      <w:i w:val="1"/>
    </w:rPr>
  </w:style>
  <w:style w:styleId="Style_73" w:type="paragraph">
    <w:name w:val="Balloon Text"/>
    <w:basedOn w:val="Style_16"/>
    <w:link w:val="Style_73_ch"/>
    <w:rPr>
      <w:rFonts w:ascii="Segoe UI" w:hAnsi="Segoe UI"/>
      <w:sz w:val="18"/>
    </w:rPr>
  </w:style>
  <w:style w:styleId="Style_73_ch" w:type="character">
    <w:name w:val="Balloon Text"/>
    <w:basedOn w:val="Style_16_ch"/>
    <w:link w:val="Style_73"/>
    <w:rPr>
      <w:rFonts w:ascii="Segoe UI" w:hAnsi="Segoe UI"/>
      <w:sz w:val="18"/>
    </w:rPr>
  </w:style>
  <w:style w:styleId="Style_74" w:type="paragraph">
    <w:name w:val="Основной шрифт абзаца1"/>
    <w:link w:val="Style_74_ch"/>
  </w:style>
  <w:style w:styleId="Style_74_ch" w:type="character">
    <w:name w:val="Основной шрифт абзаца1"/>
    <w:link w:val="Style_74"/>
  </w:style>
  <w:style w:styleId="Style_75" w:type="paragraph">
    <w:name w:val="Нормальный (таблица)"/>
    <w:basedOn w:val="Style_16"/>
    <w:next w:val="Style_16"/>
    <w:link w:val="Style_75_ch"/>
    <w:pPr>
      <w:widowControl w:val="0"/>
      <w:ind/>
      <w:jc w:val="both"/>
    </w:pPr>
    <w:rPr>
      <w:rFonts w:ascii="Times New Roman CYR" w:hAnsi="Times New Roman CYR"/>
    </w:rPr>
  </w:style>
  <w:style w:styleId="Style_75_ch" w:type="character">
    <w:name w:val="Нормальный (таблица)"/>
    <w:basedOn w:val="Style_16_ch"/>
    <w:link w:val="Style_75"/>
    <w:rPr>
      <w:rFonts w:ascii="Times New Roman CYR" w:hAnsi="Times New Roman CYR"/>
    </w:rPr>
  </w:style>
  <w:style w:styleId="Style_76" w:type="paragraph">
    <w:name w:val="Subtitle"/>
    <w:next w:val="Style_16"/>
    <w:link w:val="Style_7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6_ch" w:type="character">
    <w:name w:val="Subtitle"/>
    <w:link w:val="Style_76"/>
    <w:rPr>
      <w:rFonts w:ascii="XO Thames" w:hAnsi="XO Thames"/>
      <w:i w:val="1"/>
      <w:sz w:val="24"/>
    </w:rPr>
  </w:style>
  <w:style w:styleId="Style_77" w:type="paragraph">
    <w:name w:val="Footer Char"/>
    <w:basedOn w:val="Style_18"/>
    <w:link w:val="Style_77_ch"/>
  </w:style>
  <w:style w:styleId="Style_77_ch" w:type="character">
    <w:name w:val="Footer Char"/>
    <w:basedOn w:val="Style_18_ch"/>
    <w:link w:val="Style_77"/>
  </w:style>
  <w:style w:styleId="Style_78" w:type="paragraph">
    <w:name w:val="Footnote"/>
    <w:basedOn w:val="Style_16"/>
    <w:link w:val="Style_78_ch"/>
    <w:pPr>
      <w:spacing w:after="40" w:line="240" w:lineRule="auto"/>
      <w:ind/>
    </w:pPr>
    <w:rPr>
      <w:sz w:val="18"/>
    </w:rPr>
  </w:style>
  <w:style w:styleId="Style_78_ch" w:type="character">
    <w:name w:val="Footnote"/>
    <w:basedOn w:val="Style_16_ch"/>
    <w:link w:val="Style_78"/>
    <w:rPr>
      <w:sz w:val="18"/>
    </w:rPr>
  </w:style>
  <w:style w:styleId="Style_79" w:type="paragraph">
    <w:name w:val="Title"/>
    <w:next w:val="Style_16"/>
    <w:link w:val="Style_7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9_ch" w:type="character">
    <w:name w:val="Title"/>
    <w:link w:val="Style_79"/>
    <w:rPr>
      <w:rFonts w:ascii="XO Thames" w:hAnsi="XO Thames"/>
      <w:b w:val="1"/>
      <w:caps w:val="1"/>
      <w:sz w:val="40"/>
    </w:rPr>
  </w:style>
  <w:style w:styleId="Style_80" w:type="paragraph">
    <w:name w:val="heading 4"/>
    <w:next w:val="Style_16"/>
    <w:link w:val="Style_8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0_ch" w:type="character">
    <w:name w:val="heading 4"/>
    <w:link w:val="Style_80"/>
    <w:rPr>
      <w:rFonts w:ascii="XO Thames" w:hAnsi="XO Thames"/>
      <w:b w:val="1"/>
      <w:sz w:val="24"/>
    </w:rPr>
  </w:style>
  <w:style w:styleId="Style_13" w:type="paragraph">
    <w:name w:val="Internet link"/>
    <w:link w:val="Style_13_ch"/>
    <w:rPr>
      <w:color w:val="0000FF"/>
      <w:sz w:val="20"/>
      <w:u w:val="single"/>
    </w:rPr>
  </w:style>
  <w:style w:styleId="Style_13_ch" w:type="character">
    <w:name w:val="Internet link"/>
    <w:link w:val="Style_13"/>
    <w:rPr>
      <w:color w:val="0000FF"/>
      <w:sz w:val="20"/>
      <w:u w:val="single"/>
    </w:rPr>
  </w:style>
  <w:style w:styleId="Style_81" w:type="paragraph">
    <w:name w:val="Body Text Indent 3"/>
    <w:basedOn w:val="Style_16"/>
    <w:link w:val="Style_81_ch"/>
    <w:pPr>
      <w:spacing w:after="120"/>
      <w:ind w:firstLine="0" w:left="283"/>
    </w:pPr>
    <w:rPr>
      <w:sz w:val="16"/>
    </w:rPr>
  </w:style>
  <w:style w:styleId="Style_81_ch" w:type="character">
    <w:name w:val="Body Text Indent 3"/>
    <w:basedOn w:val="Style_16_ch"/>
    <w:link w:val="Style_81"/>
    <w:rPr>
      <w:sz w:val="16"/>
    </w:rPr>
  </w:style>
  <w:style w:styleId="Style_82" w:type="paragraph">
    <w:name w:val="table of figures"/>
    <w:basedOn w:val="Style_16"/>
    <w:next w:val="Style_16"/>
    <w:link w:val="Style_82_ch"/>
    <w:pPr>
      <w:spacing w:after="0"/>
      <w:ind/>
    </w:pPr>
  </w:style>
  <w:style w:styleId="Style_82_ch" w:type="character">
    <w:name w:val="table of figures"/>
    <w:basedOn w:val="Style_16_ch"/>
    <w:link w:val="Style_82"/>
  </w:style>
  <w:style w:styleId="Style_83" w:type="paragraph">
    <w:name w:val="heading 2"/>
    <w:next w:val="Style_16"/>
    <w:link w:val="Style_8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83_ch" w:type="character">
    <w:name w:val="heading 2"/>
    <w:link w:val="Style_83"/>
    <w:rPr>
      <w:rFonts w:ascii="XO Thames" w:hAnsi="XO Thames"/>
      <w:b w:val="1"/>
      <w:sz w:val="28"/>
    </w:rPr>
  </w:style>
  <w:style w:styleId="Style_84" w:type="paragraph">
    <w:name w:val="TOC Heading"/>
    <w:link w:val="Style_84_ch"/>
  </w:style>
  <w:style w:styleId="Style_84_ch" w:type="character">
    <w:name w:val="TOC Heading"/>
    <w:link w:val="Style_84"/>
  </w:style>
  <w:style w:styleId="Style_85" w:type="paragraph">
    <w:name w:val="Обычный1"/>
    <w:link w:val="Style_85_ch"/>
    <w:rPr>
      <w:rFonts w:ascii="Times New Roman" w:hAnsi="Times New Roman"/>
      <w:sz w:val="24"/>
    </w:rPr>
  </w:style>
  <w:style w:styleId="Style_85_ch" w:type="character">
    <w:name w:val="Обычный1"/>
    <w:link w:val="Style_85"/>
    <w:rPr>
      <w:rFonts w:ascii="Times New Roman" w:hAnsi="Times New Roman"/>
      <w:sz w:val="24"/>
    </w:rPr>
  </w:style>
  <w:style w:styleId="Style_86" w:type="paragraph">
    <w:name w:val="heading 6"/>
    <w:basedOn w:val="Style_16"/>
    <w:next w:val="Style_16"/>
    <w:link w:val="Style_86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86_ch" w:type="character">
    <w:name w:val="heading 6"/>
    <w:basedOn w:val="Style_16_ch"/>
    <w:link w:val="Style_86"/>
    <w:rPr>
      <w:rFonts w:ascii="Arial" w:hAnsi="Arial"/>
      <w:b w:val="1"/>
      <w:sz w:val="22"/>
    </w:rPr>
  </w:style>
  <w:style w:styleId="Style_12" w:type="table">
    <w:name w:val="Table Grid"/>
    <w:basedOn w:val="Style_1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7" w:type="table">
    <w:name w:val="List Table 4 - Accent 5"/>
    <w:basedOn w:val="Style_1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8" w:type="table">
    <w:name w:val="List Table 1 Light - Accent 1"/>
    <w:basedOn w:val="Style_10"/>
    <w:pPr>
      <w:spacing w:after="0" w:line="240" w:lineRule="auto"/>
      <w:ind/>
    </w:pPr>
    <w:tblPr>
      <w:tblInd w:type="dxa" w:w="0"/>
    </w:tblPr>
  </w:style>
  <w:style w:styleId="Style_89" w:type="table">
    <w:name w:val="Grid Table 5 Dark - Accent 2"/>
    <w:basedOn w:val="Style_1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2 - Accent 2"/>
    <w:basedOn w:val="Style_10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1" w:type="table">
    <w:name w:val="Grid Table 3 - Accent 2"/>
    <w:basedOn w:val="Style_1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2" w:type="table">
    <w:name w:val="List Table 5 Dark - Accent 6"/>
    <w:basedOn w:val="Style_10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3" w:type="table">
    <w:name w:val="Lined - Accent 1"/>
    <w:basedOn w:val="Style_10"/>
    <w:pPr>
      <w:spacing w:after="0" w:line="240" w:lineRule="auto"/>
      <w:ind/>
    </w:pPr>
    <w:rPr>
      <w:color w:val="404040"/>
    </w:rPr>
    <w:tblPr>
      <w:tblInd w:type="dxa" w:w="0"/>
    </w:tblPr>
  </w:style>
  <w:style w:styleId="Style_94" w:type="table">
    <w:name w:val="Grid Table 2 - Accent 2"/>
    <w:basedOn w:val="Style_1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5" w:type="table">
    <w:name w:val="Grid Table 6 Colorful - Accent 1"/>
    <w:basedOn w:val="Style_10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Grid Table 3 - Accent 5"/>
    <w:basedOn w:val="Style_1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List Table 7 Colorful - Accent 2"/>
    <w:basedOn w:val="Style_10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8" w:type="table">
    <w:name w:val="Grid Table 7 Colorful - Accent 4"/>
    <w:basedOn w:val="Style_10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1 Light - Accent 2"/>
    <w:basedOn w:val="Style_10"/>
    <w:pPr>
      <w:spacing w:after="0" w:line="240" w:lineRule="auto"/>
      <w:ind/>
    </w:pPr>
    <w:tblPr>
      <w:tblInd w:type="dxa" w:w="0"/>
    </w:tblPr>
  </w:style>
  <w:style w:styleId="Style_100" w:type="table">
    <w:name w:val="Plain Table 3"/>
    <w:basedOn w:val="Style_10"/>
    <w:pPr>
      <w:spacing w:after="0" w:line="240" w:lineRule="auto"/>
      <w:ind/>
    </w:pPr>
    <w:tblPr>
      <w:tblInd w:type="dxa" w:w="0"/>
    </w:tblPr>
  </w:style>
  <w:style w:styleId="Style_101" w:type="table">
    <w:name w:val="Grid Table 6 Colorful - Accent 4"/>
    <w:basedOn w:val="Style_1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Plain Table 1"/>
    <w:basedOn w:val="Style_1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6 Colorful"/>
    <w:basedOn w:val="Style_10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4" w:type="table">
    <w:name w:val="Grid Table 5 Dark"/>
    <w:basedOn w:val="Style_1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1 Light"/>
    <w:basedOn w:val="Style_10"/>
    <w:pPr>
      <w:spacing w:after="0" w:line="240" w:lineRule="auto"/>
      <w:ind/>
    </w:pPr>
    <w:tblPr>
      <w:tblInd w:type="dxa" w:w="0"/>
    </w:tblPr>
  </w:style>
  <w:style w:styleId="Style_106" w:type="table">
    <w:name w:val="List Table 3 - Accent 2"/>
    <w:basedOn w:val="Style_1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7" w:type="table">
    <w:name w:val="Bordered - Accent 6"/>
    <w:basedOn w:val="Style_1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8" w:type="table">
    <w:name w:val="Grid Table 7 Colorful - Accent 1"/>
    <w:basedOn w:val="Style_10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9" w:type="table">
    <w:name w:val="Grid Table 1 Light"/>
    <w:basedOn w:val="Style_10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0" w:type="table">
    <w:name w:val="Bordered &amp; Lined - Accent 5"/>
    <w:basedOn w:val="Style_1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1" w:type="table">
    <w:name w:val="Grid Table 1 Light - Accent 5"/>
    <w:basedOn w:val="Style_1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2" w:type="table">
    <w:name w:val="Grid Table 6 Colorful - Accent 5"/>
    <w:basedOn w:val="Style_10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Grid Table 3 - Accent 3"/>
    <w:basedOn w:val="Style_1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List Table 1 Light - Accent 3"/>
    <w:basedOn w:val="Style_10"/>
    <w:pPr>
      <w:spacing w:after="0" w:line="240" w:lineRule="auto"/>
      <w:ind/>
    </w:pPr>
    <w:tblPr>
      <w:tblInd w:type="dxa" w:w="0"/>
    </w:tblPr>
  </w:style>
  <w:style w:styleId="Style_115" w:type="table">
    <w:name w:val="Grid Table 7 Colorful"/>
    <w:basedOn w:val="Style_10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6" w:type="table">
    <w:name w:val="Bordered &amp; Lined - Accent 2"/>
    <w:basedOn w:val="Style_1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7" w:type="table">
    <w:name w:val="List Table 2 - Accent 3"/>
    <w:basedOn w:val="Style_10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8" w:type="table">
    <w:name w:val="List Table 7 Colorful"/>
    <w:basedOn w:val="Style_10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9" w:type="table">
    <w:name w:val="Grid Table 1 Light - Accent 1"/>
    <w:basedOn w:val="Style_1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0" w:type="table">
    <w:name w:val="List Table 6 Colorful - Accent 6"/>
    <w:basedOn w:val="Style_10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1" w:type="table">
    <w:name w:val="Grid Table 7 Colorful - Accent 6"/>
    <w:basedOn w:val="Style_10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2" w:type="table">
    <w:name w:val="Grid Table 4 - Accent 6"/>
    <w:basedOn w:val="Style_1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List Table 3 - Accent 5"/>
    <w:basedOn w:val="Style_10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4" w:type="table">
    <w:name w:val="Bordered - Accent 1"/>
    <w:basedOn w:val="Style_1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5" w:type="table">
    <w:name w:val="Bordered &amp; Lined - Accent 1"/>
    <w:basedOn w:val="Style_1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6" w:type="table">
    <w:name w:val="List Table 4 - Accent 2"/>
    <w:basedOn w:val="Style_1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7" w:type="table">
    <w:name w:val="List Table 7 Colorful - Accent 5"/>
    <w:basedOn w:val="Style_10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8" w:type="table">
    <w:name w:val="Grid Table 2 - Accent 4"/>
    <w:basedOn w:val="Style_1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4 - Accent 1"/>
    <w:basedOn w:val="Style_1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0" w:type="table">
    <w:name w:val="List Table 2 - Accent 4"/>
    <w:basedOn w:val="Style_10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1" w:type="table">
    <w:name w:val="Grid Table 6 Colorful - Accent 3"/>
    <w:basedOn w:val="Style_10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Grid Table 2 - Accent 3"/>
    <w:basedOn w:val="Style_1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Grid Table 2 - Accent 6"/>
    <w:basedOn w:val="Style_1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4" w:type="table">
    <w:name w:val="List Table 6 Colorful - Accent 2"/>
    <w:basedOn w:val="Style_10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5" w:type="table">
    <w:name w:val="Grid Table 5 Dark - Accent 5"/>
    <w:basedOn w:val="Style_1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Bordered &amp; Lined - Accent 4"/>
    <w:basedOn w:val="Style_1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7" w:type="table">
    <w:name w:val="List Table 7 Colorful - Accent 1"/>
    <w:basedOn w:val="Style_10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8" w:type="table">
    <w:name w:val="Grid Table 1 Light - Accent 2"/>
    <w:basedOn w:val="Style_1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9" w:type="table">
    <w:name w:val="List Table 6 Colorful - Accent 1"/>
    <w:basedOn w:val="Style_10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0" w:type="table">
    <w:name w:val="Grid Table 2 - Accent 1"/>
    <w:basedOn w:val="Style_1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1" w:type="table">
    <w:name w:val="Grid Table 7 Colorful - Accent 3"/>
    <w:basedOn w:val="Style_10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Grid Table 7 Colorful - Accent 5"/>
    <w:basedOn w:val="Style_10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List Table 7 Colorful - Accent 3"/>
    <w:basedOn w:val="Style_10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4" w:type="table">
    <w:name w:val="List Table 1 Light - Accent 4"/>
    <w:basedOn w:val="Style_10"/>
    <w:pPr>
      <w:spacing w:after="0" w:line="240" w:lineRule="auto"/>
      <w:ind/>
    </w:pPr>
    <w:tblPr>
      <w:tblInd w:type="dxa" w:w="0"/>
    </w:tblPr>
  </w:style>
  <w:style w:styleId="Style_145" w:type="table">
    <w:name w:val="Grid Table 5 Dark - Accent 6"/>
    <w:basedOn w:val="Style_1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5 Dark - Accent 2"/>
    <w:basedOn w:val="Style_10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7" w:type="table">
    <w:name w:val="Grid Table 2 - Accent 5"/>
    <w:basedOn w:val="Style_1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List Table 2"/>
    <w:basedOn w:val="Style_10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9" w:type="table">
    <w:name w:val="Lined - Accent 2"/>
    <w:basedOn w:val="Style_10"/>
    <w:pPr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Grid Table 4 - Accent 2"/>
    <w:basedOn w:val="Style_1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1" w:type="table">
    <w:name w:val="Grid Table 3 - Accent 6"/>
    <w:basedOn w:val="Style_1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2 - Accent 5"/>
    <w:basedOn w:val="Style_10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3" w:type="table">
    <w:name w:val="Plain Table 4"/>
    <w:basedOn w:val="Style_10"/>
    <w:pPr>
      <w:spacing w:after="0" w:line="240" w:lineRule="auto"/>
      <w:ind/>
    </w:pPr>
    <w:tblPr>
      <w:tblInd w:type="dxa" w:w="0"/>
    </w:tblPr>
  </w:style>
  <w:style w:styleId="Style_154" w:type="table">
    <w:name w:val="List Table 2 - Accent 6"/>
    <w:basedOn w:val="Style_10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5 Dark- Accent 1"/>
    <w:basedOn w:val="Style_1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6 Colorful - Accent 4"/>
    <w:basedOn w:val="Style_10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7" w:type="table">
    <w:name w:val="List Table 7 Colorful - Accent 4"/>
    <w:basedOn w:val="Style_10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8" w:type="table">
    <w:name w:val="List Table 4 - Accent 4"/>
    <w:basedOn w:val="Style_1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9" w:type="table">
    <w:name w:val="List Table 2 - Accent 1"/>
    <w:basedOn w:val="Style_10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0" w:type="table">
    <w:name w:val="Сетка таблицы1"/>
    <w:basedOn w:val="Style_10"/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1" w:type="table">
    <w:name w:val="List Table 5 Dark - Accent 5"/>
    <w:basedOn w:val="Style_10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2" w:type="table">
    <w:name w:val="List Table 7 Colorful - Accent 6"/>
    <w:basedOn w:val="Style_10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3" w:type="table">
    <w:name w:val="List Table 1 Light - Accent 6"/>
    <w:basedOn w:val="Style_10"/>
    <w:pPr>
      <w:spacing w:after="0" w:line="240" w:lineRule="auto"/>
      <w:ind/>
    </w:pPr>
    <w:tblPr>
      <w:tblInd w:type="dxa" w:w="0"/>
    </w:tblPr>
  </w:style>
  <w:style w:styleId="Style_164" w:type="table">
    <w:name w:val="List Table 6 Colorful - Accent 3"/>
    <w:basedOn w:val="Style_10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5" w:type="table">
    <w:name w:val="Bordered - Accent 3"/>
    <w:basedOn w:val="Style_1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6" w:type="table">
    <w:name w:val="Bordered - Accent 4"/>
    <w:basedOn w:val="Style_1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7" w:type="table">
    <w:name w:val="Grid Table 4"/>
    <w:basedOn w:val="Style_10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8" w:type="table">
    <w:name w:val="List Table 5 Dark - Accent 1"/>
    <w:basedOn w:val="Style_10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9" w:type="table">
    <w:name w:val="List Table 5 Dark"/>
    <w:basedOn w:val="Style_10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0" w:type="table">
    <w:name w:val="List Table 5 Dark - Accent 3"/>
    <w:basedOn w:val="Style_10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1" w:type="table">
    <w:name w:val="Grid Table 7 Colorful - Accent 2"/>
    <w:basedOn w:val="Style_10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List Table 3 - Accent 3"/>
    <w:basedOn w:val="Style_10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3" w:type="table">
    <w:name w:val="Plain Table 5"/>
    <w:basedOn w:val="Style_10"/>
    <w:pPr>
      <w:spacing w:after="0" w:line="240" w:lineRule="auto"/>
      <w:ind/>
    </w:pPr>
    <w:tblPr>
      <w:tblInd w:type="dxa" w:w="0"/>
    </w:tblPr>
  </w:style>
  <w:style w:styleId="Style_174" w:type="table">
    <w:name w:val="Grid Table 3 - Accent 4"/>
    <w:basedOn w:val="Style_1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Grid Table 1 Light - Accent 4"/>
    <w:basedOn w:val="Style_1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6" w:type="table">
    <w:name w:val="List Table 1 Light - Accent 5"/>
    <w:basedOn w:val="Style_10"/>
    <w:pPr>
      <w:spacing w:after="0" w:line="240" w:lineRule="auto"/>
      <w:ind/>
    </w:pPr>
    <w:tblPr>
      <w:tblInd w:type="dxa" w:w="0"/>
    </w:tblPr>
  </w:style>
  <w:style w:styleId="Style_177" w:type="table">
    <w:name w:val="Lined - Accent 3"/>
    <w:basedOn w:val="Style_10"/>
    <w:pPr>
      <w:spacing w:after="0" w:line="240" w:lineRule="auto"/>
      <w:ind/>
    </w:pPr>
    <w:rPr>
      <w:color w:val="404040"/>
    </w:rPr>
    <w:tblPr>
      <w:tblInd w:type="dxa" w:w="0"/>
    </w:tblPr>
  </w:style>
  <w:style w:styleId="Style_178" w:type="table">
    <w:name w:val="Grid Table 2"/>
    <w:basedOn w:val="Style_1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9" w:type="table">
    <w:name w:val="Grid Table 5 Dark- Accent 4"/>
    <w:basedOn w:val="Style_1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List Table 3 - Accent 4"/>
    <w:basedOn w:val="Style_1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1" w:type="table">
    <w:name w:val="List Table 5 Dark - Accent 4"/>
    <w:basedOn w:val="Style_10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2" w:type="table">
    <w:name w:val="List Table 4 - Accent 3"/>
    <w:basedOn w:val="Style_1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3" w:type="table">
    <w:name w:val="Grid Table 5 Dark - Accent 3"/>
    <w:basedOn w:val="Style_1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ned - Accent 6"/>
    <w:basedOn w:val="Style_10"/>
    <w:pPr>
      <w:spacing w:after="0" w:line="240" w:lineRule="auto"/>
      <w:ind/>
    </w:pPr>
    <w:rPr>
      <w:color w:val="404040"/>
    </w:rPr>
    <w:tblPr>
      <w:tblInd w:type="dxa" w:w="0"/>
    </w:tblPr>
  </w:style>
  <w:style w:styleId="Style_185" w:type="table">
    <w:name w:val="Grid Table 4 - Accent 3"/>
    <w:basedOn w:val="Style_1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6" w:type="table">
    <w:name w:val="Grid Table 6 Colorful"/>
    <w:basedOn w:val="Style_10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7" w:type="table">
    <w:name w:val="Grid Table 4 - Accent 5"/>
    <w:basedOn w:val="Style_1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8" w:type="table">
    <w:name w:val="Table Grid Light"/>
    <w:basedOn w:val="Style_1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ned - Accent 5"/>
    <w:basedOn w:val="Style_10"/>
    <w:pPr>
      <w:spacing w:after="0" w:line="240" w:lineRule="auto"/>
      <w:ind/>
    </w:pPr>
    <w:rPr>
      <w:color w:val="404040"/>
    </w:rPr>
    <w:tblPr>
      <w:tblInd w:type="dxa" w:w="0"/>
    </w:tblPr>
  </w:style>
  <w:style w:styleId="Style_190" w:type="table">
    <w:name w:val="Lined - Accent 4"/>
    <w:basedOn w:val="Style_10"/>
    <w:pPr>
      <w:spacing w:after="0" w:line="240" w:lineRule="auto"/>
      <w:ind/>
    </w:pPr>
    <w:rPr>
      <w:color w:val="404040"/>
    </w:rPr>
    <w:tblPr>
      <w:tblInd w:type="dxa" w:w="0"/>
    </w:tblPr>
  </w:style>
  <w:style w:styleId="Style_191" w:type="table">
    <w:name w:val="Bordered &amp; Lined - Accent 6"/>
    <w:basedOn w:val="Style_1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92" w:type="table">
    <w:name w:val="Bordered &amp; Lined - Accent 3"/>
    <w:basedOn w:val="Style_1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93" w:type="table">
    <w:name w:val="Grid Table 1 Light - Accent 6"/>
    <w:basedOn w:val="Style_1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4" w:type="table">
    <w:name w:val="Bordered &amp; Lined - Accent"/>
    <w:basedOn w:val="Style_10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5" w:type="table">
    <w:name w:val="List Table 4"/>
    <w:basedOn w:val="Style_1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6" w:type="table">
    <w:name w:val="Grid Table 3 - Accent 1"/>
    <w:basedOn w:val="Style_1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7" w:type="table">
    <w:name w:val="Grid Table 4 - Accent 4"/>
    <w:basedOn w:val="Style_1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8" w:type="table">
    <w:name w:val="Lined - Accent"/>
    <w:basedOn w:val="Style_10"/>
    <w:pPr>
      <w:spacing w:after="0" w:line="240" w:lineRule="auto"/>
      <w:ind/>
    </w:pPr>
    <w:rPr>
      <w:color w:val="404040"/>
    </w:rPr>
    <w:tblPr>
      <w:tblInd w:type="dxa" w:w="0"/>
    </w:tblPr>
  </w:style>
  <w:style w:styleId="Style_199" w:type="table">
    <w:name w:val="Plain Table 2"/>
    <w:basedOn w:val="Style_1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Bordered - Accent 2"/>
    <w:basedOn w:val="Style_1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1" w:type="table">
    <w:name w:val="List Table 3 - Accent 1"/>
    <w:basedOn w:val="Style_10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2" w:type="table">
    <w:name w:val="Bordered - Accent 5"/>
    <w:basedOn w:val="Style_1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3" w:type="table">
    <w:name w:val="List Table 6 Colorful - Accent 5"/>
    <w:basedOn w:val="Style_10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204" w:type="table">
    <w:name w:val="Grid Table 4 - Accent 1"/>
    <w:basedOn w:val="Style_1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5" w:type="table">
    <w:name w:val="List Table 3 - Accent 6"/>
    <w:basedOn w:val="Style_10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6" w:type="table">
    <w:name w:val="Grid Table 6 Colorful - Accent 2"/>
    <w:basedOn w:val="Style_1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7" w:type="table">
    <w:name w:val="Grid Table 1 Light - Accent 3"/>
    <w:basedOn w:val="Style_1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8" w:type="table">
    <w:name w:val="List Table 3"/>
    <w:basedOn w:val="Style_1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09" w:type="table">
    <w:name w:val="List Table 4 - Accent 6"/>
    <w:basedOn w:val="Style_1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0" w:type="table">
    <w:name w:val="Grid Table 6 Colorful - Accent 6"/>
    <w:basedOn w:val="Style_10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1" w:type="table">
    <w:name w:val="Grid Table 3"/>
    <w:basedOn w:val="Style_1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2" w:type="table">
    <w:name w:val="Bordered"/>
    <w:basedOn w:val="Style_10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2026-06-04T12:37:46Z</dcterms:modified>
</cp:coreProperties>
</file>