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120" w:after="120"/>
        <w:ind w:hanging="0" w:left="0" w:right="0"/>
        <w:jc w:val="center"/>
        <w:rPr>
          <w:b/>
          <w:bCs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>Договор поставки</w:t>
      </w:r>
      <w:r>
        <w:rPr>
          <w:bCs/>
          <w:color w:val="000000"/>
          <w:sz w:val="23"/>
          <w:szCs w:val="23"/>
        </w:rPr>
        <w:t xml:space="preserve"> </w:t>
      </w:r>
      <w:r>
        <w:rPr>
          <w:b/>
          <w:bCs/>
          <w:color w:val="000000"/>
          <w:sz w:val="23"/>
          <w:szCs w:val="23"/>
        </w:rPr>
        <w:t>№</w:t>
      </w:r>
      <w:r>
        <w:rPr>
          <w:rStyle w:val="Hyperlink"/>
          <w:b/>
          <w:bCs/>
          <w:color w:val="000000"/>
          <w:sz w:val="23"/>
          <w:szCs w:val="23"/>
        </w:rPr>
        <w:t xml:space="preserve">  </w:t>
      </w:r>
    </w:p>
    <w:p>
      <w:pPr>
        <w:pStyle w:val="Normal"/>
        <w:spacing w:before="120" w:after="120"/>
        <w:ind w:hanging="0" w:left="0" w:right="0"/>
        <w:jc w:val="center"/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 </w:t>
      </w:r>
    </w:p>
    <w:p>
      <w:pPr>
        <w:pStyle w:val="Normal"/>
        <w:tabs>
          <w:tab w:val="clear" w:pos="9900"/>
          <w:tab w:val="right" w:pos="9923" w:leader="none"/>
        </w:tabs>
        <w:spacing w:before="120" w:after="120"/>
        <w:rPr>
          <w:b/>
          <w:sz w:val="23"/>
          <w:szCs w:val="23"/>
        </w:rPr>
      </w:pPr>
      <w:r>
        <w:rPr>
          <w:color w:val="000000"/>
          <w:sz w:val="23"/>
          <w:szCs w:val="23"/>
        </w:rPr>
        <w:t>г. Киров</w:t>
        <w:tab/>
        <w:t xml:space="preserve">                                                                          «___» __________ 2026 г.</w:t>
      </w:r>
    </w:p>
    <w:p>
      <w:pPr>
        <w:pStyle w:val="Normal"/>
        <w:tabs>
          <w:tab w:val="clear" w:pos="9900"/>
          <w:tab w:val="right" w:pos="9923" w:leader="none"/>
        </w:tabs>
        <w:spacing w:before="120" w:after="120"/>
        <w:ind w:firstLine="964" w:left="0" w:right="0"/>
        <w:rPr>
          <w:b w:val="false"/>
          <w:color w:val="000000"/>
          <w:sz w:val="23"/>
          <w:szCs w:val="23"/>
        </w:rPr>
      </w:pPr>
      <w:r>
        <w:rPr>
          <w:b/>
          <w:sz w:val="23"/>
          <w:szCs w:val="23"/>
        </w:rPr>
        <w:t xml:space="preserve">ФГБУН «Кировский научно-исследовательский институт гематологии и переливания крови Федерального медико-биологического агентства», </w:t>
      </w:r>
      <w:r>
        <w:rPr>
          <w:sz w:val="23"/>
          <w:szCs w:val="23"/>
        </w:rPr>
        <w:t>именуемое в дальнейшем «</w:t>
      </w:r>
      <w:r>
        <w:rPr>
          <w:b/>
          <w:sz w:val="23"/>
          <w:szCs w:val="23"/>
        </w:rPr>
        <w:t>Заказчик</w:t>
      </w:r>
      <w:r>
        <w:rPr>
          <w:sz w:val="23"/>
          <w:szCs w:val="23"/>
        </w:rPr>
        <w:t xml:space="preserve">», в лице в лице директора института Парамонова Игоря Владимировича, действующего на основании Устава, с одной стороны, и                 </w:t>
      </w:r>
      <w:r>
        <w:rPr>
          <w:rFonts w:cs="Times New Roman"/>
          <w:b/>
          <w:bCs/>
          <w:sz w:val="22"/>
          <w:szCs w:val="22"/>
          <w:shd w:fill="auto" w:val="clear"/>
        </w:rPr>
        <w:t xml:space="preserve">, именуемое в дальнейшем «Поставщик», в лице                </w:t>
      </w:r>
      <w:r>
        <w:rPr>
          <w:rFonts w:cs="Times New Roman"/>
          <w:b/>
          <w:bCs/>
          <w:sz w:val="22"/>
          <w:szCs w:val="22"/>
          <w:shd w:fill="auto" w:val="clear"/>
          <w:lang w:eastAsia="ru-RU"/>
        </w:rPr>
        <w:t xml:space="preserve"> </w:t>
      </w:r>
      <w:r>
        <w:rPr>
          <w:rFonts w:cs="Times New Roman"/>
          <w:b/>
          <w:bCs/>
          <w:sz w:val="22"/>
          <w:szCs w:val="22"/>
          <w:shd w:fill="auto" w:val="clear"/>
        </w:rPr>
        <w:t xml:space="preserve">действующего на основании </w:t>
      </w:r>
      <w:r>
        <w:rPr>
          <w:rFonts w:cs="Times New Roman"/>
          <w:b/>
          <w:bCs/>
          <w:kern w:val="2"/>
          <w:sz w:val="22"/>
          <w:szCs w:val="22"/>
          <w:shd w:fill="auto" w:val="clear"/>
        </w:rPr>
        <w:t xml:space="preserve">                      </w:t>
      </w:r>
      <w:r>
        <w:rPr>
          <w:sz w:val="23"/>
          <w:szCs w:val="23"/>
        </w:rPr>
        <w:t>,</w:t>
      </w:r>
      <w:r>
        <w:rPr/>
        <w:t xml:space="preserve"> </w:t>
      </w:r>
      <w:r>
        <w:rPr>
          <w:sz w:val="23"/>
          <w:szCs w:val="23"/>
        </w:rPr>
        <w:t>с другой стороны, здесь и далее вместе именуемые «Стороны»,</w:t>
      </w:r>
      <w:r>
        <w:rPr>
          <w:b/>
          <w:sz w:val="23"/>
          <w:szCs w:val="23"/>
        </w:rPr>
        <w:t xml:space="preserve"> </w:t>
      </w:r>
      <w:r>
        <w:rPr>
          <w:sz w:val="23"/>
          <w:szCs w:val="23"/>
        </w:rPr>
        <w:t xml:space="preserve">идентификационный код закупки 261434600765643450100100300000000244, руководствуясь п. 5. ч. 1 ст. 93 Федерального закона от 05.04.2013 № 44-ФЗ «О контрактной системе </w:t>
      </w:r>
      <w:r>
        <w:rPr>
          <w:color w:val="000000"/>
          <w:sz w:val="23"/>
          <w:szCs w:val="23"/>
        </w:rPr>
        <w:t>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color w:val="000000"/>
          <w:sz w:val="23"/>
          <w:szCs w:val="23"/>
        </w:rPr>
      </w:pPr>
      <w:r>
        <w:rPr>
          <w:b w:val="false"/>
          <w:color w:val="000000"/>
          <w:sz w:val="23"/>
          <w:szCs w:val="23"/>
        </w:rPr>
        <w:t>1. Предмет договора</w:t>
      </w:r>
    </w:p>
    <w:p>
      <w:pPr>
        <w:pStyle w:val="12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1.1. По настоящему договору Поставщик обязуется поставить строительные материалы  в соответствии с Приложением №1 (Спецификация)</w:t>
      </w:r>
      <w:r>
        <w:rPr>
          <w:b/>
          <w:bCs/>
          <w:color w:val="000000"/>
          <w:sz w:val="23"/>
          <w:szCs w:val="23"/>
          <w:lang w:eastAsia="ru-RU"/>
        </w:rPr>
        <w:t xml:space="preserve"> </w:t>
      </w:r>
      <w:r>
        <w:rPr>
          <w:color w:val="000000"/>
          <w:sz w:val="23"/>
          <w:szCs w:val="23"/>
        </w:rPr>
        <w:t xml:space="preserve">(далее - товар), а Заказчик принять и оплатить принятый товар в порядке и на условиях, предусмотренных договором.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1.2. Наименование, количество, ассортимент и характеристики товара определяются в соответствии со Спецификацией, являющейся неотъемлемой частью настоящего договора (приложение № 1 к настоящему договору).</w:t>
      </w:r>
    </w:p>
    <w:p>
      <w:pPr>
        <w:pStyle w:val="Normal"/>
        <w:rPr>
          <w:rFonts w:eastAsia="Calibri"/>
          <w:color w:val="000000"/>
          <w:sz w:val="23"/>
          <w:szCs w:val="23"/>
          <w:lang w:eastAsia="en-US"/>
        </w:rPr>
      </w:pPr>
      <w:r>
        <w:rPr>
          <w:color w:val="000000"/>
          <w:sz w:val="23"/>
          <w:szCs w:val="23"/>
        </w:rPr>
        <w:t xml:space="preserve">1.3. Срок поставки товара: </w:t>
      </w:r>
      <w:r>
        <w:rPr>
          <w:rFonts w:eastAsia="Times New Roman" w:cs="Times New Roman"/>
          <w:color w:val="000000"/>
          <w:kern w:val="0"/>
          <w:sz w:val="23"/>
          <w:szCs w:val="23"/>
          <w:lang w:val="ru-RU" w:eastAsia="zh-CN" w:bidi="ar-SA"/>
        </w:rPr>
        <w:t xml:space="preserve">по заявке Заказчика в течение 5 календарных  дней. </w:t>
      </w:r>
    </w:p>
    <w:p>
      <w:pPr>
        <w:pStyle w:val="Normal"/>
        <w:rPr>
          <w:b w:val="false"/>
          <w:color w:val="000000"/>
          <w:sz w:val="23"/>
          <w:szCs w:val="23"/>
        </w:rPr>
      </w:pPr>
      <w:r>
        <w:rPr>
          <w:rFonts w:eastAsia="Calibri"/>
          <w:color w:val="000000"/>
          <w:sz w:val="23"/>
          <w:szCs w:val="23"/>
          <w:lang w:eastAsia="en-US"/>
        </w:rPr>
        <w:t xml:space="preserve">1.4. Место поставки товара: Российская Федерация, Кировская область, г. Киров, ул. Красноармейская, д. 72,  Заказчика, телефон (8332) 57-96-24. Время поставки: понедельник – пятница, с 8 ч.00 мин. до 16 ч. 00 мин обед с 12 ч.00 мин до 13ч.00 мин . (время московское) 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sz w:val="23"/>
          <w:szCs w:val="23"/>
        </w:rPr>
      </w:pPr>
      <w:r>
        <w:rPr>
          <w:b w:val="false"/>
          <w:color w:val="000000"/>
          <w:sz w:val="23"/>
          <w:szCs w:val="23"/>
        </w:rPr>
        <w:t>2. Цена ДОГОВОРА и порядок оплаты</w:t>
      </w:r>
    </w:p>
    <w:p>
      <w:pPr>
        <w:pStyle w:val="Normal"/>
        <w:suppressAutoHyphens w:val="false"/>
        <w:ind w:firstLine="284" w:left="0" w:right="0"/>
        <w:rPr>
          <w:color w:val="000000"/>
          <w:sz w:val="23"/>
          <w:szCs w:val="23"/>
        </w:rPr>
      </w:pPr>
      <w:r>
        <w:rPr>
          <w:sz w:val="23"/>
          <w:szCs w:val="23"/>
        </w:rPr>
        <w:t>2.1. Стоимость товара составляет</w:t>
      </w:r>
      <w:r>
        <w:rPr>
          <w:sz w:val="23"/>
          <w:szCs w:val="23"/>
          <w:lang w:val="en-US"/>
        </w:rPr>
        <w:t xml:space="preserve">             </w:t>
      </w:r>
      <w:r>
        <w:rPr>
          <w:sz w:val="23"/>
          <w:szCs w:val="23"/>
          <w:lang w:val="ru-RU"/>
        </w:rPr>
        <w:t xml:space="preserve">руб </w:t>
      </w:r>
      <w:r>
        <w:rPr>
          <w:sz w:val="23"/>
          <w:szCs w:val="23"/>
        </w:rPr>
        <w:t>(</w:t>
      </w:r>
      <w:r>
        <w:rPr>
          <w:sz w:val="23"/>
          <w:szCs w:val="23"/>
          <w:lang w:val="ru-RU"/>
        </w:rPr>
        <w:t xml:space="preserve">          </w:t>
      </w:r>
      <w:r>
        <w:rPr>
          <w:sz w:val="23"/>
          <w:szCs w:val="23"/>
        </w:rPr>
        <w:t xml:space="preserve"> ) рублей            00 копеек включая НДС или без НДС.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Цена за единицу товара установлена в Спецификации к договору.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 Цена и валюта платежа по настоящему договору устанавливается в российских рублях.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2.3. Цена договора включает в себя стоимость товара, упаковки, в том числе расходы на доставку до места поставки, разгрузку, подъем в помещение Заказчика, уплату налогов, сборов и других обязательных платежей.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2.4. Сумма, </w:t>
      </w:r>
      <w:r>
        <w:rPr>
          <w:rFonts w:eastAsia="Calibri"/>
          <w:color w:val="000000"/>
          <w:sz w:val="23"/>
          <w:szCs w:val="23"/>
          <w:lang w:eastAsia="en-US"/>
        </w:rPr>
        <w:t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>
      <w:pPr>
        <w:pStyle w:val="-2"/>
        <w:ind w:firstLine="567" w:left="0" w:right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2.5. По соглашению Сторон цена договора может быть снижена без изменения предусмотренного договором количества товара и иных условий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2.6. Оплата товара осуществляется за счет средств Заказчика (бюджетного учреждения). </w:t>
      </w:r>
    </w:p>
    <w:p>
      <w:pPr>
        <w:pStyle w:val="Normal"/>
        <w:jc w:val="left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2.7. </w:t>
      </w:r>
      <w:r>
        <w:rPr>
          <w:rFonts w:eastAsia="Arial"/>
          <w:color w:val="000000"/>
          <w:sz w:val="23"/>
          <w:szCs w:val="23"/>
        </w:rPr>
        <w:t xml:space="preserve">Оплата по договору осуществляется в течение 7 (семи) рабочих дней с момента принятия товара и подписания Заказчиком документов о приемке товара. </w:t>
      </w:r>
      <w:r>
        <w:rPr>
          <w:color w:val="000000"/>
          <w:sz w:val="22"/>
          <w:szCs w:val="22"/>
        </w:rPr>
        <w:t xml:space="preserve"> Оплата по договору за поставленный и принятый товар осуществляется Заказчиком после представления Поставщиком следующих документов:</w:t>
        <w:br/>
        <w:t>- счета/- счета-фактуры;</w:t>
        <w:br/>
        <w:t>- товарной накладной (товарных накладных) или УПД.</w:t>
      </w:r>
    </w:p>
    <w:p>
      <w:pPr>
        <w:pStyle w:val="212"/>
        <w:spacing w:lineRule="auto" w:line="240" w:before="0" w:after="0"/>
        <w:rPr>
          <w:b w:val="false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2.8. Датой платежа является дата списания денежных средств со счета Заказчика.</w:t>
      </w:r>
    </w:p>
    <w:p>
      <w:pPr>
        <w:pStyle w:val="-1"/>
        <w:tabs>
          <w:tab w:val="clear" w:pos="9900"/>
          <w:tab w:val="left" w:pos="3807" w:leader="none"/>
        </w:tabs>
        <w:suppressAutoHyphens w:val="false"/>
        <w:spacing w:before="120" w:after="120"/>
        <w:rPr>
          <w:color w:val="000000"/>
          <w:sz w:val="23"/>
          <w:szCs w:val="23"/>
        </w:rPr>
      </w:pPr>
      <w:r>
        <w:rPr>
          <w:b w:val="false"/>
          <w:color w:val="000000"/>
          <w:sz w:val="23"/>
          <w:szCs w:val="23"/>
        </w:rPr>
        <w:t>3. обязанности сторон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 Поставщик обязан: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3.1.1. Поставить товар по адресу, предусмотренному в п. 1.4. договора, в количестве и ассортименте согласно условиям договора. 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3.1.2. Обеспечить сохранность товара и его потребительских свойств при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3.1.3. Поставить товар в предусмотренный договором срок.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3.1.4. Вместе с товаром передать Заказчику товарно-транспортную накладную (при перевозке товара третьим лицом) </w:t>
      </w:r>
      <w:r>
        <w:rPr>
          <w:color w:val="000000"/>
          <w:sz w:val="22"/>
          <w:szCs w:val="22"/>
        </w:rPr>
        <w:t>или УПД</w:t>
      </w:r>
      <w:r>
        <w:rPr>
          <w:color w:val="000000"/>
          <w:sz w:val="23"/>
          <w:szCs w:val="23"/>
        </w:rPr>
        <w:t>, подписанный со своей стороны оригинал документа о приемке в двух экземплярах, счета и/или счета-фактуры, оформленные в соответствии с действующим законодательством РФ и условиями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3.1.5. Участвовать в приемке-передаче товара в соответствии с разделом 5 настоящего договора по требованию Заказчика согласно п. 5.2.1.  При невозможности участия в приемке Поставщик уведомляет Заказчика письменно.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3.1.6. Поставить товар надлежащего качества, соответствующий условиям договора, требованиям ГОСТ, иным обязательным требованиям, установленным действующим законодательством для данного рода товаров. Вместе с товаром предоставить документы, подтверждающие качество товара, оформленные в соответствии с законодательством Российской Федерации.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3.1.7. В случае выявления в процессе приёмки недостатков и дефектов товара (а также скрытых дефектов в период гарантийного срока) осуществить замену товара ненадлежащего качества на аналогичный товар, соответствующий по качеству условиям договора, в течение 10 (десяти) дней с момента получения уведомления от Заказчика. Расходы, связанные с заменой товара, несет Поставщик.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3.1.8. Нести все риски утраты или повреждения поставляемого товара до момента передачи товара Заказчику.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3.1.9. Незамедлительно информировать Заказчика обо всех обстоятельствах, препятствующих исполнению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3.1.10. В случае, установленном п. 5.2.1. договора, - подписать Акт приемки товаров, работ, услуг   со своей стороны и передать в адрес Заказчика в течение 10 дней с даты получения, по истечении указанного срока замечания по Акту не принимаются.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 Заказчик обязан: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3.2.1.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</w:p>
    <w:p>
      <w:pPr>
        <w:pStyle w:val="Normal"/>
        <w:rPr>
          <w:rStyle w:val="-"/>
          <w:b w:val="false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3.2.2. Оплатить принятый товар в соответствии с условиями настоящего договора.</w:t>
      </w:r>
    </w:p>
    <w:p>
      <w:pPr>
        <w:pStyle w:val="Style24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color w:val="000000"/>
          <w:sz w:val="23"/>
          <w:szCs w:val="23"/>
        </w:rPr>
      </w:pPr>
      <w:r>
        <w:rPr>
          <w:rStyle w:val="-"/>
          <w:b w:val="false"/>
          <w:bCs w:val="false"/>
          <w:color w:val="000000"/>
          <w:sz w:val="23"/>
          <w:szCs w:val="23"/>
        </w:rPr>
        <w:t xml:space="preserve">4. ПОРЯДОК ПоставкИ ТОВАРА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4.1. Упаковка и маркировка товара должны соответствовать условиям договора, требованиям ГОСТ, если же товар импортный, то международным стандартам упаковки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должна полностью обеспечивать условия перевозки товара.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4.2. Датой надлежащего исполнения обязательств Поставщиком (дата поставки товара)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>является дата, указанная Заказчиком в документе о приемке.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4.3. Поставщик не позднее, чем за 1 рабочий день до осуществления доставки товара по месту поставки (п. 1.4. договора), уведомляет Заказчика о готовности товара к передаче. </w:t>
      </w:r>
    </w:p>
    <w:p>
      <w:pPr>
        <w:pStyle w:val="Normal"/>
        <w:rPr>
          <w:rStyle w:val="-"/>
          <w:b w:val="false"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4.4. Вместе с товаром Поставщик передает Заказчику документы, предусмотренные п. 3.1.4., с</w:t>
      </w:r>
      <w:r>
        <w:rPr>
          <w:color w:val="000000"/>
          <w:sz w:val="23"/>
          <w:szCs w:val="23"/>
          <w:lang w:eastAsia="ru-RU"/>
        </w:rPr>
        <w:t>ертификат соответствия (при наличии), паспорт на серию (при наличии), инструкция по применению (при наличии).</w:t>
      </w:r>
    </w:p>
    <w:p>
      <w:pPr>
        <w:pStyle w:val="Style24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color w:val="000000"/>
          <w:sz w:val="23"/>
          <w:szCs w:val="23"/>
        </w:rPr>
      </w:pPr>
      <w:r>
        <w:rPr>
          <w:rStyle w:val="-"/>
          <w:b w:val="false"/>
          <w:bCs w:val="false"/>
          <w:color w:val="000000"/>
          <w:sz w:val="23"/>
          <w:szCs w:val="23"/>
        </w:rPr>
        <w:t>5. Порядок приемки ТОВАРА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5.1 Приемка товара осуществляется в удобное для Заказчика время и включает в себя следующие этапы: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а) проверка количества, комплектности и ассортимента поставленного товара на соответствие условиям договора;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б) проверка полноты и правильности оформления документа о приемке в соответствии с условиями договора;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в) контроль наличия/отсутствия внешних повреждений (товарный вид), в том числе установленных требований к упаковке;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г) проверка наличия необходимых документов, предусмотренных п.  4.4. договора.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Упаковка товара не должна иметь механических повреждений, технических дефектов, сколов, вмятин, царапин и т.д. Товар с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5.2. Приемка товара в части соответствия количества, ассортимента, комплектности и качества установленным требованиям договора осуществляется Заказчиком в одностороннем порядке (без вызова представителя Поставщика) в течение (20) рабочих дней с момента передачи товара в место поставки. При приемке оформляется Акт приемки в электронном виде.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5.2.1. Если при приемке будет обнаружено несоответствие количества, ассортимента товара условиям договора, качественных и иных характеристик товара Заказчик уведомляет Поставщика о необходимости явиться на приемку для фиксации и отражения недостатков товара в Акте приемки.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случае явки представителя Поставщика (или представителя незаинтересованной организации) на приемку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приемки. Подписание Акта осуществляется на бумажном носителе (скан-копии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между сторонами).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В случае неявки представителя Поставщика (или представителя незаинтересованной организации) на приемку или получения уведомления о невозможности явки, Акт приемки оформляется с отражением отклонений в одностороннем порядке Заказчиком и направляется Поставщику для подписания и/или представления возражений (при наличии). При неполучении Заказчиком Акта приемки в срок, установленный п.п. 3.1.10. договора, Акт приемки считается подписанным без замечаний, расхождения и недостатки, указанные в Акте приемки - согласованными.   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любом случае Поставщик обязан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5.3. При отсутствии претензий к количеству, ассортименту, характеристикам и качеству (за исключением скрытых недостатков) товара Заказчик в предусмотренный п. 5.2. договора срок подписывает Акт приемки в одностороннем порядке, а также документ, подтверждающий поставку товара (товарная накладная либо универсальный передаточный документ). 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5.4.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</w:p>
    <w:p>
      <w:pPr>
        <w:pStyle w:val="Normal"/>
        <w:rPr>
          <w:color w:val="000000"/>
          <w:sz w:val="22"/>
          <w:szCs w:val="22"/>
        </w:rPr>
      </w:pPr>
      <w:r>
        <w:rPr>
          <w:color w:val="000000"/>
          <w:sz w:val="23"/>
          <w:szCs w:val="23"/>
        </w:rPr>
        <w:t>5.5. Для проверки предоставленных Поставщиком результатов, предусмотренных договором, в части их соответствия условиям договора Заказчик обязан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В случае выявления недостатков экспертиза оплачивается Поставщиком.</w:t>
      </w:r>
    </w:p>
    <w:p>
      <w:pPr>
        <w:pStyle w:val="Normal"/>
        <w:rPr>
          <w:rStyle w:val="-"/>
          <w:b w:val="false"/>
          <w:color w:val="000000"/>
          <w:sz w:val="23"/>
          <w:szCs w:val="23"/>
        </w:rPr>
      </w:pPr>
      <w:r>
        <w:rPr>
          <w:color w:val="000000"/>
          <w:sz w:val="22"/>
          <w:szCs w:val="22"/>
        </w:rPr>
        <w:t>5.6. 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15.04.2021 N 61н) (далее - Акт приемки). 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 п.). Вторая сторона обязана обеспечить Акта приемки своим уполномоченным представителем через СБИС (указывается способ получения акта второй стороной: через СБИС, 1С, по электронной почте - указывается адрес, на который будет направлен акт.)</w:t>
      </w:r>
    </w:p>
    <w:p>
      <w:pPr>
        <w:pStyle w:val="Style24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lang w:eastAsia="gu-IN" w:bidi="gu-IN"/>
        </w:rPr>
      </w:pPr>
      <w:r>
        <w:rPr>
          <w:rStyle w:val="-"/>
          <w:b w:val="false"/>
          <w:bCs w:val="false"/>
          <w:color w:val="000000"/>
          <w:sz w:val="23"/>
          <w:szCs w:val="23"/>
        </w:rPr>
        <w:t>6.  КАЧЕСТВо ТОВАРА</w:t>
      </w:r>
    </w:p>
    <w:p>
      <w:pPr>
        <w:pStyle w:val="Normal"/>
        <w:tabs>
          <w:tab w:val="clear" w:pos="9900"/>
          <w:tab w:val="left" w:pos="450" w:leader="none"/>
        </w:tabs>
        <w:rPr/>
      </w:pPr>
      <w:r>
        <w:rPr>
          <w:lang w:eastAsia="gu-IN" w:bidi="gu-IN"/>
        </w:rPr>
        <w:t>6</w:t>
      </w:r>
      <w:r>
        <w:rPr>
          <w:rFonts w:eastAsia="Arial"/>
          <w:lang w:eastAsia="gu-IN" w:bidi="gu-IN"/>
        </w:rPr>
        <w:t>.1. Поставщик гарантирует качество и безопасность поставляемого товара в соответствии с действующими стандартами, утвержденными для данного вида товаров, и документами, обязательными для данного вида товара, оформленными в соответствии с законодательством Российской Федерации.</w:t>
      </w:r>
    </w:p>
    <w:p>
      <w:pPr>
        <w:pStyle w:val="Normal"/>
        <w:rPr>
          <w:rFonts w:eastAsia="Arial"/>
        </w:rPr>
      </w:pPr>
      <w:r>
        <w:rPr/>
        <w:t>6.2. В случае выявления товара ненадлежащего качества в ходе приемки в присутствии Поставщика, Поставщик обязан произвести замену товара.</w:t>
      </w:r>
    </w:p>
    <w:p>
      <w:pPr>
        <w:pStyle w:val="Normal"/>
        <w:ind w:firstLine="540" w:left="0" w:right="0"/>
        <w:rPr>
          <w:iCs/>
          <w:color w:val="000000"/>
        </w:rPr>
      </w:pPr>
      <w:r>
        <w:rPr>
          <w:rFonts w:eastAsia="Arial"/>
        </w:rPr>
        <w:t xml:space="preserve">6.3. Качество </w:t>
      </w:r>
      <w:r>
        <w:rPr>
          <w:rFonts w:eastAsia="Arial" w:cs="Courier New"/>
        </w:rPr>
        <w:t>товара</w:t>
      </w:r>
      <w:r>
        <w:rPr>
          <w:rFonts w:eastAsia="Arial"/>
        </w:rPr>
        <w:t xml:space="preserve"> должно удовлетворять требованиям, предъявляемым действующим законодательством Российской Федерации к данному виду товаров.</w:t>
      </w:r>
    </w:p>
    <w:p>
      <w:pPr>
        <w:pStyle w:val="Normal"/>
        <w:ind w:firstLine="540" w:left="0" w:right="0"/>
        <w:rPr>
          <w:iCs/>
          <w:color w:val="000000"/>
        </w:rPr>
      </w:pPr>
      <w:r>
        <w:rPr>
          <w:iCs/>
          <w:color w:val="000000"/>
        </w:rPr>
        <w:t>6.4. Товар, не отвечающий условиям, предъявляемым настоящим контрактом к его качеству считается не поставленным.</w:t>
      </w:r>
    </w:p>
    <w:p>
      <w:pPr>
        <w:pStyle w:val="Normal"/>
        <w:ind w:firstLine="540" w:left="0" w:right="0"/>
        <w:rPr>
          <w:rStyle w:val="-"/>
          <w:b w:val="false"/>
          <w:color w:val="000000"/>
          <w:sz w:val="23"/>
          <w:szCs w:val="23"/>
        </w:rPr>
      </w:pPr>
      <w:r>
        <w:rPr>
          <w:iCs/>
          <w:color w:val="000000"/>
        </w:rPr>
        <w:t>6.5.</w:t>
      </w:r>
      <w:r>
        <w:rPr/>
        <w:t xml:space="preserve"> </w:t>
      </w:r>
      <w:r>
        <w:rPr>
          <w:rFonts w:eastAsia="Times New Roman" w:cs="Times New Roman"/>
          <w:iCs/>
          <w:color w:val="000000"/>
          <w:kern w:val="0"/>
          <w:sz w:val="24"/>
          <w:szCs w:val="24"/>
          <w:lang w:val="ru-RU" w:eastAsia="zh-CN" w:bidi="ar-SA"/>
        </w:rPr>
        <w:t xml:space="preserve">Поставщик предоставляет гарантию на поставляемый товар 1 год с даты фактической передачи товара Заказчику . </w:t>
      </w:r>
      <w:r>
        <w:rPr>
          <w:rStyle w:val="-"/>
          <w:rFonts w:eastAsia="Times New Roman" w:cs="Times New Roman"/>
          <w:b w:val="false"/>
          <w:iCs/>
          <w:color w:val="000000"/>
          <w:kern w:val="0"/>
          <w:sz w:val="23"/>
          <w:szCs w:val="23"/>
          <w:lang w:eastAsia="zh-CN"/>
        </w:rPr>
        <w:t xml:space="preserve"> </w:t>
      </w:r>
    </w:p>
    <w:p>
      <w:pPr>
        <w:pStyle w:val="Style24"/>
        <w:keepNext w:val="true"/>
        <w:numPr>
          <w:ilvl w:val="0"/>
          <w:numId w:val="0"/>
        </w:numPr>
        <w:tabs>
          <w:tab w:val="clear" w:pos="9900"/>
          <w:tab w:val="left" w:pos="2160" w:leader="none"/>
          <w:tab w:val="left" w:pos="2340" w:leader="none"/>
          <w:tab w:val="left" w:pos="3240" w:leader="none"/>
        </w:tabs>
        <w:spacing w:lineRule="auto" w:line="240" w:before="120" w:after="120"/>
        <w:ind w:firstLine="567" w:left="0" w:right="0"/>
        <w:jc w:val="center"/>
        <w:outlineLvl w:val="3"/>
        <w:rPr>
          <w:color w:val="000000"/>
          <w:sz w:val="23"/>
          <w:szCs w:val="23"/>
        </w:rPr>
      </w:pPr>
      <w:r>
        <w:rPr>
          <w:rStyle w:val="-"/>
          <w:b w:val="false"/>
          <w:bCs w:val="false"/>
          <w:color w:val="000000"/>
          <w:sz w:val="23"/>
          <w:szCs w:val="23"/>
        </w:rPr>
        <w:t>7. ОТВЕТСТВЕННОСТЬ СТОРОН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>
      <w:pPr>
        <w:pStyle w:val="Normal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>
      <w:pPr>
        <w:pStyle w:val="Normal"/>
        <w:rPr>
          <w:color w:val="000000"/>
        </w:rPr>
      </w:pPr>
      <w:r>
        <w:rPr>
          <w:color w:val="000000"/>
          <w:sz w:val="23"/>
          <w:szCs w:val="23"/>
        </w:rPr>
        <w:t xml:space="preserve">7.3.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>
      <w:pPr>
        <w:pStyle w:val="Normal"/>
        <w:widowControl w:val="false"/>
        <w:rPr>
          <w:color w:val="000000"/>
          <w:sz w:val="23"/>
          <w:szCs w:val="23"/>
        </w:rPr>
      </w:pPr>
      <w:r>
        <w:rPr>
          <w:color w:val="000000"/>
        </w:rPr>
        <w:t>7.4.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</w:p>
    <w:p>
      <w:pPr>
        <w:pStyle w:val="Normal"/>
        <w:rPr>
          <w:color w:val="000000"/>
        </w:rPr>
      </w:pPr>
      <w:r>
        <w:rPr>
          <w:color w:val="000000"/>
          <w:sz w:val="23"/>
          <w:szCs w:val="23"/>
        </w:rPr>
        <w:t xml:space="preserve">7.5. </w:t>
      </w:r>
      <w:r>
        <w:rPr>
          <w:color w:val="000000"/>
        </w:rPr>
        <w:tab/>
        <w:t>Общая сумма начисленных штрафов за ненадлежащее исполнение Заказчиком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обязательств, предусмотренных договором, не может превышать цену договора.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7.6.</w:t>
        <w:tab/>
        <w:t>В случае просрочки исполнения Поставщиком обязательств, (в том числе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>
      <w:pPr>
        <w:pStyle w:val="Normal"/>
        <w:rPr>
          <w:color w:val="000000"/>
        </w:rPr>
      </w:pPr>
      <w:r>
        <w:rPr>
          <w:color w:val="000000"/>
        </w:rPr>
        <w:t>7.7.</w:t>
        <w:tab/>
        <w:t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>
      <w:pPr>
        <w:pStyle w:val="Normal"/>
        <w:rPr>
          <w:color w:val="000000"/>
        </w:rPr>
      </w:pPr>
      <w:r>
        <w:rPr>
          <w:color w:val="000000"/>
        </w:rPr>
        <w:t>7.8.</w:t>
        <w:tab/>
        <w:t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числе, гарантийного 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>
        <w:rPr>
          <w:b/>
          <w:color w:val="000000"/>
        </w:rPr>
        <w:t xml:space="preserve"> </w:t>
      </w:r>
      <w:r>
        <w:rPr>
          <w:color w:val="000000"/>
        </w:rPr>
        <w:t>Поставщик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выплачивает Заказчику штраф в размере 10 % цены договора </w:t>
      </w:r>
      <w:r>
        <w:rPr>
          <w:i/>
          <w:color w:val="000000"/>
        </w:rPr>
        <w:t>(этапа)</w:t>
      </w:r>
      <w:r>
        <w:rPr>
          <w:color w:val="000000"/>
        </w:rPr>
        <w:t>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7.10.</w:t>
        <w:tab/>
        <w:t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>
        <w:rPr>
          <w:b/>
          <w:color w:val="000000"/>
        </w:rPr>
        <w:t xml:space="preserve"> </w:t>
      </w:r>
      <w:r>
        <w:rPr>
          <w:color w:val="000000"/>
        </w:rPr>
        <w:t>Поставщик</w:t>
      </w:r>
      <w:r>
        <w:rPr>
          <w:b/>
          <w:color w:val="000000"/>
        </w:rPr>
        <w:t xml:space="preserve"> </w:t>
      </w:r>
      <w:r>
        <w:rPr>
          <w:color w:val="000000"/>
        </w:rPr>
        <w:t>выплачивает Заказчику штраф: 1000 рублей.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7.11.</w:t>
        <w:tab/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>
      <w:pPr>
        <w:pStyle w:val="Normal"/>
        <w:widowControl w:val="false"/>
        <w:rPr>
          <w:color w:val="000000"/>
        </w:rPr>
      </w:pPr>
      <w:r>
        <w:rPr>
          <w:color w:val="000000"/>
        </w:rPr>
        <w:t>7.12.</w:t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-1"/>
        <w:tabs>
          <w:tab w:val="clear" w:pos="9900"/>
          <w:tab w:val="left" w:pos="1134" w:leader="none"/>
        </w:tabs>
        <w:suppressAutoHyphens w:val="false"/>
        <w:spacing w:before="0" w:after="0"/>
        <w:rPr>
          <w:color w:val="000000"/>
        </w:rPr>
      </w:pPr>
      <w:r>
        <w:rPr>
          <w:b w:val="false"/>
          <w:color w:val="000000"/>
        </w:rPr>
        <w:t>8. Срок действия договора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8.1. </w:t>
      </w:r>
      <w:r>
        <w:rPr>
          <w:rFonts w:cs="Arial"/>
          <w:color w:val="000000"/>
        </w:rPr>
        <w:t>Настоящий договор вступает в силу с момента заключения и действует до 31.12.2026 г</w:t>
      </w:r>
      <w:r>
        <w:rPr>
          <w:color w:val="000000"/>
        </w:rPr>
        <w:t>.</w:t>
      </w:r>
    </w:p>
    <w:p>
      <w:pPr>
        <w:pStyle w:val="Normal"/>
        <w:rPr>
          <w:color w:val="000000"/>
        </w:rPr>
      </w:pPr>
      <w:r>
        <w:rPr>
          <w:color w:val="000000"/>
        </w:rPr>
        <w:t>8.2. Окончание срока действия договора или его расторжение не освобождает Стороны от ответственности за его нарушение.</w:t>
      </w:r>
    </w:p>
    <w:p>
      <w:pPr>
        <w:pStyle w:val="Normal"/>
        <w:rPr>
          <w:color w:val="000000"/>
        </w:rPr>
      </w:pPr>
      <w:r>
        <w:rPr>
          <w:color w:val="000000"/>
        </w:rPr>
        <w:t>8.3. Обязательства Поставщика (за исключением гарантийных) считаются исполненными с даты подписания Заказчиком документа о приемке.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-1"/>
        <w:tabs>
          <w:tab w:val="clear" w:pos="9900"/>
          <w:tab w:val="left" w:pos="432" w:leader="none"/>
          <w:tab w:val="left" w:pos="1134" w:leader="none"/>
        </w:tabs>
        <w:suppressAutoHyphens w:val="false"/>
        <w:spacing w:before="0" w:after="0"/>
        <w:rPr>
          <w:color w:val="000000"/>
        </w:rPr>
      </w:pPr>
      <w:r>
        <w:rPr>
          <w:b w:val="false"/>
          <w:color w:val="000000"/>
        </w:rPr>
        <w:t>9. переписка Сторон</w:t>
      </w:r>
    </w:p>
    <w:p>
      <w:pPr>
        <w:pStyle w:val="Normal"/>
        <w:rPr>
          <w:color w:val="000000"/>
        </w:rPr>
      </w:pPr>
      <w:r>
        <w:rPr>
          <w:color w:val="000000"/>
        </w:rPr>
        <w:t>9.1. Любое уведомление, которое одна Сторона направляет другой Стороне в соответствии с договором, высылается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</w:p>
    <w:p>
      <w:pPr>
        <w:pStyle w:val="Normal"/>
        <w:rPr>
          <w:color w:val="000000"/>
        </w:rPr>
      </w:pPr>
      <w:r>
        <w:rPr>
          <w:color w:val="000000"/>
        </w:rPr>
        <w:t>9.2. В случае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5 (пяти) календарных дней с даты ее получения.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9.3. При изменении у одной из Сторон местонахождения, наименования, банковских и других реквизитов она обязана в течение 10 (десяти) календарных дней известить об этом другую Сторону. </w:t>
      </w:r>
    </w:p>
    <w:p>
      <w:pPr>
        <w:pStyle w:val="Normal"/>
        <w:rPr>
          <w:color w:val="000000"/>
        </w:rPr>
      </w:pPr>
      <w:r>
        <w:rPr>
          <w:color w:val="000000"/>
        </w:rPr>
        <w:t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</w:p>
    <w:p>
      <w:pPr>
        <w:pStyle w:val="Normal"/>
        <w:ind w:firstLine="709" w:left="0" w:right="0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10. ПРОЧИЕ ПОЛОЖЕНИЯ</w:t>
      </w:r>
    </w:p>
    <w:p>
      <w:pPr>
        <w:pStyle w:val="Normal"/>
        <w:rPr>
          <w:color w:val="000000"/>
        </w:rPr>
      </w:pPr>
      <w:r>
        <w:rPr>
          <w:color w:val="000000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2">
        <w:r>
          <w:rPr>
            <w:rStyle w:val="Hyperlink"/>
            <w:color w:val="000000"/>
          </w:rPr>
          <w:t>05.04.2013 № 44-ФЗ</w:t>
        </w:r>
      </w:hyperlink>
      <w:r>
        <w:rPr>
          <w:color w:val="000000"/>
        </w:rPr>
        <w:t xml:space="preserve"> «О контрактной системе в сфере закупок товаров, работ, услуг для обеспечения государственных и муниципальных нужд». </w:t>
      </w:r>
    </w:p>
    <w:p>
      <w:pPr>
        <w:pStyle w:val="Normal"/>
        <w:rPr>
          <w:color w:val="000000"/>
        </w:rPr>
      </w:pPr>
      <w:r>
        <w:rPr>
          <w:color w:val="000000"/>
        </w:rPr>
        <w:t>10.2. К отношениям Сторон по настоящему договору и в связи с ним применяется действующее законодательство Российской Федерации.</w:t>
      </w:r>
    </w:p>
    <w:p>
      <w:pPr>
        <w:pStyle w:val="Normal"/>
        <w:rPr>
          <w:color w:val="000000"/>
        </w:rPr>
      </w:pPr>
      <w:r>
        <w:rPr>
          <w:color w:val="000000"/>
        </w:rPr>
        <w:t>10.3. Все споры и разногласия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 с соблюдением обязательного претензионного порядка.</w:t>
      </w:r>
    </w:p>
    <w:p>
      <w:pPr>
        <w:pStyle w:val="Normal"/>
        <w:rPr>
          <w:color w:val="000000"/>
        </w:rPr>
      </w:pPr>
      <w:r>
        <w:rPr>
          <w:color w:val="000000"/>
        </w:rPr>
        <w:t>10.4.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но не ограничиваясь, пожар, землетрясение, диверсию, военные действия,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</w:p>
    <w:p>
      <w:pPr>
        <w:pStyle w:val="Normal"/>
        <w:rPr>
          <w:color w:val="000000"/>
        </w:rPr>
      </w:pPr>
      <w:r>
        <w:rPr>
          <w:color w:val="000000"/>
        </w:rPr>
        <w:t>10.5.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>
      <w:pPr>
        <w:pStyle w:val="Normal"/>
        <w:rPr>
          <w:color w:val="000000"/>
        </w:rPr>
      </w:pPr>
      <w:r>
        <w:rPr>
          <w:color w:val="000000"/>
        </w:rPr>
        <w:t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</w:p>
    <w:p>
      <w:pPr>
        <w:pStyle w:val="Normal"/>
        <w:rPr>
          <w:color w:val="000000"/>
        </w:rPr>
      </w:pPr>
      <w:r>
        <w:rPr>
          <w:color w:val="000000"/>
        </w:rPr>
        <w:t>К настоящему договору прилагаются:</w:t>
      </w:r>
    </w:p>
    <w:p>
      <w:pPr>
        <w:pStyle w:val="Normal"/>
        <w:rPr>
          <w:rFonts w:eastAsia="Arial Unicode MS" w:cs="Arial"/>
          <w:color w:val="000000"/>
          <w:sz w:val="23"/>
          <w:szCs w:val="23"/>
          <w:lang w:eastAsia="ru-RU"/>
        </w:rPr>
      </w:pPr>
      <w:r>
        <w:rPr>
          <w:color w:val="000000"/>
        </w:rPr>
        <w:t>Приложение № 1 – Спецификация.</w:t>
      </w:r>
    </w:p>
    <w:p>
      <w:pPr>
        <w:pStyle w:val="Normal"/>
        <w:jc w:val="center"/>
        <w:rPr>
          <w:rFonts w:eastAsia="Arial Unicode MS" w:cs="Arial"/>
          <w:b/>
          <w:bCs/>
          <w:sz w:val="23"/>
          <w:szCs w:val="23"/>
          <w:lang w:eastAsia="ru-RU"/>
        </w:rPr>
      </w:pPr>
      <w:r>
        <w:rPr>
          <w:rFonts w:eastAsia="Arial Unicode MS" w:cs="Arial"/>
          <w:color w:val="000000"/>
          <w:sz w:val="23"/>
          <w:szCs w:val="23"/>
          <w:lang w:eastAsia="ru-RU"/>
        </w:rPr>
        <w:t>11.  РЕКВИЗИТЫ И ПОДПИСИ СТОРОН</w:t>
      </w:r>
    </w:p>
    <w:tbl>
      <w:tblPr>
        <w:tblW w:w="108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4"/>
        <w:gridCol w:w="5264"/>
        <w:gridCol w:w="75"/>
      </w:tblGrid>
      <w:tr>
        <w:trPr>
          <w:trHeight w:val="5302" w:hRule="atLeast"/>
        </w:trPr>
        <w:tc>
          <w:tcPr>
            <w:tcW w:w="5494" w:type="dxa"/>
            <w:tcBorders/>
          </w:tcPr>
          <w:p>
            <w:pPr>
              <w:pStyle w:val="Normal"/>
              <w:snapToGrid w:val="false"/>
              <w:ind w:firstLine="567" w:left="142" w:righ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  <w:t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b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b/>
                <w:sz w:val="23"/>
                <w:szCs w:val="23"/>
                <w:lang w:eastAsia="ru-RU"/>
              </w:rPr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Юридический адрес: 610027, г. Киров, ул. Красноармейская, 72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(8332) 54-97-31, 54-52-92, 54-79-60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ИНН/КПП 4346007656/434501001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УФК по Кировской области (ФГБУН КНИИГиПК ФМБА России лицевой счет № 20406Ц17940, 21406Ц17940, 22406Ц17940)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р/сч 03214643000000013246 в ОКЦ № 1 ВВГУ Банка России//УФК по Нижегородской области г. Нижний Новгород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кор/сч   40102810745370000024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БИК 012202102</w:t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Директор</w:t>
            </w:r>
          </w:p>
          <w:p>
            <w:pPr>
              <w:pStyle w:val="Normal"/>
              <w:ind w:firstLine="567" w:left="18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ind w:firstLine="567" w:left="18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</w:r>
          </w:p>
          <w:p>
            <w:pPr>
              <w:pStyle w:val="Normal"/>
              <w:ind w:hanging="38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____________________________/И.В. Парамонов/</w:t>
            </w:r>
          </w:p>
          <w:p>
            <w:pPr>
              <w:pStyle w:val="Normal"/>
              <w:ind w:firstLine="567" w:left="142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>
                <w:rFonts w:eastAsia="Arial Unicode MS" w:cs="Arial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5264" w:type="dxa"/>
            <w:tcBorders/>
          </w:tcPr>
          <w:p>
            <w:pPr>
              <w:pStyle w:val="Normal"/>
              <w:rPr>
                <w:rFonts w:cs="Times New Roman"/>
                <w:b w:val="false"/>
                <w:bCs w:val="false"/>
                <w:color w:val="auto"/>
                <w:sz w:val="22"/>
                <w:szCs w:val="22"/>
              </w:rPr>
            </w:pPr>
            <w:r>
              <w:rPr>
                <w:b/>
                <w:color w:val="000000"/>
                <w:sz w:val="23"/>
                <w:szCs w:val="23"/>
              </w:rPr>
              <w:t>Поставщик:</w:t>
            </w:r>
          </w:p>
          <w:p>
            <w:pPr>
              <w:pStyle w:val="Normal"/>
              <w:ind w:hanging="0" w:left="0" w:right="0"/>
              <w:rPr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ind w:hanging="0" w:left="0" w:right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jc w:val="left"/>
              <w:rPr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ind w:hanging="0" w:left="0" w:right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  <w:p>
            <w:pPr>
              <w:pStyle w:val="Normal"/>
              <w:ind w:hanging="0" w:left="0" w:right="0"/>
              <w:rPr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ind w:hanging="0" w:left="39" w:right="0"/>
              <w:rPr/>
            </w:pPr>
            <w:r>
              <w:rPr/>
            </w:r>
          </w:p>
          <w:p>
            <w:pPr>
              <w:pStyle w:val="Normal"/>
              <w:snapToGrid w:val="false"/>
              <w:ind w:hanging="0" w:left="0" w:right="0"/>
              <w:rPr>
                <w:rFonts w:eastAsia="Arial Unicode MS" w:cs="Arial"/>
                <w:sz w:val="23"/>
                <w:szCs w:val="23"/>
                <w:lang w:eastAsia="ru-RU"/>
              </w:rPr>
            </w:pPr>
            <w:r>
              <w:rPr/>
            </w:r>
          </w:p>
          <w:p>
            <w:pPr>
              <w:pStyle w:val="Normal"/>
              <w:rPr>
                <w:rFonts w:cs="Times New Roman"/>
                <w:color w:val="000000"/>
                <w:sz w:val="23"/>
                <w:szCs w:val="23"/>
              </w:rPr>
            </w:pPr>
            <w:r>
              <w:rPr>
                <w:rFonts w:cs="Times New Roman"/>
                <w:color w:val="000000"/>
                <w:sz w:val="23"/>
                <w:szCs w:val="23"/>
              </w:rPr>
            </w:r>
          </w:p>
          <w:p>
            <w:pPr>
              <w:pStyle w:val="Normal"/>
              <w:ind w:hanging="0" w:left="39" w:right="0"/>
              <w:rPr>
                <w:rFonts w:eastAsia="Times New Roman" w:cs="Times New Roman"/>
                <w:sz w:val="23"/>
                <w:szCs w:val="23"/>
                <w:lang w:eastAsia="ru-RU"/>
              </w:rPr>
            </w:pPr>
            <w:r>
              <w:rPr>
                <w:rFonts w:cs="Times New Roman"/>
                <w:b w:val="false"/>
                <w:bCs w:val="false"/>
                <w:color w:val="000000"/>
                <w:sz w:val="23"/>
                <w:szCs w:val="23"/>
              </w:rPr>
              <w:t xml:space="preserve">_______________ /                     </w:t>
            </w:r>
            <w:r>
              <w:rPr>
                <w:rFonts w:cs="Times New Roman"/>
                <w:b w:val="false"/>
                <w:bCs w:val="false"/>
                <w:color w:val="auto"/>
                <w:sz w:val="22"/>
                <w:szCs w:val="22"/>
              </w:rPr>
              <w:t xml:space="preserve"> </w:t>
            </w:r>
            <w:r>
              <w:rPr>
                <w:rFonts w:cs="Times New Roman"/>
                <w:b w:val="false"/>
                <w:bCs w:val="false"/>
                <w:color w:val="000000"/>
                <w:sz w:val="23"/>
                <w:szCs w:val="23"/>
              </w:rPr>
              <w:t xml:space="preserve"> /</w:t>
            </w:r>
          </w:p>
          <w:p>
            <w:pPr>
              <w:pStyle w:val="Normal"/>
              <w:ind w:hanging="0" w:left="0" w:right="0"/>
              <w:rPr/>
            </w:pPr>
            <w:r>
              <w:rPr>
                <w:rFonts w:eastAsia="Times New Roman" w:cs="Times New Roman"/>
                <w:sz w:val="23"/>
                <w:szCs w:val="23"/>
                <w:lang w:eastAsia="ru-RU"/>
              </w:rPr>
              <w:t xml:space="preserve"> </w:t>
            </w:r>
            <w:r>
              <w:rPr>
                <w:rFonts w:eastAsia="Arial Unicode MS" w:cs="Arial"/>
                <w:sz w:val="23"/>
                <w:szCs w:val="23"/>
                <w:lang w:eastAsia="ru-RU"/>
              </w:rPr>
              <w:t>М.П.</w:t>
            </w:r>
          </w:p>
        </w:tc>
        <w:tc>
          <w:tcPr>
            <w:tcW w:w="75" w:type="dxa"/>
            <w:tcBorders/>
          </w:tcPr>
          <w:p>
            <w:pPr>
              <w:pStyle w:val="Normal"/>
              <w:snapToGrid w:val="false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</w:r>
          </w:p>
        </w:tc>
      </w:tr>
    </w:tbl>
    <w:p>
      <w:pPr>
        <w:pStyle w:val="-1"/>
        <w:tabs>
          <w:tab w:val="clear" w:pos="9900"/>
          <w:tab w:val="right" w:pos="0" w:leader="none"/>
        </w:tabs>
        <w:spacing w:before="0" w:after="0"/>
        <w:jc w:val="right"/>
        <w:rPr>
          <w:b w:val="false"/>
          <w:caps w:val="false"/>
          <w:smallCaps w:val="false"/>
          <w:sz w:val="23"/>
          <w:szCs w:val="23"/>
        </w:rPr>
      </w:pPr>
      <w:r>
        <w:rPr>
          <w:b w:val="false"/>
          <w:caps w:val="false"/>
          <w:smallCaps w:val="false"/>
          <w:sz w:val="23"/>
          <w:szCs w:val="23"/>
        </w:rPr>
      </w:r>
      <w:r>
        <w:br w:type="page"/>
      </w:r>
    </w:p>
    <w:p>
      <w:pPr>
        <w:pStyle w:val="Normal"/>
        <w:tabs>
          <w:tab w:val="clear" w:pos="9900"/>
          <w:tab w:val="center" w:pos="0" w:leader="none"/>
          <w:tab w:val="right" w:pos="9355" w:leader="none"/>
        </w:tabs>
        <w:spacing w:before="0" w:after="0"/>
        <w:jc w:val="right"/>
        <w:rPr/>
      </w:pPr>
      <w:r>
        <w:rPr/>
        <w:t>Приложение № 1 к договору поставки</w:t>
      </w:r>
    </w:p>
    <w:p>
      <w:pPr>
        <w:pStyle w:val="Normal"/>
        <w:tabs>
          <w:tab w:val="clear" w:pos="9900"/>
          <w:tab w:val="center" w:pos="4677" w:leader="none"/>
          <w:tab w:val="right" w:pos="9355" w:leader="none"/>
        </w:tabs>
        <w:jc w:val="right"/>
        <w:rPr/>
      </w:pPr>
      <w:r>
        <w:rPr/>
        <w:t xml:space="preserve">   №                   </w:t>
      </w:r>
      <w:r>
        <w:rPr>
          <w:rStyle w:val="Hyperlink"/>
          <w:b w:val="false"/>
          <w:bCs w:val="false"/>
          <w:color w:val="000000"/>
          <w:sz w:val="23"/>
          <w:szCs w:val="23"/>
          <w:u w:val="none"/>
        </w:rPr>
        <w:t xml:space="preserve">  </w:t>
      </w:r>
      <w:r>
        <w:rPr/>
        <w:t xml:space="preserve"> </w:t>
      </w:r>
      <w:r>
        <w:rPr/>
        <w:t>от  «__»___________2026г.</w:t>
      </w:r>
    </w:p>
    <w:p>
      <w:pPr>
        <w:pStyle w:val="Normal"/>
        <w:ind w:firstLine="709" w:left="0" w:right="0"/>
        <w:rPr/>
      </w:pPr>
      <w:r>
        <w:rPr/>
      </w:r>
    </w:p>
    <w:p>
      <w:pPr>
        <w:pStyle w:val="Normal"/>
        <w:ind w:firstLine="709" w:left="0" w:right="0"/>
        <w:jc w:val="center"/>
        <w:rPr>
          <w:b/>
          <w:bCs/>
          <w:smallCaps/>
          <w:sz w:val="23"/>
          <w:szCs w:val="23"/>
        </w:rPr>
      </w:pPr>
      <w:r>
        <w:rPr>
          <w:b/>
          <w:bCs/>
          <w:smallCaps/>
        </w:rPr>
        <w:t>Спецификация</w:t>
      </w:r>
    </w:p>
    <w:p>
      <w:pPr>
        <w:pStyle w:val="Normal"/>
        <w:ind w:firstLine="709" w:left="0" w:right="0"/>
        <w:jc w:val="center"/>
        <w:rPr>
          <w:sz w:val="23"/>
          <w:szCs w:val="23"/>
        </w:rPr>
      </w:pPr>
      <w:r>
        <w:rPr>
          <w:b/>
          <w:bCs/>
          <w:smallCaps/>
          <w:sz w:val="23"/>
          <w:szCs w:val="23"/>
        </w:rPr>
        <w:t>(характеристика поставляемого товара)</w:t>
      </w:r>
    </w:p>
    <w:p>
      <w:pPr>
        <w:pStyle w:val="Normal"/>
        <w:ind w:firstLine="709" w:left="0" w:right="0"/>
        <w:rPr>
          <w:sz w:val="23"/>
          <w:szCs w:val="23"/>
        </w:rPr>
      </w:pPr>
      <w:r>
        <w:rPr>
          <w:sz w:val="23"/>
          <w:szCs w:val="23"/>
        </w:rPr>
        <w:t>Весь поставляемый Товар должен быть доставлен Заказчику согласно настоящей Спецификации:</w:t>
      </w:r>
    </w:p>
    <w:p>
      <w:pPr>
        <w:pStyle w:val="Normal"/>
        <w:ind w:firstLine="709" w:left="0" w:right="0"/>
        <w:rPr>
          <w:sz w:val="23"/>
          <w:szCs w:val="23"/>
        </w:rPr>
      </w:pPr>
      <w:r>
        <w:rPr>
          <w:sz w:val="23"/>
          <w:szCs w:val="23"/>
        </w:rPr>
      </w:r>
    </w:p>
    <w:tbl>
      <w:tblPr>
        <w:tblW w:w="10233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6"/>
        <w:gridCol w:w="3686"/>
        <w:gridCol w:w="1421"/>
        <w:gridCol w:w="1538"/>
        <w:gridCol w:w="1534"/>
        <w:gridCol w:w="1488"/>
      </w:tblGrid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r>
              <w:rPr>
                <w:sz w:val="23"/>
                <w:szCs w:val="23"/>
              </w:rPr>
              <w:t>п/п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8"/>
              <w:spacing w:before="0" w:after="0"/>
              <w:ind w:hanging="0" w:left="1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Наименование Товара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Кол-во</w:t>
            </w:r>
          </w:p>
          <w:p>
            <w:pPr>
              <w:pStyle w:val="Normal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(ед изм)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8"/>
              <w:spacing w:before="0" w:after="0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 xml:space="preserve">Цена за ед. </w:t>
            </w: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28"/>
              <w:tabs>
                <w:tab w:val="clear" w:pos="9900"/>
                <w:tab w:val="left" w:pos="2318" w:leader="none"/>
              </w:tabs>
              <w:spacing w:before="0" w:after="0"/>
              <w:ind w:firstLine="57" w:left="-57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НДС</w:t>
            </w:r>
          </w:p>
          <w:p>
            <w:pPr>
              <w:pStyle w:val="Style28"/>
              <w:tabs>
                <w:tab w:val="clear" w:pos="9900"/>
                <w:tab w:val="left" w:pos="2318" w:leader="none"/>
              </w:tabs>
              <w:spacing w:before="0" w:after="0"/>
              <w:ind w:firstLine="57" w:left="-57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%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8"/>
              <w:tabs>
                <w:tab w:val="clear" w:pos="9900"/>
                <w:tab w:val="left" w:pos="2318" w:leader="none"/>
              </w:tabs>
              <w:spacing w:before="0" w:after="0"/>
              <w:ind w:firstLine="57" w:left="-57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n-US"/>
              </w:rPr>
              <w:t>Общая цена руб.</w:t>
            </w:r>
          </w:p>
        </w:tc>
      </w:tr>
      <w:tr>
        <w:trPr/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 w:left="0" w:right="0"/>
              <w:jc w:val="left"/>
              <w:rPr/>
            </w:pPr>
            <w:r>
              <w:rPr/>
              <w:t>Люк пласт. 2530 с замком "PUSH"(20)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left="-49" w:right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  <w:t>1шт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snapToGrid w:val="false"/>
              <w:ind w:hanging="49" w:left="-49" w:righ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/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 w:left="0" w:right="0"/>
              <w:jc w:val="left"/>
              <w:rPr/>
            </w:pPr>
            <w:r>
              <w:rPr/>
              <w:t>Сверло по металлу кобальтовое 2.0х49мм (2шт/упак) сталь Р6М5К5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left="-49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 упак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snapToGrid w:val="false"/>
              <w:ind w:hanging="49" w:left="-49" w:righ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 w:left="0" w:right="0"/>
              <w:jc w:val="left"/>
              <w:rPr/>
            </w:pPr>
            <w:r>
              <w:rPr/>
              <w:t>Сверло по металлу кобальтовое 3.2х65мм, сталь Р6М5К5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left="-49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 упак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snapToGrid w:val="false"/>
              <w:ind w:hanging="49" w:left="-49" w:righ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 w:left="0" w:right="0"/>
              <w:jc w:val="left"/>
              <w:rPr/>
            </w:pPr>
            <w:r>
              <w:rPr/>
              <w:t>Герметик силиконизированный KUDO KSK-291 для влажных помещений, можно окрашивать, белый, 280мл /12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left="-49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шт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snapToGrid w:val="false"/>
              <w:ind w:hanging="49" w:left="-49" w:righ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 w:left="0" w:right="0"/>
              <w:jc w:val="left"/>
              <w:rPr/>
            </w:pPr>
            <w:r>
              <w:rPr/>
              <w:t>Герметик акриловый универсальный DoneWell DSK-301, белый, 260мл /20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left="-49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 шт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snapToGrid w:val="false"/>
              <w:ind w:hanging="49" w:left="-49" w:righ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 w:left="0" w:right="0"/>
              <w:jc w:val="left"/>
              <w:rPr/>
            </w:pPr>
            <w:r>
              <w:rPr/>
              <w:t>Герметик акриловый универсальный KUDO KSK-301, белый, 280мл /12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left="-49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шт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snapToGrid w:val="false"/>
              <w:ind w:hanging="49" w:left="-49" w:righ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 w:left="0" w:right="0"/>
              <w:jc w:val="left"/>
              <w:rPr/>
            </w:pPr>
            <w:r>
              <w:rPr/>
              <w:t>Саморезы гипсокартон-дерево 4,2х75 (100 шт)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left="-49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упак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snapToGrid w:val="false"/>
              <w:ind w:hanging="49" w:left="-49" w:righ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 w:left="0" w:right="0"/>
              <w:jc w:val="left"/>
              <w:rPr/>
            </w:pPr>
            <w:r>
              <w:rPr/>
              <w:t>Порог широкий стык 60 мм 1.80м алюминий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left="-49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 шт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snapToGrid w:val="false"/>
              <w:ind w:hanging="49" w:left="-49" w:righ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 w:left="0" w:right="0"/>
              <w:jc w:val="left"/>
              <w:rPr/>
            </w:pPr>
            <w:r>
              <w:rPr/>
              <w:t>Порог широкий стык 60 мм 1.35м дуб темный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left="-49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 шт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snapToGrid w:val="false"/>
              <w:ind w:hanging="49" w:left="-49" w:righ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 w:left="0" w:right="0"/>
              <w:jc w:val="left"/>
              <w:rPr/>
            </w:pPr>
            <w:r>
              <w:rPr/>
              <w:t>Угол пластиковый 25х25мм 2.7м /50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left="-49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 шт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snapToGrid w:val="false"/>
              <w:ind w:hanging="49" w:left="-49" w:righ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 w:left="0" w:right="0"/>
              <w:jc w:val="left"/>
              <w:rPr/>
            </w:pPr>
            <w:r>
              <w:rPr/>
              <w:t>Саморезы универсальные желтые 3,0х30 (25 шт)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113" w:after="0"/>
              <w:ind w:hanging="49" w:left="-49" w:right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упак</w:t>
            </w:r>
          </w:p>
        </w:tc>
        <w:tc>
          <w:tcPr>
            <w:tcW w:w="15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  <w:tc>
          <w:tcPr>
            <w:tcW w:w="15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snapToGrid w:val="false"/>
              <w:ind w:hanging="49" w:left="-49" w:right="0"/>
              <w:jc w:val="center"/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  <w:tr>
        <w:trPr/>
        <w:tc>
          <w:tcPr>
            <w:tcW w:w="8745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user3"/>
              <w:ind w:hanging="0" w:left="0" w:right="0"/>
              <w:jc w:val="center"/>
              <w:rPr>
                <w:sz w:val="23"/>
                <w:szCs w:val="23"/>
              </w:rPr>
            </w:pPr>
            <w:r>
              <w:rPr>
                <w:rFonts w:eastAsia="Times New Roman" w:cs="Times New Roman"/>
                <w:color w:val="auto"/>
                <w:sz w:val="23"/>
                <w:szCs w:val="23"/>
                <w:lang w:val="ru-RU" w:eastAsia="zh-CN" w:bidi="ar-SA"/>
              </w:rPr>
              <w:t>ИТОГО</w:t>
            </w:r>
          </w:p>
        </w:tc>
        <w:tc>
          <w:tcPr>
            <w:tcW w:w="14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ind w:firstLine="284" w:left="0" w:righ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</w:p>
        </w:tc>
      </w:tr>
    </w:tbl>
    <w:p>
      <w:pPr>
        <w:pStyle w:val="Normal"/>
        <w:ind w:firstLine="709" w:left="0" w:right="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ind w:hanging="0" w:left="0" w:right="0"/>
        <w:rPr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>Итого стоимость Товара :</w:t>
      </w:r>
      <w:r>
        <w:rPr>
          <w:rFonts w:eastAsia="Times New Roman" w:cs="Times New Roman"/>
          <w:i w:val="false"/>
          <w:iCs w:val="false"/>
          <w:color w:val="auto"/>
          <w:sz w:val="24"/>
          <w:szCs w:val="24"/>
          <w:u w:val="none"/>
          <w:lang w:val="ru-RU" w:eastAsia="zh-CN" w:bidi="ar-SA"/>
        </w:rPr>
        <w:t xml:space="preserve">  </w:t>
      </w:r>
    </w:p>
    <w:p>
      <w:pPr>
        <w:pStyle w:val="Normal"/>
        <w:rPr>
          <w:b/>
          <w:i/>
          <w:color w:val="000000"/>
          <w:u w:val="single"/>
          <w:lang w:eastAsia="en-US"/>
        </w:rPr>
      </w:pPr>
      <w:r>
        <w:rPr>
          <w:b/>
          <w:i/>
          <w:color w:val="000000"/>
          <w:u w:val="single"/>
          <w:lang w:eastAsia="en-US"/>
        </w:rPr>
      </w:r>
    </w:p>
    <w:p>
      <w:pPr>
        <w:pStyle w:val="Normal"/>
        <w:rPr>
          <w:b/>
          <w:i/>
          <w:color w:val="000000"/>
          <w:sz w:val="28"/>
          <w:szCs w:val="28"/>
          <w:u w:val="single"/>
          <w:lang w:eastAsia="en-US"/>
        </w:rPr>
      </w:pPr>
      <w:r>
        <w:rPr>
          <w:b/>
          <w:i/>
          <w:color w:val="000000"/>
          <w:sz w:val="28"/>
          <w:szCs w:val="28"/>
          <w:u w:val="single"/>
          <w:lang w:eastAsia="en-US"/>
        </w:rPr>
      </w:r>
    </w:p>
    <w:p>
      <w:pPr>
        <w:pStyle w:val="Normal"/>
        <w:rPr>
          <w:b/>
          <w:i/>
          <w:color w:val="000000"/>
          <w:sz w:val="28"/>
          <w:szCs w:val="28"/>
          <w:u w:val="single"/>
          <w:lang w:eastAsia="en-US"/>
        </w:rPr>
      </w:pPr>
      <w:r>
        <w:rPr>
          <w:b/>
          <w:i/>
          <w:color w:val="000000"/>
          <w:sz w:val="28"/>
          <w:szCs w:val="28"/>
          <w:u w:val="single"/>
          <w:lang w:eastAsia="en-US"/>
        </w:rPr>
      </w:r>
    </w:p>
    <w:tbl>
      <w:tblPr>
        <w:tblW w:w="445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4"/>
        <w:gridCol w:w="3913"/>
      </w:tblGrid>
      <w:tr>
        <w:trPr/>
        <w:tc>
          <w:tcPr>
            <w:tcW w:w="5294" w:type="dxa"/>
            <w:tcBorders/>
          </w:tcPr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Заказчик:</w:t>
            </w:r>
          </w:p>
          <w:p>
            <w:pPr>
              <w:pStyle w:val="Normal"/>
              <w:ind w:firstLine="95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ФГБУН «Кировский научно-исследовательский институт гематологии и переливания крови Федерального медико-биологического агентства»</w:t>
            </w:r>
          </w:p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firstLine="567" w:left="180" w:righ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ind w:hanging="0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______________________/И.В. Парамонов/</w:t>
            </w:r>
          </w:p>
          <w:p>
            <w:pPr>
              <w:pStyle w:val="Normal"/>
              <w:ind w:hanging="0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  <w:tc>
          <w:tcPr>
            <w:tcW w:w="3913" w:type="dxa"/>
            <w:tcBorders/>
          </w:tcPr>
          <w:p>
            <w:pPr>
              <w:pStyle w:val="Normal"/>
              <w:ind w:firstLine="567" w:left="180" w:right="0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val="ru-RU" w:eastAsia="zh-CN" w:bidi="ar-SA"/>
              </w:rPr>
            </w:pPr>
            <w:r>
              <w:rPr>
                <w:b/>
                <w:bCs/>
                <w:sz w:val="20"/>
                <w:szCs w:val="20"/>
              </w:rPr>
              <w:t>Поставщик:</w:t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left"/>
              <w:rPr>
                <w:rFonts w:ascii="Calibri" w:hAnsi="Calibri" w:eastAsia="" w:cs=""/>
                <w:b/>
                <w:bCs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" w:cs="" w:ascii="Calibri" w:hAnsi="Calibri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  <w:p>
            <w:pPr>
              <w:pStyle w:val="Normal"/>
              <w:ind w:firstLine="72" w:left="180" w:right="0"/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ind w:firstLine="72" w:left="180" w:right="0"/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color w:val="auto"/>
                <w:sz w:val="20"/>
                <w:szCs w:val="20"/>
                <w:lang w:val="ru-RU" w:eastAsia="zh-CN" w:bidi="ar-SA"/>
              </w:rPr>
            </w:r>
          </w:p>
          <w:p>
            <w:pPr>
              <w:pStyle w:val="Normal"/>
              <w:ind w:hanging="0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  <w:r>
              <w:rPr>
                <w:rFonts w:cs="Times New Roman"/>
                <w:b w:val="false"/>
                <w:bCs w:val="false"/>
                <w:color w:val="000000"/>
                <w:sz w:val="23"/>
                <w:szCs w:val="23"/>
              </w:rPr>
              <w:t xml:space="preserve">/ </w:t>
            </w:r>
            <w:r>
              <w:rPr>
                <w:rFonts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 xml:space="preserve">                        </w:t>
            </w:r>
            <w:r>
              <w:rPr>
                <w:rFonts w:cs="Times New Roman"/>
                <w:b w:val="false"/>
                <w:bCs w:val="false"/>
                <w:color w:val="000000"/>
                <w:sz w:val="23"/>
                <w:szCs w:val="23"/>
              </w:rPr>
              <w:t>/</w:t>
            </w:r>
          </w:p>
          <w:p>
            <w:pPr>
              <w:pStyle w:val="Normal"/>
              <w:ind w:hanging="0" w:left="18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709" w:right="851" w:gutter="0" w:header="0" w:top="709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right" w:pos="9900" w:leader="none"/>
      </w:tabs>
      <w:suppressAutoHyphens w:val="true"/>
      <w:bidi w:val="0"/>
      <w:spacing w:before="0" w:after="0"/>
      <w:ind w:firstLine="567" w:left="0" w:right="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40" w:after="120"/>
      <w:outlineLvl w:val="0"/>
    </w:pPr>
    <w:rPr>
      <w:rFonts w:ascii="Liberation Serif;Times New Roman" w:hAnsi="Liberation Serif;Times New Roman" w:eastAsia="SimSun;宋体" w:cs="Liberation Serif;Times New Roman"/>
      <w:b/>
      <w:bCs/>
      <w:sz w:val="48"/>
      <w:szCs w:val="48"/>
    </w:rPr>
  </w:style>
  <w:style w:type="paragraph" w:styleId="Heading3">
    <w:name w:val="heading 3"/>
    <w:basedOn w:val="user1"/>
    <w:next w:val="BodyText"/>
    <w:qFormat/>
    <w:pPr>
      <w:spacing w:before="140" w:after="120"/>
      <w:outlineLvl w:val="2"/>
    </w:pPr>
    <w:rPr>
      <w:rFonts w:ascii="Liberation Serif;Times New Roman" w:hAnsi="Liberation Serif;Times New Roman" w:eastAsia="NSimSun" w:cs="Arial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">
    <w:name w:val="Основной шрифт абзаца1"/>
    <w:qFormat/>
    <w:rPr/>
  </w:style>
  <w:style w:type="character" w:styleId="-">
    <w:name w:val="Контракт-раздел Знак Знак"/>
    <w:qFormat/>
    <w:rPr>
      <w:b/>
      <w:bCs/>
      <w:caps/>
      <w:sz w:val="24"/>
      <w:szCs w:val="24"/>
      <w:lang w:val="ru-RU" w:bidi="ar-SA"/>
    </w:rPr>
  </w:style>
  <w:style w:type="character" w:styleId="21">
    <w:name w:val="Основной текст 2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3">
    <w:name w:val="Заголовок Знак"/>
    <w:qFormat/>
    <w:rPr>
      <w:rFonts w:ascii="Times New Roman" w:hAnsi="Times New Roman" w:eastAsia="Times New Roman" w:cs="Calibri"/>
      <w:sz w:val="24"/>
      <w:szCs w:val="24"/>
    </w:rPr>
  </w:style>
  <w:style w:type="character" w:styleId="Style14">
    <w:name w:val="Текст примечания Знак"/>
    <w:qFormat/>
    <w:rPr>
      <w:rFonts w:ascii="Times New Roman" w:hAnsi="Times New Roman" w:eastAsia="Times New Roman" w:cs="Calibri"/>
      <w:sz w:val="20"/>
      <w:szCs w:val="20"/>
    </w:rPr>
  </w:style>
  <w:style w:type="character" w:styleId="Style15">
    <w:name w:val="Тема примечания Знак"/>
    <w:qFormat/>
    <w:rPr>
      <w:rFonts w:ascii="Times New Roman" w:hAnsi="Times New Roman" w:eastAsia="Times New Roman" w:cs="Calibri"/>
      <w:b/>
      <w:bCs/>
      <w:sz w:val="20"/>
      <w:szCs w:val="20"/>
    </w:rPr>
  </w:style>
  <w:style w:type="character" w:styleId="211">
    <w:name w:val="Основной текст 2 Знак1"/>
    <w:qFormat/>
    <w:rPr>
      <w:rFonts w:ascii="Times New Roman" w:hAnsi="Times New Roman" w:eastAsia="Times New Roman" w:cs="Calibri"/>
      <w:sz w:val="24"/>
      <w:szCs w:val="24"/>
    </w:rPr>
  </w:style>
  <w:style w:type="character" w:styleId="Style16">
    <w:name w:val="Подзаголовок Знак"/>
    <w:qFormat/>
    <w:rPr>
      <w:rFonts w:ascii="Cambria" w:hAnsi="Cambria" w:eastAsia="Cambria" w:cs="Cambria"/>
      <w:i/>
      <w:iCs/>
      <w:color w:val="4F81BD"/>
      <w:spacing w:val="15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Схема документа Знак"/>
    <w:qFormat/>
    <w:rPr>
      <w:rFonts w:ascii="Tahoma" w:hAnsi="Tahoma" w:eastAsia="Times New Roman" w:cs="Tahoma"/>
      <w:sz w:val="16"/>
      <w:szCs w:val="16"/>
    </w:rPr>
  </w:style>
  <w:style w:type="character" w:styleId="user">
    <w:name w:val="Маркеры (user)"/>
    <w:qFormat/>
    <w:rPr>
      <w:rFonts w:ascii="OpenSymbol;Arial Unicode MS" w:hAnsi="OpenSymbol;Arial Unicode MS" w:eastAsia="OpenSymbol;Arial Unicode MS" w:cs="OpenSymbol;Arial Unicode MS"/>
    </w:rPr>
  </w:style>
  <w:style w:type="character" w:styleId="11">
    <w:name w:val="Знак примечания1"/>
    <w:qFormat/>
    <w:rPr>
      <w:sz w:val="16"/>
      <w:szCs w:val="16"/>
    </w:rPr>
  </w:style>
  <w:style w:type="character" w:styleId="Style19">
    <w:name w:val="Верхний колонтитул Знак"/>
    <w:qFormat/>
    <w:rPr>
      <w:sz w:val="24"/>
      <w:szCs w:val="24"/>
      <w:lang w:eastAsia="zh-CN"/>
    </w:rPr>
  </w:style>
  <w:style w:type="character" w:styleId="Style20">
    <w:name w:val="Нижний колонтитул Знак"/>
    <w:qFormat/>
    <w:rPr>
      <w:sz w:val="24"/>
      <w:szCs w:val="24"/>
      <w:lang w:eastAsia="zh-CN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2">
    <w:name w:val="Заголовок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Style23">
    <w:name w:val="Название объекта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3">
    <w:name w:val="Указатель2"/>
    <w:basedOn w:val="Normal"/>
    <w:qFormat/>
    <w:pPr>
      <w:suppressLineNumbers/>
    </w:pPr>
    <w:rPr>
      <w:rFonts w:cs="Arial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">
    <w:name w:val="Caption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">
    <w:name w:val="Caption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">
    <w:name w:val="Caption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">
    <w:name w:val="Caption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">
    <w:name w:val="Caption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">
    <w:name w:val="Caption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">
    <w:name w:val="Caption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">
    <w:name w:val="Caption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">
    <w:name w:val="Caption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">
    <w:name w:val="Caption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">
    <w:name w:val="Caption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">
    <w:name w:val="Caption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Заголовок1"/>
    <w:basedOn w:val="Normal"/>
    <w:next w:val="Subtitle"/>
    <w:qFormat/>
    <w:pPr>
      <w:jc w:val="center"/>
    </w:pPr>
    <w:rPr/>
  </w:style>
  <w:style w:type="paragraph" w:styleId="24">
    <w:name w:val="Название объекта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Arial"/>
    </w:rPr>
  </w:style>
  <w:style w:type="paragraph" w:styleId="Caption11111111111111111111111111111111">
    <w:name w:val="Caption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">
    <w:name w:val="Caption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">
    <w:name w:val="Caption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">
    <w:name w:val="Caption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">
    <w:name w:val="Caption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">
    <w:name w:val="Caption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">
    <w:name w:val="Caption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">
    <w:name w:val="Caption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">
    <w:name w:val="Caption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">
    <w:name w:val="Caption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">
    <w:name w:val="Caption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">
    <w:name w:val="Caption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">
    <w:name w:val="Caption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">
    <w:name w:val="Caption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">
    <w:name w:val="Caption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">
    <w:name w:val="Caption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">
    <w:name w:val="Caption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">
    <w:name w:val="Caption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">
    <w:name w:val="Caption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">
    <w:name w:val="Caption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">
    <w:name w:val="Caption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">
    <w:name w:val="Caption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">
    <w:name w:val="Caption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">
    <w:name w:val="Caption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">
    <w:name w:val="Caption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">
    <w:name w:val="Caption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">
    <w:name w:val="Caption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">
    <w:name w:val="Caption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">
    <w:name w:val="Caption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111111111111111111111111111111111111111111">
    <w:name w:val="Caption1111111111111111111111111111111111111111111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4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pPr>
      <w:suppressLineNumbers/>
    </w:pPr>
    <w:rPr>
      <w:rFonts w:cs="Arial"/>
    </w:rPr>
  </w:style>
  <w:style w:type="paragraph" w:styleId="-1">
    <w:name w:val="Контракт-раздел"/>
    <w:basedOn w:val="Normal"/>
    <w:next w:val="Normal"/>
    <w:qFormat/>
    <w:pPr>
      <w:keepNext w:val="true"/>
      <w:spacing w:before="360" w:after="120"/>
      <w:jc w:val="center"/>
    </w:pPr>
    <w:rPr>
      <w:b/>
      <w:bCs/>
      <w:caps/>
    </w:rPr>
  </w:style>
  <w:style w:type="paragraph" w:styleId="15">
    <w:name w:val="Текст примечания1"/>
    <w:basedOn w:val="Normal"/>
    <w:qFormat/>
    <w:pPr/>
    <w:rPr>
      <w:sz w:val="20"/>
      <w:szCs w:val="20"/>
    </w:rPr>
  </w:style>
  <w:style w:type="paragraph" w:styleId="Style24">
    <w:name w:val="Тема примечания"/>
    <w:basedOn w:val="Normal"/>
    <w:next w:val="Normal"/>
    <w:qFormat/>
    <w:pPr>
      <w:spacing w:lineRule="auto" w:line="360"/>
      <w:jc w:val="both"/>
    </w:pPr>
    <w:rPr>
      <w:b/>
      <w:bCs/>
      <w:sz w:val="20"/>
      <w:szCs w:val="20"/>
    </w:rPr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ind w:firstLine="720" w:left="0" w:right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zh-CN" w:bidi="ar-SA"/>
    </w:rPr>
  </w:style>
  <w:style w:type="paragraph" w:styleId="Style25">
    <w:name w:val="Таблица текст"/>
    <w:basedOn w:val="Normal"/>
    <w:qFormat/>
    <w:pPr>
      <w:spacing w:before="40" w:after="40"/>
      <w:ind w:hanging="0" w:left="57" w:right="57"/>
    </w:pPr>
    <w:rPr>
      <w:rFonts w:eastAsia="Calibri"/>
      <w:sz w:val="22"/>
      <w:szCs w:val="22"/>
    </w:rPr>
  </w:style>
  <w:style w:type="paragraph" w:styleId="212">
    <w:name w:val="Основной текст 21"/>
    <w:basedOn w:val="Normal"/>
    <w:qFormat/>
    <w:pPr>
      <w:suppressAutoHyphens w:val="false"/>
      <w:spacing w:lineRule="auto" w:line="480" w:before="0" w:after="120"/>
    </w:pPr>
    <w:rPr>
      <w:rFonts w:cs="Times New Roman"/>
    </w:rPr>
  </w:style>
  <w:style w:type="paragraph" w:styleId="western">
    <w:name w:val="western"/>
    <w:basedOn w:val="Normal"/>
    <w:qFormat/>
    <w:pPr>
      <w:suppressAutoHyphens w:val="false"/>
      <w:spacing w:before="280" w:after="280"/>
    </w:pPr>
    <w:rPr>
      <w:rFonts w:eastAsia="Calibri" w:cs="Times New Roman"/>
      <w:color w:val="000000"/>
    </w:rPr>
  </w:style>
  <w:style w:type="paragraph" w:styleId="-2">
    <w:name w:val="Контракт-пункт"/>
    <w:basedOn w:val="Normal"/>
    <w:qFormat/>
    <w:pPr>
      <w:suppressAutoHyphens w:val="false"/>
      <w:ind w:hanging="851" w:left="851" w:right="0"/>
      <w:jc w:val="both"/>
    </w:pPr>
    <w:rPr>
      <w:rFonts w:cs="Times New Roman"/>
    </w:rPr>
  </w:style>
  <w:style w:type="paragraph" w:styleId="Subtitle">
    <w:name w:val="Subtitle"/>
    <w:basedOn w:val="Normal"/>
    <w:next w:val="Normal"/>
    <w:qFormat/>
    <w:pPr/>
    <w:rPr>
      <w:rFonts w:ascii="Cambria" w:hAnsi="Cambria" w:eastAsia="Cambria" w:cs="Cambria"/>
      <w:i/>
      <w:iCs/>
      <w:color w:val="4F81BD"/>
      <w:spacing w:val="15"/>
    </w:rPr>
  </w:style>
  <w:style w:type="paragraph" w:styleId="Style26">
    <w:name w:val="Абзац списка"/>
    <w:basedOn w:val="Normal"/>
    <w:qFormat/>
    <w:pPr>
      <w:suppressAutoHyphens w:val="false"/>
      <w:spacing w:before="0" w:after="0"/>
      <w:ind w:hanging="0" w:left="720" w:right="0"/>
      <w:contextualSpacing/>
    </w:pPr>
    <w:rPr>
      <w:rFonts w:cs="Times New Roma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zh-CN" w:bidi="ar-SA"/>
    </w:rPr>
  </w:style>
  <w:style w:type="paragraph" w:styleId="Style2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8">
    <w:name w:val="Таблица шапка"/>
    <w:basedOn w:val="Normal"/>
    <w:qFormat/>
    <w:pPr>
      <w:keepNext w:val="true"/>
      <w:suppressAutoHyphens w:val="false"/>
      <w:spacing w:before="40" w:after="40"/>
      <w:ind w:hanging="0" w:left="57" w:right="57"/>
    </w:pPr>
    <w:rPr>
      <w:rFonts w:eastAsia="Calibri" w:cs="Times New Roman"/>
      <w:sz w:val="18"/>
      <w:szCs w:val="18"/>
    </w:rPr>
  </w:style>
  <w:style w:type="paragraph" w:styleId="16">
    <w:name w:val="Схема документа1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Инструкция"/>
    <w:basedOn w:val="Normal"/>
    <w:qFormat/>
    <w:pPr>
      <w:ind w:firstLine="425" w:left="0" w:right="0"/>
      <w:jc w:val="both"/>
    </w:pPr>
    <w:rPr>
      <w:rFonts w:cs="Times New Roman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jc w:val="center"/>
    </w:pPr>
    <w:rPr>
      <w:b/>
      <w:bCs/>
    </w:rPr>
  </w:style>
  <w:style w:type="paragraph" w:styleId="Style30">
    <w:name w:val="Колонтитул"/>
    <w:basedOn w:val="Normal"/>
    <w:qFormat/>
    <w:pPr>
      <w:suppressLineNumbers/>
      <w:tabs>
        <w:tab w:val="clear" w:pos="9900"/>
        <w:tab w:val="center" w:pos="4819" w:leader="none"/>
        <w:tab w:val="right" w:pos="9638" w:leader="none"/>
      </w:tabs>
    </w:pPr>
    <w:rPr/>
  </w:style>
  <w:style w:type="paragraph" w:styleId="Style31">
    <w:name w:val="Колонтитулы"/>
    <w:basedOn w:val="Normal"/>
    <w:qFormat/>
    <w:pPr/>
    <w:rPr/>
  </w:style>
  <w:style w:type="paragraph" w:styleId="user5">
    <w:name w:val="Колонтитулы (user)"/>
    <w:basedOn w:val="Normal"/>
    <w:qFormat/>
    <w:pPr/>
    <w:rPr/>
  </w:style>
  <w:style w:type="paragraph" w:styleId="Header">
    <w:name w:val="header"/>
    <w:basedOn w:val="Normal"/>
    <w:pPr>
      <w:tabs>
        <w:tab w:val="clear" w:pos="990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9900"/>
        <w:tab w:val="center" w:pos="4677" w:leader="none"/>
        <w:tab w:val="right" w:pos="9355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v-zakupki.ru/zakon/44-fz-id126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148</TotalTime>
  <Application>LibreOffice/26.2.3.2$Windows_X86_64 LibreOffice_project/70e089b17412e4cb7773e41413306b17a2328c34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2025-12-03T15:26:00Z</dcterms:created>
  <dc:creator/>
  <dc:description/>
  <dc:language>ru-RU</dc:language>
  <cp:lastModifiedBy/>
  <dcterms:modified xsi:type="dcterms:W3CDTF">2026-06-15T13:46:14Z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