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25"/>
        <w:jc w:val="center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Государственный контракт № __</w:t>
      </w:r>
      <w:r>
        <w:rPr>
          <w:rFonts w:ascii="Times New Roman" w:hAnsi="Times New Roman"/>
          <w:b/>
          <w:sz w:val="24"/>
          <w:szCs w:val="24"/>
        </w:rPr>
        <w:t xml:space="preserve">/07</w:t>
      </w:r>
      <w:r>
        <w:rPr>
          <w:rFonts w:ascii="Times New Roman" w:hAnsi="Times New Roman"/>
          <w:b/>
          <w:sz w:val="24"/>
          <w:szCs w:val="24"/>
        </w:rPr>
        <w:t xml:space="preserve">-26</w:t>
      </w:r>
      <w:r>
        <w:rPr>
          <w:rFonts w:ascii="Times New Roman" w:hAnsi="Times New Roman"/>
          <w:b/>
          <w:sz w:val="24"/>
          <w:szCs w:val="24"/>
        </w:rPr>
        <w:t xml:space="preserve">-</w:t>
      </w:r>
      <w:r>
        <w:rPr>
          <w:rFonts w:ascii="Times New Roman" w:hAnsi="Times New Roman"/>
          <w:b/>
          <w:sz w:val="24"/>
          <w:szCs w:val="24"/>
        </w:rPr>
        <w:t xml:space="preserve">Б</w: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940"/>
        <w:jc w:val="center"/>
        <w:spacing w:before="0" w:beforeAutospacing="0" w:after="0" w:afterAutospacing="0"/>
      </w:pPr>
      <w:r>
        <w:t xml:space="preserve">на </w:t>
      </w:r>
      <w:r>
        <w:t xml:space="preserve">поставку запасных частей к АРМ</w:t>
      </w:r>
      <w:r>
        <w:t xml:space="preserve"> </w:t>
      </w:r>
      <w:r/>
      <w:r/>
    </w:p>
    <w:p>
      <w:pPr>
        <w:pStyle w:val="940"/>
        <w:jc w:val="center"/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ИКЗ: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261254010849025400100100250000000244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940"/>
        <w:jc w:val="center"/>
        <w:spacing w:before="0" w:beforeAutospacing="0" w:after="0" w:afterAutospacing="0"/>
      </w:pPr>
      <w:r/>
      <w:r/>
    </w:p>
    <w:p>
      <w:pPr>
        <w:pStyle w:val="925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Владив</w:t>
      </w:r>
      <w:r>
        <w:rPr>
          <w:rFonts w:ascii="Times New Roman" w:hAnsi="Times New Roman"/>
          <w:sz w:val="24"/>
          <w:szCs w:val="24"/>
        </w:rPr>
        <w:t xml:space="preserve">осток</w:t>
        <w:tab/>
        <w:tab/>
        <w:tab/>
        <w:tab/>
        <w:tab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___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______</w:t>
      </w:r>
      <w:r>
        <w:rPr>
          <w:rFonts w:ascii="Times New Roman" w:hAnsi="Times New Roman"/>
          <w:sz w:val="24"/>
          <w:szCs w:val="24"/>
        </w:rPr>
        <w:t xml:space="preserve"> 2026</w:t>
      </w:r>
      <w:r>
        <w:rPr>
          <w:rFonts w:ascii="Times New Roman" w:hAnsi="Times New Roman"/>
          <w:sz w:val="24"/>
          <w:szCs w:val="24"/>
        </w:rPr>
        <w:t xml:space="preserve">г.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Управление Федеральной службы государственной регистрации, кадастра и картографии по Приморскому краю</w:t>
      </w:r>
      <w:r>
        <w:rPr>
          <w:rFonts w:ascii="Times New Roman" w:hAnsi="Times New Roman"/>
          <w:sz w:val="24"/>
          <w:szCs w:val="24"/>
        </w:rPr>
        <w:t xml:space="preserve"> в лице </w:t>
      </w:r>
      <w:r>
        <w:rPr>
          <w:rFonts w:ascii="Times New Roman" w:hAnsi="Times New Roman"/>
          <w:sz w:val="24"/>
          <w:szCs w:val="24"/>
        </w:rPr>
        <w:t xml:space="preserve">заместителя руководителя Управления </w:t>
      </w:r>
      <w:r>
        <w:rPr>
          <w:rFonts w:ascii="Times New Roman" w:hAnsi="Times New Roman"/>
          <w:sz w:val="24"/>
          <w:szCs w:val="24"/>
        </w:rPr>
        <w:t xml:space="preserve">Тырышкина Андрея Юрьевича</w:t>
      </w:r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действующего на основании доверенности </w:t>
      </w:r>
      <w:r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 xml:space="preserve">11.11.2024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 02-058</w:t>
      </w:r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именуемое </w:t>
      </w:r>
      <w:r>
        <w:rPr>
          <w:rFonts w:ascii="Times New Roman" w:hAnsi="Times New Roman"/>
          <w:sz w:val="24"/>
          <w:szCs w:val="24"/>
        </w:rPr>
        <w:t xml:space="preserve">в дальне</w:t>
      </w:r>
      <w:r>
        <w:rPr>
          <w:rFonts w:ascii="Times New Roman" w:hAnsi="Times New Roman"/>
          <w:sz w:val="24"/>
          <w:szCs w:val="24"/>
        </w:rPr>
        <w:t xml:space="preserve">й</w:t>
      </w:r>
      <w:r>
        <w:rPr>
          <w:rFonts w:ascii="Times New Roman" w:hAnsi="Times New Roman"/>
          <w:sz w:val="24"/>
          <w:szCs w:val="24"/>
        </w:rPr>
        <w:t xml:space="preserve">шем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, с одной стороны, </w:t>
      </w:r>
      <w:r>
        <w:rPr>
          <w:rFonts w:ascii="Times New Roman" w:hAnsi="Times New Roman"/>
          <w:sz w:val="24"/>
          <w:szCs w:val="24"/>
        </w:rPr>
        <w:t xml:space="preserve">и</w:t>
      </w:r>
      <w:r>
        <w:rPr>
          <w:rFonts w:ascii="Times New Roman" w:hAnsi="Times New Roman"/>
          <w:sz w:val="24"/>
          <w:szCs w:val="24"/>
        </w:rPr>
        <w:t xml:space="preserve"> _________</w:t>
      </w:r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в лице </w:t>
      </w:r>
      <w:r>
        <w:rPr>
          <w:rFonts w:ascii="Times New Roman" w:hAnsi="Times New Roman"/>
          <w:sz w:val="24"/>
          <w:szCs w:val="24"/>
        </w:rPr>
        <w:t xml:space="preserve">_______</w:t>
      </w:r>
      <w:r>
        <w:rPr>
          <w:rFonts w:ascii="Times New Roman" w:hAnsi="Times New Roman"/>
          <w:sz w:val="24"/>
          <w:szCs w:val="24"/>
        </w:rPr>
        <w:t xml:space="preserve">, действующий на основании </w:t>
      </w:r>
      <w:r>
        <w:rPr>
          <w:rFonts w:ascii="Times New Roman" w:hAnsi="Times New Roman"/>
          <w:sz w:val="24"/>
          <w:szCs w:val="24"/>
        </w:rPr>
        <w:t xml:space="preserve">_________</w:t>
      </w:r>
      <w:r>
        <w:rPr>
          <w:rFonts w:ascii="Times New Roman" w:hAnsi="Times New Roman"/>
          <w:sz w:val="24"/>
          <w:szCs w:val="24"/>
        </w:rPr>
        <w:t xml:space="preserve">, именуемое в дальнейшем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Постав</w:t>
      </w:r>
      <w:r>
        <w:rPr>
          <w:rFonts w:ascii="Times New Roman" w:hAnsi="Times New Roman"/>
          <w:sz w:val="24"/>
          <w:szCs w:val="24"/>
        </w:rPr>
        <w:t xml:space="preserve">щик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, с другой стороны, совместно именуемые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Стороны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, заключили настоящий Контракт о нижесл</w:t>
      </w:r>
      <w:r>
        <w:rPr>
          <w:rFonts w:ascii="Times New Roman" w:hAnsi="Times New Roman"/>
          <w:sz w:val="24"/>
          <w:szCs w:val="24"/>
        </w:rPr>
        <w:t xml:space="preserve">е</w:t>
      </w:r>
      <w:r>
        <w:rPr>
          <w:rFonts w:ascii="Times New Roman" w:hAnsi="Times New Roman"/>
          <w:sz w:val="24"/>
          <w:szCs w:val="24"/>
        </w:rPr>
        <w:t xml:space="preserve">дующем: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Предмет контракта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pacing w:after="0" w:line="240" w:lineRule="auto"/>
        <w:tabs>
          <w:tab w:val="left" w:pos="567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Настоящий Контракт заключён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аказчиком в соответствии с </w:t>
      </w:r>
      <w:r>
        <w:rPr>
          <w:rFonts w:ascii="Times New Roman" w:hAnsi="Times New Roman"/>
          <w:sz w:val="24"/>
          <w:szCs w:val="24"/>
        </w:rPr>
        <w:t xml:space="preserve">нормами Гражданского кодекса Российской Фед</w:t>
      </w:r>
      <w:r>
        <w:rPr>
          <w:rFonts w:ascii="Times New Roman" w:hAnsi="Times New Roman"/>
          <w:sz w:val="24"/>
          <w:szCs w:val="24"/>
        </w:rPr>
        <w:t xml:space="preserve">е</w:t>
      </w:r>
      <w:r>
        <w:rPr>
          <w:rFonts w:ascii="Times New Roman" w:hAnsi="Times New Roman"/>
          <w:sz w:val="24"/>
          <w:szCs w:val="24"/>
        </w:rPr>
        <w:t xml:space="preserve">рации, п.4 ст.93 Федерального закона 05.04.2013 № 44-ФЗ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(далее – Закон № 44-ФЗ) </w:t>
      </w:r>
      <w:r>
        <w:rPr>
          <w:rFonts w:ascii="Times New Roman" w:hAnsi="Times New Roman"/>
          <w:sz w:val="24"/>
          <w:szCs w:val="24"/>
        </w:rPr>
        <w:t xml:space="preserve">с Поставщиком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поставку запасных частей к АРМ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>
        <w:rPr>
          <w:rFonts w:ascii="Times New Roman" w:hAnsi="Times New Roman"/>
          <w:sz w:val="24"/>
          <w:szCs w:val="24"/>
        </w:rPr>
        <w:t xml:space="preserve">состоявшейся (несостоявшейся)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закупочной </w:t>
      </w:r>
      <w:r>
        <w:rPr>
          <w:rFonts w:ascii="Times New Roman" w:hAnsi="Times New Roman"/>
          <w:sz w:val="24"/>
          <w:szCs w:val="24"/>
        </w:rPr>
        <w:t xml:space="preserve">сессии и </w:t>
      </w:r>
      <w:r>
        <w:rPr>
          <w:rFonts w:ascii="Times New Roman" w:hAnsi="Times New Roman"/>
          <w:sz w:val="24"/>
          <w:szCs w:val="24"/>
        </w:rPr>
        <w:t xml:space="preserve">протокола</w:t>
      </w:r>
      <w:r>
        <w:t xml:space="preserve">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на ЕАТ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«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Березка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»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от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___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2026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г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</w:t>
      </w:r>
      <w:r>
        <w:rPr>
          <w:rFonts w:ascii="Times New Roman" w:hAnsi="Times New Roman"/>
          <w:sz w:val="24"/>
          <w:szCs w:val="24"/>
        </w:rPr>
        <w:t xml:space="preserve"> _________.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539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Поставщик обязуется поставить и передать, а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 обязуется принять и оплатить в соответствии с условиями настоящего Контракта на поставку </w:t>
      </w:r>
      <w:r>
        <w:rPr>
          <w:rFonts w:ascii="Times New Roman" w:hAnsi="Times New Roman"/>
          <w:sz w:val="24"/>
          <w:szCs w:val="24"/>
        </w:rPr>
        <w:t xml:space="preserve">запасных частей к АРМ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</w:t>
      </w:r>
      <w:r>
        <w:rPr>
          <w:rFonts w:ascii="Times New Roman" w:hAnsi="Times New Roman"/>
          <w:sz w:val="24"/>
          <w:szCs w:val="24"/>
        </w:rPr>
        <w:t xml:space="preserve">далее по тексту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Товар</w:t>
      </w:r>
      <w:r>
        <w:rPr>
          <w:rFonts w:ascii="Times New Roman" w:hAnsi="Times New Roman"/>
          <w:bCs/>
          <w:sz w:val="24"/>
          <w:szCs w:val="24"/>
        </w:rPr>
        <w:t xml:space="preserve">»</w:t>
      </w:r>
      <w:r>
        <w:rPr>
          <w:rFonts w:ascii="Times New Roman" w:hAnsi="Times New Roman"/>
          <w:bCs/>
          <w:sz w:val="24"/>
          <w:szCs w:val="24"/>
        </w:rPr>
        <w:t xml:space="preserve">).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pStyle w:val="942"/>
        <w:ind w:right="0" w:firstLine="539"/>
        <w:jc w:val="both"/>
        <w:widowControl/>
        <w:tabs>
          <w:tab w:val="left" w:pos="113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1.3. Количество, характеристики и комплектность Товара указываются в Спецификации, являющейся неотъемлемой частью настоящего Контракта (Приложение </w:t>
      </w:r>
      <w:r>
        <w:rPr>
          <w:rFonts w:ascii="Times New Roman" w:hAnsi="Times New Roman" w:cs="Times New Roman"/>
          <w:b w:val="0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b w:val="0"/>
          <w:sz w:val="24"/>
          <w:szCs w:val="24"/>
        </w:rPr>
        <w:t xml:space="preserve">№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1).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Цена и порядок расчетов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>
        <w:rPr>
          <w:rFonts w:ascii="Times New Roman" w:hAnsi="Times New Roman"/>
          <w:sz w:val="24"/>
          <w:szCs w:val="24"/>
        </w:rPr>
        <w:t xml:space="preserve">Цена </w:t>
      </w:r>
      <w:r>
        <w:rPr>
          <w:rFonts w:ascii="Times New Roman" w:hAnsi="Times New Roman"/>
          <w:sz w:val="24"/>
          <w:szCs w:val="24"/>
        </w:rPr>
        <w:t xml:space="preserve">государственного контракта </w:t>
      </w:r>
      <w:r>
        <w:rPr>
          <w:rFonts w:ascii="Times New Roman" w:hAnsi="Times New Roman"/>
          <w:b/>
          <w:sz w:val="24"/>
          <w:szCs w:val="24"/>
        </w:rPr>
        <w:t xml:space="preserve">составляет </w:t>
      </w:r>
      <w:r>
        <w:rPr>
          <w:rFonts w:ascii="Times New Roman" w:hAnsi="Times New Roman"/>
          <w:b/>
          <w:sz w:val="24"/>
          <w:szCs w:val="24"/>
        </w:rPr>
        <w:t xml:space="preserve">_________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 xml:space="preserve">_______</w:t>
      </w:r>
      <w:r>
        <w:rPr>
          <w:rFonts w:ascii="Times New Roman" w:hAnsi="Times New Roman"/>
          <w:b/>
          <w:sz w:val="24"/>
          <w:szCs w:val="24"/>
        </w:rPr>
        <w:t xml:space="preserve">) рублей </w:t>
      </w:r>
      <w:r>
        <w:rPr>
          <w:rFonts w:ascii="Times New Roman" w:hAnsi="Times New Roman"/>
          <w:b/>
          <w:sz w:val="24"/>
          <w:szCs w:val="24"/>
        </w:rPr>
        <w:t xml:space="preserve">___</w:t>
      </w:r>
      <w:r>
        <w:rPr>
          <w:rFonts w:ascii="Times New Roman" w:hAnsi="Times New Roman"/>
          <w:b/>
          <w:sz w:val="24"/>
          <w:szCs w:val="24"/>
        </w:rPr>
        <w:t xml:space="preserve"> копеек</w:t>
      </w:r>
      <w:r>
        <w:rPr>
          <w:rFonts w:ascii="Times New Roman" w:hAnsi="Times New Roman"/>
          <w:sz w:val="24"/>
          <w:szCs w:val="24"/>
        </w:rPr>
        <w:t xml:space="preserve">*</w:t>
      </w:r>
      <w:r>
        <w:rPr>
          <w:rFonts w:ascii="Times New Roman" w:hAnsi="Times New Roman"/>
          <w:b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учетом/без </w:t>
      </w:r>
      <w:r>
        <w:rPr>
          <w:rFonts w:ascii="Times New Roman" w:hAnsi="Times New Roman"/>
          <w:sz w:val="24"/>
          <w:szCs w:val="24"/>
        </w:rPr>
        <w:t xml:space="preserve">НДС </w:t>
      </w:r>
      <w:r>
        <w:rPr>
          <w:rFonts w:ascii="Times New Roman" w:hAnsi="Times New Roman"/>
          <w:sz w:val="24"/>
          <w:szCs w:val="24"/>
        </w:rPr>
        <w:t xml:space="preserve">_____ руб.___ копеек, </w:t>
      </w:r>
      <w:r>
        <w:rPr>
          <w:rFonts w:ascii="Times New Roman" w:hAnsi="Times New Roman"/>
          <w:sz w:val="24"/>
          <w:szCs w:val="24"/>
        </w:rPr>
        <w:t xml:space="preserve">является твердой и изменению не подлежит, за искл</w:t>
      </w:r>
      <w:r>
        <w:rPr>
          <w:rFonts w:ascii="Times New Roman" w:hAnsi="Times New Roman"/>
          <w:sz w:val="24"/>
          <w:szCs w:val="24"/>
        </w:rPr>
        <w:t xml:space="preserve">ючением случаев, установленных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HYPERLINK consultantplus://offline/ref=1500200026D6BE5D07D428757848106DDBA274A394690C956C85A7DD60E4696B61880A5ACDCF8008VEM6A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статьей 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95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акона </w:t>
      </w:r>
      <w:r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 xml:space="preserve">44-ФЗ. Цена контракта установлена по цене, предложенно</w:t>
      </w:r>
      <w:r>
        <w:rPr>
          <w:rFonts w:ascii="Times New Roman" w:hAnsi="Times New Roman"/>
          <w:sz w:val="24"/>
          <w:szCs w:val="24"/>
        </w:rPr>
        <w:t xml:space="preserve">й победителем</w:t>
      </w:r>
      <w:r>
        <w:rPr>
          <w:rFonts w:ascii="Times New Roman" w:hAnsi="Times New Roman"/>
          <w:sz w:val="24"/>
          <w:szCs w:val="24"/>
        </w:rPr>
        <w:t xml:space="preserve">, и включает в себя все расходы, связанные с исполнением настоящего контракта, в том числе: стоимость товара, расходы </w:t>
      </w:r>
      <w:r>
        <w:rPr>
          <w:rFonts w:ascii="Times New Roman" w:hAnsi="Times New Roman"/>
          <w:sz w:val="24"/>
          <w:szCs w:val="24"/>
        </w:rPr>
        <w:t xml:space="preserve">по его</w:t>
      </w:r>
      <w:r>
        <w:rPr>
          <w:rFonts w:ascii="Times New Roman" w:hAnsi="Times New Roman"/>
          <w:sz w:val="24"/>
          <w:szCs w:val="24"/>
        </w:rPr>
        <w:t xml:space="preserve"> упаковке и транспортировке (доставке) товара по адресам Заказчика, погрузо-разгрузочные работы</w:t>
      </w:r>
      <w:r>
        <w:rPr>
          <w:rFonts w:ascii="Times New Roman" w:hAnsi="Times New Roman"/>
          <w:sz w:val="24"/>
          <w:szCs w:val="24"/>
        </w:rPr>
        <w:t xml:space="preserve"> (в том числе укладка на складе Заказчика)</w:t>
      </w:r>
      <w:r>
        <w:rPr>
          <w:rFonts w:ascii="Times New Roman" w:hAnsi="Times New Roman"/>
          <w:sz w:val="24"/>
          <w:szCs w:val="24"/>
        </w:rPr>
        <w:t xml:space="preserve">, уплату таможенных пошлин, налогов и </w:t>
      </w:r>
      <w:r>
        <w:rPr>
          <w:rFonts w:ascii="Times New Roman" w:hAnsi="Times New Roman"/>
          <w:sz w:val="24"/>
          <w:szCs w:val="24"/>
        </w:rPr>
        <w:t xml:space="preserve">других обязательных платежей,</w:t>
      </w:r>
      <w:r>
        <w:rPr>
          <w:rFonts w:ascii="Times New Roman" w:hAnsi="Times New Roman"/>
          <w:sz w:val="24"/>
          <w:szCs w:val="24"/>
        </w:rPr>
        <w:t xml:space="preserve"> и сборов, установленных действующим законодательством.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Предоплата отпускаемых поставщиком товаров не предусмотрена.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Оплата производится по факту поставк</w:t>
      </w:r>
      <w:r>
        <w:rPr>
          <w:rFonts w:ascii="Times New Roman" w:hAnsi="Times New Roman"/>
          <w:sz w:val="24"/>
          <w:szCs w:val="24"/>
        </w:rPr>
        <w:t xml:space="preserve">и товара в соответствии с п.5.1 </w:t>
      </w:r>
      <w:r>
        <w:rPr>
          <w:rFonts w:ascii="Times New Roman" w:hAnsi="Times New Roman"/>
          <w:sz w:val="24"/>
          <w:szCs w:val="24"/>
        </w:rPr>
        <w:t xml:space="preserve">настоящего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2.3. Расчет осуществляется на основании полученных от поставщика счета</w:t>
      </w:r>
      <w:r>
        <w:rPr>
          <w:rFonts w:ascii="Times New Roman" w:hAnsi="Times New Roman"/>
          <w:sz w:val="24"/>
          <w:szCs w:val="24"/>
        </w:rPr>
        <w:t xml:space="preserve">-</w:t>
      </w:r>
      <w:r>
        <w:rPr>
          <w:rFonts w:ascii="Times New Roman" w:hAnsi="Times New Roman"/>
          <w:sz w:val="24"/>
          <w:szCs w:val="24"/>
        </w:rPr>
        <w:t xml:space="preserve">фактуры, накладной</w:t>
      </w:r>
      <w:r>
        <w:rPr>
          <w:rFonts w:ascii="Times New Roman" w:hAnsi="Times New Roman"/>
          <w:sz w:val="24"/>
          <w:szCs w:val="24"/>
        </w:rPr>
        <w:t xml:space="preserve"> (или УПД)</w:t>
      </w:r>
      <w:r>
        <w:rPr>
          <w:rFonts w:ascii="Times New Roman" w:hAnsi="Times New Roman"/>
          <w:sz w:val="24"/>
          <w:szCs w:val="24"/>
        </w:rPr>
        <w:t xml:space="preserve"> и по факту получения товара в полном объеме, подтвержденному подписанным со стороны </w:t>
      </w:r>
      <w:r>
        <w:rPr>
          <w:rFonts w:ascii="Times New Roman" w:hAnsi="Times New Roman"/>
          <w:sz w:val="24"/>
          <w:szCs w:val="24"/>
        </w:rPr>
        <w:t xml:space="preserve">Заказчика Актом приемки товаров, работ, услуг по ф. 0510452 (приложение № 2 к Контракту, далее – Акт). </w:t>
      </w:r>
      <w:r/>
    </w:p>
    <w:p>
      <w:pPr>
        <w:pStyle w:val="925"/>
        <w:ind w:firstLine="709"/>
        <w:jc w:val="both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По факту оказания услуг Заказчиком формируется Акт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</w:t>
      </w:r>
      <w:r>
        <w:rPr>
          <w:rFonts w:ascii="Times New Roman" w:hAnsi="Times New Roman"/>
          <w:sz w:val="24"/>
          <w:szCs w:val="24"/>
        </w:rPr>
        <w:t xml:space="preserve">государственных (муниципальных) учреждений, и методических указаний по их формированию и применению». Сформированный Заказчиком Акт направляется Поставщику для подписания. Поставщик подписывает Акт и направляет его обратно Заказчику в течение 3 (трех) ра</w:t>
      </w:r>
      <w:r>
        <w:rPr>
          <w:rFonts w:ascii="Times New Roman" w:hAnsi="Times New Roman"/>
          <w:sz w:val="24"/>
          <w:szCs w:val="24"/>
        </w:rPr>
        <w:t xml:space="preserve">бочих дней с момента получения Акта.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Оплата производится по безналичному расчету по платежному поручению в течение 10 (десяти) рабочих дней с момента получения счета, счета-фактуры и подписания Заказчиком Акта приемки оказанных услуг в полном объеме, представленных Исполнителем не позднее 5 (п</w:t>
      </w:r>
      <w:r>
        <w:rPr>
          <w:rFonts w:ascii="Times New Roman" w:hAnsi="Times New Roman"/>
          <w:sz w:val="24"/>
          <w:szCs w:val="24"/>
        </w:rPr>
        <w:t xml:space="preserve">яти) рабочих дней с момента оказания услуги. Моментом оплаты считается дата списания денежных средств с расчетного счета Заказчика.</w:t>
      </w:r>
      <w:r/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none"/>
        </w:rPr>
        <w:t xml:space="preserve">Срок предоставления Поставщиком документов, </w:t>
      </w:r>
      <w:r>
        <w:rPr>
          <w:rFonts w:ascii="Times New Roman" w:hAnsi="Times New Roman"/>
          <w:sz w:val="24"/>
          <w:szCs w:val="24"/>
          <w:highlight w:val="none"/>
        </w:rPr>
        <w:t xml:space="preserve">подтверждающих выполнение обязательств по контракту </w:t>
      </w:r>
      <w:r>
        <w:rPr>
          <w:rFonts w:ascii="Times New Roman" w:hAnsi="Times New Roman"/>
          <w:sz w:val="24"/>
          <w:szCs w:val="24"/>
          <w:highlight w:val="none"/>
        </w:rPr>
        <w:t xml:space="preserve">не позднее 5 рабочих дней с момента поставки Товара.</w:t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2.</w:t>
      </w:r>
      <w:r>
        <w:rPr>
          <w:rFonts w:ascii="Times New Roman" w:hAnsi="Times New Roman"/>
          <w:sz w:val="24"/>
          <w:szCs w:val="24"/>
        </w:rPr>
        <w:t xml:space="preserve">4. Форма</w:t>
      </w:r>
      <w:r>
        <w:rPr>
          <w:rFonts w:ascii="Times New Roman" w:hAnsi="Times New Roman"/>
          <w:sz w:val="24"/>
          <w:szCs w:val="24"/>
        </w:rPr>
        <w:t xml:space="preserve"> оплаты – безналичный расчет.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none"/>
        </w:rPr>
        <w:t xml:space="preserve">2.5.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ar-SA"/>
        </w:rPr>
        <w:t xml:space="preserve">Источник финансирования – Федеральный бюджет.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КБК 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32104125440190020242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, 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МПИ 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321.001W0076.19.Э.20661.26</w:t>
      </w:r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  <w:t xml:space="preserve">.</w:t>
      </w:r>
      <w:r/>
      <w:r>
        <w:rPr>
          <w:rFonts w:ascii="Times New Roman" w:hAnsi="Times New Roman" w:eastAsia="Times New Roman" w:cs="Times New Roman"/>
          <w:bCs/>
          <w:sz w:val="24"/>
          <w:szCs w:val="24"/>
          <w:highlight w:val="none"/>
          <w:lang w:eastAsia="ar-SA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</w:t>
      </w:r>
      <w:r>
        <w:rPr>
          <w:rFonts w:ascii="Times New Roman" w:hAnsi="Times New Roman"/>
          <w:sz w:val="24"/>
          <w:szCs w:val="24"/>
        </w:rPr>
        <w:t xml:space="preserve">В соответствии с абзацем 2 и 3 пункта 20(1) постановления Правительства РФ от 09.12.2017 № 1496, в случае если окончание поставки товара (выполнения работы, оказания услуги) согласно условиям </w:t>
      </w:r>
      <w:r>
        <w:rPr>
          <w:rFonts w:ascii="Times New Roman" w:hAnsi="Times New Roman"/>
          <w:sz w:val="24"/>
          <w:szCs w:val="24"/>
        </w:rPr>
        <w:t xml:space="preserve">К</w:t>
      </w:r>
      <w:r>
        <w:rPr>
          <w:rFonts w:ascii="Times New Roman" w:hAnsi="Times New Roman"/>
          <w:sz w:val="24"/>
          <w:szCs w:val="24"/>
        </w:rPr>
        <w:t xml:space="preserve">онтракта приходится на дату с 1 по 20 декабря финансового года включительно, - оплата производится в соответствующем финансовом году в пределах лимитов бюджетных обязательств, доведенных</w:t>
      </w:r>
      <w:r>
        <w:rPr>
          <w:rFonts w:ascii="Times New Roman" w:hAnsi="Times New Roman"/>
          <w:sz w:val="24"/>
          <w:szCs w:val="24"/>
        </w:rPr>
        <w:t xml:space="preserve"> до получателя средств федерального бюджета на указанный финансовый год, и не позднее чем за один рабочий день до окончания этого финансового года либо в очередном финансовом году в пределах лимитов бюджетных обязательств на соответствующий финансовый год.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35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*</w:t>
      </w:r>
      <w:r>
        <w:rPr>
          <w:i/>
          <w:sz w:val="24"/>
          <w:szCs w:val="24"/>
        </w:rPr>
        <w:t xml:space="preserve">В случае если Поставщик освобожден от </w:t>
      </w:r>
      <w:r>
        <w:rPr>
          <w:i/>
          <w:sz w:val="24"/>
          <w:szCs w:val="24"/>
        </w:rPr>
        <w:t xml:space="preserve">уплаты НДС</w:t>
      </w:r>
      <w:r>
        <w:rPr>
          <w:i/>
          <w:sz w:val="24"/>
          <w:szCs w:val="24"/>
        </w:rPr>
        <w:t xml:space="preserve"> необходимо указать на основании чего освобожден от уплаты, в соответствии с данными, представленными Поставщиком.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35"/>
        <w:jc w:val="both"/>
        <w:rPr>
          <w:i/>
          <w:sz w:val="24"/>
          <w:szCs w:val="24"/>
          <w:u w:val="single"/>
        </w:rPr>
      </w:pPr>
      <w:r>
        <w:rPr>
          <w:rStyle w:val="934"/>
          <w:i/>
          <w:sz w:val="24"/>
          <w:szCs w:val="24"/>
        </w:rPr>
        <w:t xml:space="preserve">***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Условие : </w:t>
      </w:r>
      <w:r>
        <w:rPr>
          <w:rFonts w:eastAsia="Calibri"/>
          <w:i/>
          <w:sz w:val="24"/>
          <w:szCs w:val="24"/>
          <w:lang w:eastAsia="en-US"/>
        </w:rPr>
        <w:t xml:space="preserve">об уменьшении суммы, подлежащей уплате заказчиком юридическому лицу или физическому лицу, в том числе зарегистрированному в качестве индивидуального предпринимателя, на размер налогов, сборов и иных обязательных платежей в бюджеты бюджетной системы </w:t>
      </w:r>
      <w:r>
        <w:rPr>
          <w:rFonts w:eastAsia="Calibri"/>
          <w:i/>
          <w:sz w:val="24"/>
          <w:szCs w:val="24"/>
          <w:lang w:eastAsia="en-US"/>
        </w:rPr>
        <w:t xml:space="preserve">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</w:t>
      </w:r>
      <w:r>
        <w:rPr>
          <w:i/>
          <w:sz w:val="24"/>
          <w:szCs w:val="24"/>
          <w:highlight w:val="yellow"/>
          <w:u w:val="single"/>
        </w:rPr>
        <w:t xml:space="preserve"> </w:t>
      </w:r>
      <w:r>
        <w:rPr>
          <w:i/>
          <w:sz w:val="24"/>
          <w:szCs w:val="24"/>
          <w:u w:val="single"/>
        </w:rPr>
      </w:r>
      <w:r>
        <w:rPr>
          <w:i/>
          <w:sz w:val="24"/>
          <w:szCs w:val="24"/>
          <w:u w:val="single"/>
        </w:rPr>
      </w:r>
    </w:p>
    <w:p>
      <w:pPr>
        <w:pStyle w:val="935"/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Срок действия государственного контракта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Срок действия </w:t>
      </w:r>
      <w:r>
        <w:rPr>
          <w:rFonts w:ascii="Times New Roman" w:hAnsi="Times New Roman"/>
          <w:sz w:val="24"/>
          <w:szCs w:val="24"/>
        </w:rPr>
        <w:t xml:space="preserve">К</w:t>
      </w:r>
      <w:r>
        <w:rPr>
          <w:rFonts w:ascii="Times New Roman" w:hAnsi="Times New Roman"/>
          <w:sz w:val="24"/>
          <w:szCs w:val="24"/>
        </w:rPr>
        <w:t xml:space="preserve">онтракта: с момента заключения по </w:t>
      </w:r>
      <w:r>
        <w:rPr>
          <w:rFonts w:ascii="Times New Roman" w:hAnsi="Times New Roman"/>
          <w:sz w:val="24"/>
          <w:szCs w:val="24"/>
        </w:rPr>
        <w:t xml:space="preserve">31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  <w:t xml:space="preserve">08</w:t>
      </w:r>
      <w:r>
        <w:rPr>
          <w:rFonts w:ascii="Times New Roman" w:hAnsi="Times New Roman"/>
          <w:sz w:val="24"/>
          <w:szCs w:val="24"/>
        </w:rPr>
        <w:t xml:space="preserve">.2026</w:t>
      </w:r>
      <w:r>
        <w:rPr>
          <w:rFonts w:ascii="Times New Roman" w:hAnsi="Times New Roman"/>
          <w:sz w:val="24"/>
          <w:szCs w:val="24"/>
        </w:rPr>
        <w:t xml:space="preserve">г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Окончание срока действия Контракта не влечет прекращения неисполненных обязательств Сторон по Контракту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1"/>
        <w:ind w:firstLine="0"/>
        <w:jc w:val="center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Права и обязанности сторон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0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Поставщик обязуется: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4.1.1. Выполнить обязательства, предусмотренные настоящим </w:t>
      </w:r>
      <w:r>
        <w:rPr>
          <w:rFonts w:ascii="Times New Roman" w:hAnsi="Times New Roman" w:cs="Times New Roman"/>
          <w:sz w:val="24"/>
          <w:szCs w:val="24"/>
        </w:rPr>
        <w:t xml:space="preserve">контрактом в</w:t>
      </w:r>
      <w:r>
        <w:rPr>
          <w:rFonts w:ascii="Times New Roman" w:hAnsi="Times New Roman" w:cs="Times New Roman"/>
          <w:sz w:val="24"/>
          <w:szCs w:val="24"/>
        </w:rPr>
        <w:t xml:space="preserve"> полном объеме и надлежащего качества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4.1.2. Поставщик обязан передать Заказчику товар, свободный от прав третьих лиц.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</w:t>
      </w:r>
      <w:r>
        <w:rPr>
          <w:rFonts w:ascii="Times New Roman" w:hAnsi="Times New Roman" w:cs="Times New Roman"/>
          <w:sz w:val="24"/>
          <w:szCs w:val="24"/>
        </w:rPr>
        <w:t xml:space="preserve">3. Поставщик</w:t>
      </w:r>
      <w:r>
        <w:rPr>
          <w:rFonts w:ascii="Times New Roman" w:hAnsi="Times New Roman" w:cs="Times New Roman"/>
          <w:sz w:val="24"/>
          <w:szCs w:val="24"/>
        </w:rPr>
        <w:t xml:space="preserve"> обязан передать товар З</w:t>
      </w:r>
      <w:r>
        <w:rPr>
          <w:rFonts w:ascii="Times New Roman" w:hAnsi="Times New Roman" w:cs="Times New Roman"/>
          <w:sz w:val="24"/>
          <w:szCs w:val="24"/>
        </w:rPr>
        <w:t xml:space="preserve">аказчику в количестве, функциональным характеристикам, по качеству, и сроки, указанные в приложениях к настоящему контракту, а также техническую и иную документацию на товар (сертификаты качества/соответствия, инструкции по эксплуатации, иные документы по </w:t>
      </w:r>
      <w:r>
        <w:rPr>
          <w:rFonts w:ascii="Times New Roman" w:hAnsi="Times New Roman" w:cs="Times New Roman"/>
          <w:sz w:val="24"/>
          <w:szCs w:val="24"/>
        </w:rPr>
        <w:t xml:space="preserve">обслуживанию товара</w:t>
      </w:r>
      <w:r>
        <w:rPr>
          <w:rFonts w:ascii="Times New Roman" w:hAnsi="Times New Roman" w:cs="Times New Roman"/>
          <w:sz w:val="24"/>
          <w:szCs w:val="24"/>
        </w:rPr>
        <w:t xml:space="preserve">).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</w:t>
      </w:r>
      <w:r>
        <w:rPr>
          <w:rFonts w:ascii="Times New Roman" w:hAnsi="Times New Roman" w:cs="Times New Roman"/>
          <w:sz w:val="24"/>
          <w:szCs w:val="24"/>
        </w:rPr>
        <w:t xml:space="preserve">4. Отгрузить</w:t>
      </w:r>
      <w:r>
        <w:rPr>
          <w:rFonts w:ascii="Times New Roman" w:hAnsi="Times New Roman" w:cs="Times New Roman"/>
          <w:sz w:val="24"/>
          <w:szCs w:val="24"/>
        </w:rPr>
        <w:t xml:space="preserve"> товар в надлежащей упаковке, обеспечивающей сохранность товара.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</w:t>
      </w:r>
      <w:r>
        <w:rPr>
          <w:rFonts w:ascii="Times New Roman" w:hAnsi="Times New Roman" w:cs="Times New Roman"/>
          <w:sz w:val="24"/>
          <w:szCs w:val="24"/>
        </w:rPr>
        <w:t xml:space="preserve">5. При</w:t>
      </w:r>
      <w:r>
        <w:rPr>
          <w:rFonts w:ascii="Times New Roman" w:hAnsi="Times New Roman" w:cs="Times New Roman"/>
          <w:sz w:val="24"/>
          <w:szCs w:val="24"/>
        </w:rPr>
        <w:t xml:space="preserve"> обнаружении Заказчиком некомплектного, некачественного товара, или обнаружении в период эксплуатации каких-либо недостатков товара, Поставщик </w:t>
      </w:r>
      <w:r>
        <w:rPr>
          <w:rFonts w:ascii="Times New Roman" w:hAnsi="Times New Roman" w:cs="Times New Roman"/>
          <w:sz w:val="24"/>
          <w:szCs w:val="24"/>
        </w:rPr>
        <w:t xml:space="preserve">обязан за</w:t>
      </w:r>
      <w:r>
        <w:rPr>
          <w:rFonts w:ascii="Times New Roman" w:hAnsi="Times New Roman" w:cs="Times New Roman"/>
          <w:sz w:val="24"/>
          <w:szCs w:val="24"/>
        </w:rPr>
        <w:t xml:space="preserve"> свой счет доукомплектовать товар, устранить недостатки товара в течение 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рабочих дней с момента обнаружения.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4.1.6. Установить гарантийный срок на поставленный товар </w:t>
      </w:r>
      <w:r>
        <w:rPr>
          <w:rFonts w:ascii="Times New Roman" w:hAnsi="Times New Roman" w:cs="Times New Roman"/>
          <w:sz w:val="24"/>
          <w:szCs w:val="24"/>
        </w:rPr>
        <w:t xml:space="preserve">не менее 6 месяцев</w:t>
      </w:r>
      <w:r>
        <w:rPr>
          <w:rFonts w:ascii="Times New Roman" w:hAnsi="Times New Roman" w:cs="Times New Roman"/>
          <w:sz w:val="24"/>
          <w:szCs w:val="24"/>
        </w:rPr>
        <w:t xml:space="preserve">. Срок гарантии исчисляется с момента </w:t>
      </w:r>
      <w:r>
        <w:rPr>
          <w:rFonts w:ascii="Times New Roman" w:hAnsi="Times New Roman" w:cs="Times New Roman"/>
          <w:sz w:val="24"/>
          <w:szCs w:val="24"/>
        </w:rPr>
        <w:t xml:space="preserve">подписания документов о </w:t>
      </w:r>
      <w:r>
        <w:rPr>
          <w:rFonts w:ascii="Times New Roman" w:hAnsi="Times New Roman" w:cs="Times New Roman"/>
          <w:sz w:val="24"/>
          <w:szCs w:val="24"/>
        </w:rPr>
        <w:t xml:space="preserve">приемк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 товара Заказчиком.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4.1.7. При обнаружении в пределах гарантийного срока в поставленном товаре производственных дефектов поставщик обязан заменить такую продукцию в течение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рабочих дней с даты обнаружения дефектов. Расходы по замене, доставке, возврату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товара, производятся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силами и средствами поставщика.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Поставщик вправе: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произвести досрочно, с согласия Заказчика, отгрузку товара в количестве и объеме, предусмотренном спецификацией.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Заказчик обязан: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</w:t>
      </w:r>
      <w:r>
        <w:rPr>
          <w:rFonts w:ascii="Times New Roman" w:hAnsi="Times New Roman" w:cs="Times New Roman"/>
          <w:sz w:val="24"/>
          <w:szCs w:val="24"/>
        </w:rPr>
        <w:t xml:space="preserve">1. Принять</w:t>
      </w:r>
      <w:r>
        <w:rPr>
          <w:rFonts w:ascii="Times New Roman" w:hAnsi="Times New Roman" w:cs="Times New Roman"/>
          <w:sz w:val="24"/>
          <w:szCs w:val="24"/>
        </w:rPr>
        <w:t xml:space="preserve"> и оплатить отгруженный товар в порядке и на условиях, предусмотренных настоящим контрактом.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</w:t>
      </w:r>
      <w:r>
        <w:rPr>
          <w:rFonts w:ascii="Times New Roman" w:hAnsi="Times New Roman" w:cs="Times New Roman"/>
          <w:sz w:val="24"/>
          <w:szCs w:val="24"/>
        </w:rPr>
        <w:t xml:space="preserve">2. Оформить</w:t>
      </w:r>
      <w:r>
        <w:rPr>
          <w:rFonts w:ascii="Times New Roman" w:hAnsi="Times New Roman" w:cs="Times New Roman"/>
          <w:sz w:val="24"/>
          <w:szCs w:val="24"/>
        </w:rPr>
        <w:t xml:space="preserve"> в порядке, установленном настоящим контрактом, Акт приема-передачи товара </w:t>
      </w:r>
      <w:r>
        <w:rPr>
          <w:rFonts w:ascii="Times New Roman" w:hAnsi="Times New Roman" w:cs="Times New Roman"/>
          <w:sz w:val="24"/>
          <w:szCs w:val="24"/>
        </w:rPr>
        <w:t xml:space="preserve">(</w:t>
      </w:r>
      <w:r>
        <w:rPr>
          <w:rFonts w:ascii="Times New Roman" w:hAnsi="Times New Roman" w:cs="Times New Roman"/>
          <w:sz w:val="24"/>
          <w:szCs w:val="24"/>
        </w:rPr>
        <w:t xml:space="preserve"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и передать/направить 2 экз. акта Поставщику для подписания.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Заказчик вправе: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4.4.1.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ривлекать к проверке качества отгруженного товара независимых экспертов или специализированную организацию.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4.4.2. Произвести выборочную пр</w:t>
      </w:r>
      <w:r>
        <w:rPr>
          <w:rFonts w:ascii="Times New Roman" w:hAnsi="Times New Roman" w:cs="Times New Roman"/>
          <w:sz w:val="24"/>
          <w:szCs w:val="24"/>
        </w:rPr>
        <w:t xml:space="preserve">овер</w:t>
      </w:r>
      <w:r>
        <w:rPr>
          <w:rFonts w:ascii="Times New Roman" w:hAnsi="Times New Roman" w:cs="Times New Roman"/>
          <w:sz w:val="24"/>
          <w:szCs w:val="24"/>
        </w:rPr>
        <w:t xml:space="preserve">ку товара. В случае если товар выбранный представителем Заказчика для выборочной приемки товар не будет соответствовать характеристикам, указанным в спецификации к данному контракту, вся партия товара считается несоответствующей и непринятой Заказчиком.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4.4.3. Возвратить отгруженный товар при обнаружении недостатков товара, некомплекта товара при неустранении Поставщиком в согласованные сроки недостатков товара и потребовать от Поставщика полного возмещения убытков, связанных с поставкой такого товара.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4.4.4. </w:t>
      </w:r>
      <w:r>
        <w:rPr>
          <w:rFonts w:ascii="Times New Roman" w:hAnsi="Times New Roman" w:cs="Times New Roman"/>
          <w:sz w:val="24"/>
          <w:szCs w:val="24"/>
        </w:rPr>
        <w:t xml:space="preserve">Принять товар</w:t>
      </w:r>
      <w:r>
        <w:rPr>
          <w:rFonts w:ascii="Times New Roman" w:hAnsi="Times New Roman" w:cs="Times New Roman"/>
          <w:sz w:val="24"/>
          <w:szCs w:val="24"/>
        </w:rPr>
        <w:t xml:space="preserve"> на ответственное хранение в случае недопоставки товара, и/или поставки некомплектного и/или некачественного товара Заказчику. В таком случае Поставщик обязан в течение 5 </w:t>
      </w:r>
      <w:r>
        <w:rPr>
          <w:rFonts w:ascii="Times New Roman" w:hAnsi="Times New Roman" w:cs="Times New Roman"/>
          <w:sz w:val="24"/>
          <w:szCs w:val="24"/>
        </w:rPr>
        <w:t xml:space="preserve">рабочих </w:t>
      </w:r>
      <w:r>
        <w:rPr>
          <w:rFonts w:ascii="Times New Roman" w:hAnsi="Times New Roman" w:cs="Times New Roman"/>
          <w:sz w:val="24"/>
          <w:szCs w:val="24"/>
        </w:rPr>
        <w:t xml:space="preserve">дней вывезти товар.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0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Срок поставки и порядок приемки товара.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Поставка товара</w:t>
      </w:r>
      <w:r>
        <w:rPr>
          <w:rFonts w:ascii="Times New Roman" w:hAnsi="Times New Roman"/>
          <w:color w:val="ff66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осуществляется согласно Спецификации </w:t>
      </w:r>
      <w:r>
        <w:rPr>
          <w:rFonts w:ascii="Times New Roman" w:hAnsi="Times New Roman"/>
          <w:b/>
          <w:sz w:val="24"/>
          <w:szCs w:val="24"/>
        </w:rPr>
        <w:t xml:space="preserve">в течение 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10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(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десяти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) 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календарных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дн</w:t>
      </w:r>
      <w:r>
        <w:rPr>
          <w:rFonts w:ascii="Times New Roman" w:hAnsi="Times New Roman"/>
          <w:b/>
          <w:sz w:val="24"/>
          <w:szCs w:val="24"/>
          <w:highlight w:val="white"/>
        </w:rPr>
        <w:t xml:space="preserve">ей</w:t>
      </w:r>
      <w:r>
        <w:rPr>
          <w:rFonts w:ascii="Times New Roman" w:hAnsi="Times New Roman"/>
          <w:sz w:val="24"/>
          <w:szCs w:val="24"/>
          <w:highlight w:val="white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 момента заключения государственного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0"/>
        <w:ind w:firstLine="709"/>
        <w:jc w:val="both"/>
        <w:spacing w:before="0" w:beforeAutospacing="0" w:after="0" w:afterAutospacing="0"/>
      </w:pPr>
      <w:r>
        <w:t xml:space="preserve">5.2. Поставка товара осуществляется силами и средствами Поставщика на условиях Франко-склад Государственного заказчика, расположенного по адресу: </w:t>
      </w:r>
      <w:r>
        <w:rPr>
          <w:color w:val="000000"/>
        </w:rPr>
        <w:t xml:space="preserve">г. Владивосток, </w:t>
      </w:r>
      <w:r>
        <w:t xml:space="preserve">ул. </w:t>
      </w:r>
      <w:r>
        <w:t xml:space="preserve">Светлан</w:t>
      </w:r>
      <w:r>
        <w:t xml:space="preserve">ская, 72б</w:t>
      </w:r>
      <w:r>
        <w:t xml:space="preserve">.</w:t>
      </w:r>
      <w:r/>
    </w:p>
    <w:p>
      <w:pPr>
        <w:pStyle w:val="940"/>
        <w:ind w:firstLine="709"/>
        <w:jc w:val="both"/>
        <w:spacing w:before="0" w:beforeAutospacing="0" w:after="0" w:afterAutospacing="0"/>
      </w:pPr>
      <w:r>
        <w:t xml:space="preserve">5.3. Поставщик уведомляет </w:t>
      </w:r>
      <w:r>
        <w:t xml:space="preserve">З</w:t>
      </w:r>
      <w:r>
        <w:t xml:space="preserve">аказчика о поступлении в его адрес Товара не менее чем за 1 (один) рабочий день до момента поставки Товара.</w:t>
      </w:r>
      <w:r/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5.4. Поставщик представляет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З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аказчику товарные накладные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(или УПД)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Акт приема-передачи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 счета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(счета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-фактуры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)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за поставленный в его адрес Товар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не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позднее 5 (пяти) рабочих дней со дня поставки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5.5. Передача Товара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З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аказчику осуществляется в соответствии с товар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но-сопроводительными документами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 счетами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(счетами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-фактурами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)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, подписываемыми уполномоченными представителями Сторон настоящего Контракта.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5.6. Переход к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З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аказчику права собственности на Товар, а также рисков утраты либо повреждения Товара происходит в момент подписания Заказчиком, указанных в п.5.4 и п. 5.7 настоящего Контракта документов в совокупности.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5.7. Поставщик (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уполномоченный представитель Поставщика)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редает товар непосредственно представителю Заказчика. По факту поставки составляется Заказчиком Акта приема-передачи в полном объеме.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5.8. Поставка (передача) товара по адрес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, указанн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м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 в п.5.2 настоящего Контракта, через другие организации, расположенные в здании (и/или их должностных лиц) не допускается.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5.9. Товар принимается к приемке в полном объеме, т.е. в том количестве, которое указано </w:t>
      </w:r>
      <w:r>
        <w:rPr>
          <w:rFonts w:ascii="Times New Roman" w:hAnsi="Times New Roman" w:cs="Times New Roman"/>
          <w:sz w:val="24"/>
          <w:szCs w:val="24"/>
        </w:rPr>
        <w:t xml:space="preserve">в Приложении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1. Частичная поставка Контрактом не предусмотрена. В случае частичной поставки товара Акт представителем Заказчиком не подписывается. Товар считается не поставленным в полном объеме.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 Приемка товара осуществляется в 2 этапа: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Внешний осмотр целостности упаковки и сверка количества товара, с указанным Заказчиком в Приложении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к контракту.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Определение (сверка) качества товара (соответствие параметров/характеристик) с указанным Заказчиком </w:t>
      </w:r>
      <w:r>
        <w:rPr>
          <w:rFonts w:ascii="Times New Roman" w:hAnsi="Times New Roman" w:cs="Times New Roman"/>
          <w:sz w:val="24"/>
          <w:szCs w:val="24"/>
        </w:rPr>
        <w:t xml:space="preserve">в Спецификации</w:t>
      </w:r>
      <w:r>
        <w:rPr>
          <w:rFonts w:ascii="Times New Roman" w:hAnsi="Times New Roman" w:cs="Times New Roman"/>
          <w:sz w:val="24"/>
          <w:szCs w:val="24"/>
        </w:rPr>
        <w:t xml:space="preserve"> к контракту.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5.11. Представитель Заказчика вправе произвест</w:t>
      </w:r>
      <w:r>
        <w:rPr>
          <w:rFonts w:ascii="Times New Roman" w:hAnsi="Times New Roman" w:cs="Times New Roman"/>
          <w:sz w:val="24"/>
          <w:szCs w:val="24"/>
        </w:rPr>
        <w:t xml:space="preserve">и частичную выборку товара для определения качества/работоспособности поставленного товара. В случае если товар при такой проверке признан Заказчиком не годным для работы по назначению – вся партия такого товара признается не годной, не подлежащей приемке.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5.12. В случае обнаружения дефектов в Товаре при его приёмке представитель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аказчика уведомляет Поставщика о выявленных дефектах и вместе с представителем Поставщика составляет и подписывает Акт с подробным указанием </w:t>
      </w:r>
      <w:r>
        <w:rPr>
          <w:rFonts w:ascii="Times New Roman" w:hAnsi="Times New Roman"/>
          <w:color w:val="000000"/>
          <w:sz w:val="24"/>
          <w:szCs w:val="24"/>
        </w:rPr>
        <w:t xml:space="preserve">дефектов. </w:t>
      </w:r>
      <w:r>
        <w:rPr>
          <w:rFonts w:ascii="Times New Roman" w:hAnsi="Times New Roman"/>
          <w:sz w:val="24"/>
          <w:szCs w:val="24"/>
        </w:rPr>
        <w:t xml:space="preserve">Поставщик обязан за свой счет заменить, доукомплектовать Товар, устранить недостатки Товара в течение 3 (трех) </w:t>
      </w:r>
      <w:r>
        <w:rPr>
          <w:rFonts w:ascii="Times New Roman" w:hAnsi="Times New Roman"/>
          <w:sz w:val="24"/>
          <w:szCs w:val="24"/>
        </w:rPr>
        <w:t xml:space="preserve">рабочих</w:t>
      </w:r>
      <w:r>
        <w:rPr>
          <w:rFonts w:ascii="Times New Roman" w:hAnsi="Times New Roman"/>
          <w:sz w:val="24"/>
          <w:szCs w:val="24"/>
        </w:rPr>
        <w:t xml:space="preserve"> дней с момента обнаружения.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5.13. Срок приемки Заказчиком Товара не может превышать</w:t>
      </w:r>
      <w:r>
        <w:rPr>
          <w:rFonts w:ascii="Times New Roman" w:hAnsi="Times New Roman"/>
          <w:sz w:val="24"/>
          <w:szCs w:val="24"/>
        </w:rPr>
        <w:t xml:space="preserve"> 15 (пятнадцат</w:t>
      </w:r>
      <w:r>
        <w:rPr>
          <w:rFonts w:ascii="Times New Roman" w:hAnsi="Times New Roman"/>
          <w:sz w:val="24"/>
          <w:szCs w:val="24"/>
        </w:rPr>
        <w:t xml:space="preserve">ь</w:t>
      </w:r>
      <w:r>
        <w:rPr>
          <w:rFonts w:ascii="Times New Roman" w:hAnsi="Times New Roman"/>
          <w:sz w:val="24"/>
          <w:szCs w:val="24"/>
        </w:rPr>
        <w:t xml:space="preserve">) рабочих дней со дня поставки и предоставления сопроводительных документов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Ответственность сторон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</w:t>
      </w: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. В случае неисполнения или ненадлежащего исполнения своих обязательств по настоящему контракту стороны несут ответственность в соответствии с действующим законодательством Российской Федерации.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Размеры штрафов устанавливаются контрактом в порядке, предусмотренном правилами, утвержденными Постановлением Правительства РФ от 30 августа 2017 г. № 1042: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</w:t>
      </w:r>
      <w:r>
        <w:rPr>
          <w:rFonts w:ascii="Times New Roman" w:hAnsi="Times New Roman"/>
          <w:sz w:val="24"/>
          <w:szCs w:val="24"/>
        </w:rPr>
        <w:t xml:space="preserve">2</w:t>
      </w:r>
      <w:r>
        <w:rPr>
          <w:rFonts w:ascii="Times New Roman" w:hAnsi="Times New Roman"/>
          <w:sz w:val="24"/>
          <w:szCs w:val="24"/>
        </w:rPr>
        <w:t xml:space="preserve">. Пеня начисляется за кажды</w:t>
      </w:r>
      <w:r>
        <w:rPr>
          <w:rFonts w:ascii="Times New Roman" w:hAnsi="Times New Roman"/>
          <w:sz w:val="24"/>
          <w:szCs w:val="24"/>
        </w:rPr>
        <w:t xml:space="preserve">й день просрочки исполнения поставщиком (подрядчиком, исполнителем)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и устанавливается контрактом в размере </w:t>
      </w:r>
      <w:r>
        <w:rPr>
          <w:rFonts w:ascii="Times New Roman" w:hAnsi="Times New Roman"/>
          <w:sz w:val="24"/>
          <w:szCs w:val="24"/>
        </w:rPr>
        <w:t xml:space="preserve">одной трехсотой действующей на дату уплаты пени ключевой ставки Центрального банка Российской Федерации от цены контракта, уменьшенной на сумму, пропорциональную объему обязательств, предусмотренных контрактом и фактически исполненных поставщиком (подрядчи</w:t>
      </w:r>
      <w:r>
        <w:rPr>
          <w:rFonts w:ascii="Times New Roman" w:hAnsi="Times New Roman"/>
          <w:sz w:val="24"/>
          <w:szCs w:val="24"/>
        </w:rPr>
        <w:t xml:space="preserve">ком, исполнителем), за исключением случаев, если законодательством Российской Федерации установлен иной порядок начисления пени.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</w:t>
      </w:r>
      <w:r>
        <w:rPr>
          <w:rFonts w:ascii="Times New Roman" w:hAnsi="Times New Roman"/>
          <w:sz w:val="24"/>
          <w:szCs w:val="24"/>
        </w:rPr>
        <w:t xml:space="preserve">3</w:t>
      </w:r>
      <w:r>
        <w:rPr>
          <w:rFonts w:ascii="Times New Roman" w:hAnsi="Times New Roman"/>
          <w:sz w:val="24"/>
          <w:szCs w:val="24"/>
        </w:rPr>
        <w:t xml:space="preserve">. Общая сумма начисленной неустойки (штрафов, пени) за неисполнение или ненадлежащее исполнение поставщиком (подрядчиком, исполнителем) обязательств, предусмотренных контрактом, не может превышать цену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</w:t>
      </w:r>
      <w:r>
        <w:rPr>
          <w:rFonts w:ascii="Times New Roman" w:hAnsi="Times New Roman"/>
          <w:sz w:val="24"/>
          <w:szCs w:val="24"/>
        </w:rPr>
        <w:t xml:space="preserve">4</w:t>
      </w:r>
      <w:r>
        <w:rPr>
          <w:rFonts w:ascii="Times New Roman" w:hAnsi="Times New Roman"/>
          <w:sz w:val="24"/>
          <w:szCs w:val="24"/>
        </w:rPr>
        <w:t xml:space="preserve">. Общая сумма начисленной неустойки (штрафов, пени) за ненадлежащее исполнение Заказчиком обязательств, предусмотренных контрактом, не может превышать цену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</w:t>
      </w:r>
      <w:r>
        <w:rPr>
          <w:rFonts w:ascii="Times New Roman" w:hAnsi="Times New Roman"/>
          <w:sz w:val="24"/>
          <w:szCs w:val="24"/>
        </w:rPr>
        <w:t xml:space="preserve">5</w:t>
      </w:r>
      <w:r>
        <w:rPr>
          <w:rFonts w:ascii="Times New Roman" w:hAnsi="Times New Roman"/>
          <w:sz w:val="24"/>
          <w:szCs w:val="24"/>
        </w:rPr>
        <w:t xml:space="preserve">. Сторона освобождается от уплаты неустойки (штрафа, пени), если докажет, что неисполнение или ненадлежащее исполнение обязательства, предусмотренного настоящим Контрактом, произошло вследствие непреодолимой силы или по вине другой стороны.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Порядок разрешения споров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 </w:t>
      </w:r>
      <w:r>
        <w:rPr>
          <w:rFonts w:ascii="Times New Roman" w:hAnsi="Times New Roman"/>
          <w:sz w:val="24"/>
          <w:szCs w:val="24"/>
        </w:rPr>
        <w:t xml:space="preserve">Споры, возникшие между сторонами при исполнении государственного контракта, разрешаются путем переговоров, а при недостижении согласия – в Арбитражном суде Приморского края.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</w:t>
      </w:r>
      <w:r>
        <w:rPr>
          <w:rFonts w:ascii="Times New Roman" w:hAnsi="Times New Roman"/>
          <w:sz w:val="24"/>
          <w:szCs w:val="24"/>
        </w:rPr>
        <w:t xml:space="preserve">.2. В случае возникновения между Сторонами споров и разногласий</w:t>
      </w:r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Стороны принимают меры к их урегулированию путём проведения переговоров, основанных на принципе взаимного уважения. Переговоры проводятся в течение 5 (пяти) рабочих дней с момента получения Стороной письменного уведомления от другой Стороны.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</w:t>
      </w:r>
      <w:r>
        <w:rPr>
          <w:rFonts w:ascii="Times New Roman" w:hAnsi="Times New Roman"/>
          <w:sz w:val="24"/>
          <w:szCs w:val="24"/>
        </w:rPr>
        <w:t xml:space="preserve">.3. В случае недостижения согласия по спорному вопросу, в том числе в случае не проведения переговоров в срок, указанный в п.</w:t>
      </w:r>
      <w:r>
        <w:rPr>
          <w:rFonts w:ascii="Times New Roman" w:hAnsi="Times New Roman"/>
          <w:sz w:val="24"/>
          <w:szCs w:val="24"/>
        </w:rPr>
        <w:t xml:space="preserve">7</w:t>
      </w:r>
      <w:r>
        <w:rPr>
          <w:rFonts w:ascii="Times New Roman" w:hAnsi="Times New Roman"/>
          <w:sz w:val="24"/>
          <w:szCs w:val="24"/>
        </w:rPr>
        <w:t xml:space="preserve">.2, спор подлежит рассмотрению в порядке, установленном действующим процессуальным законодательством Российской Федерации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Форс-мажор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8.1. Стороны освобождаются от ответственности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за неисполнение или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ненадлежащее исполнение обязательств по настоящему Контракту, если такое неисполнение явилось следствием обстоятельств непреодолимой силы, возникших после заключения Контракта, в результате событий чрезвычайного характера (пожара, стихийных бедствий, войн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ы, военных операций и т.п.), не позволяющих Сторонам исполнить обязательства по настоящему Контракту, или других непредвиденных обстоятельств, не зависящих от воли Сторон, если эти обстоятельства непосредственно повлияли на исполнение настоящего Контракта.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8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.2. При наступлении условий, указанных в п.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8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.1 настоящего Контракта, срок выполнения Сторонами обязательств по Контракту отодвигается соразмерно времени, в течение которого действуют такие обстоятельства и их последствия.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8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.3. При наступлении обстоятельств, указанных в п.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8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.1, Сторона обязана незамедлительно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уведомить другую Сторону о начале и прекращении действия указанных обстоятельств.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/>
        <w:jc w:val="center"/>
        <w:spacing w:before="120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9. Расторжение контракта в связи с односторонним отказом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9.1.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аказчик вправе принять решение об одностороннем отказе от исполнения контракта в следующих случаях: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если в ходе исполнения контракта установлено, что Поставщик и (или) поставляемый товар не соответствуют установленным извещением об осуществлении закупки и (или) документаци</w:t>
      </w:r>
      <w:r>
        <w:rPr>
          <w:rFonts w:ascii="Times New Roman" w:hAnsi="Times New Roman"/>
          <w:sz w:val="24"/>
          <w:szCs w:val="24"/>
        </w:rPr>
        <w:t xml:space="preserve">ей о закупке требованиям к участникам закупки и (или) поставляемому товару или представил недостоверную информацию о своем соответствии и (или) соответствии поставляемого товара таким требованиям, что позволило ему стать победителем определения Поставщика;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в случае нарушения Поставщиком условий и порядка поставки товара, установленных настоящим Контрактом (гл.5).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в случае, если Заказчиком проведена экспертиза оказанных услуг с привлечением экспертов, экспертных организаций, решение об одностороннем отказе от исполнения контракта может быт</w:t>
      </w:r>
      <w:r>
        <w:rPr>
          <w:rFonts w:ascii="Times New Roman" w:hAnsi="Times New Roman"/>
          <w:sz w:val="24"/>
          <w:szCs w:val="24"/>
        </w:rPr>
        <w:t xml:space="preserve">ь принято заказчиком только при условии, что по результатам экспертизы услуги, в заключении эксперта, экспертной организации будут подтверждены нарушения условий контракта, послужившие основанием для одностороннего отказа заказчика от исполнения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 Решение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аказчика об одностороннем отказе от исполнения контракта </w:t>
      </w:r>
      <w:r>
        <w:rPr>
          <w:rFonts w:ascii="Times New Roman" w:hAnsi="Times New Roman"/>
          <w:sz w:val="24"/>
          <w:szCs w:val="24"/>
        </w:rPr>
        <w:t xml:space="preserve">оформляется в</w:t>
      </w:r>
      <w:r>
        <w:rPr>
          <w:rFonts w:ascii="Times New Roman" w:hAnsi="Times New Roman"/>
          <w:sz w:val="24"/>
          <w:szCs w:val="24"/>
        </w:rPr>
        <w:t xml:space="preserve"> соответствии со ст.</w:t>
      </w:r>
      <w:r>
        <w:rPr>
          <w:rFonts w:ascii="Times New Roman" w:hAnsi="Times New Roman"/>
          <w:sz w:val="24"/>
          <w:szCs w:val="24"/>
        </w:rPr>
        <w:t xml:space="preserve">95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акона №</w:t>
      </w:r>
      <w:r>
        <w:rPr>
          <w:rFonts w:ascii="Times New Roman" w:hAnsi="Times New Roman"/>
          <w:sz w:val="24"/>
          <w:szCs w:val="24"/>
        </w:rPr>
        <w:t xml:space="preserve"> 44-ФЗ.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9.3. Решение об одностороннем расторжении контракта направляется второй стороне по адресу второй стороны, указанному в реквизитах настоящего Контракта, а также телеграммой, либо посредством факсимильной связи, либо по адресу электронной почты.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9.4. Решение 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аказчиком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Поставщика</w:t>
      </w:r>
      <w:r>
        <w:rPr>
          <w:rFonts w:ascii="Times New Roman" w:hAnsi="Times New Roman" w:cs="Times New Roman"/>
          <w:sz w:val="24"/>
          <w:szCs w:val="24"/>
        </w:rPr>
        <w:t xml:space="preserve"> об одностороннем отказе от исполнения Контракта.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4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9.5. Сведения 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Поставщике</w:t>
      </w:r>
      <w:r>
        <w:rPr>
          <w:rFonts w:ascii="Times New Roman" w:hAnsi="Times New Roman" w:cs="Times New Roman"/>
          <w:sz w:val="24"/>
          <w:szCs w:val="24"/>
        </w:rPr>
        <w:t xml:space="preserve">, с которым контракт был расторгнут в связи с односторонним отказом 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аказчика от исполнения Контракта, включаются в установленном </w:t>
      </w:r>
      <w:r>
        <w:rPr>
          <w:rFonts w:ascii="Times New Roman" w:hAnsi="Times New Roman" w:cs="Times New Roman"/>
          <w:sz w:val="24"/>
          <w:szCs w:val="24"/>
        </w:rPr>
        <w:t xml:space="preserve">З</w:t>
      </w:r>
      <w:r>
        <w:rPr>
          <w:rFonts w:ascii="Times New Roman" w:hAnsi="Times New Roman" w:cs="Times New Roman"/>
          <w:sz w:val="24"/>
          <w:szCs w:val="24"/>
        </w:rPr>
        <w:t xml:space="preserve">аконом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44-ФЗ порядке в реестр недобросовестных Поставщиков.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9.6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Поставщик</w:t>
      </w:r>
      <w:r>
        <w:rPr>
          <w:rFonts w:ascii="Times New Roman" w:hAnsi="Times New Roman"/>
          <w:bCs/>
          <w:sz w:val="24"/>
          <w:szCs w:val="24"/>
        </w:rPr>
        <w:t xml:space="preserve"> вправе принять решение об одностороннем отказе от исполнения контракта в следующих случаях: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в случае нарушения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аказчиком сроков приемки результата работ, установленных настоящим Контрактом более чем на 5 рабочих дней.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в случае нарушения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sz w:val="24"/>
          <w:szCs w:val="24"/>
        </w:rPr>
        <w:t xml:space="preserve">аказчиком срока оплаты оказанных услуг более чем на 5 рабочих дней.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Решение об одностороннем расторжении Контракта должно содержать дату п</w:t>
      </w:r>
      <w:r>
        <w:rPr>
          <w:rFonts w:ascii="Times New Roman" w:hAnsi="Times New Roman"/>
          <w:sz w:val="24"/>
          <w:szCs w:val="24"/>
        </w:rPr>
        <w:t xml:space="preserve">ринятия такого решения, причину принятия решения с указанием положений настоящего Контракта, которые были нарушены второй стороной, а также подпись лица, имеющего право действовать от имени стороны, принявшей решение об одностороннем расторжении Контракта.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9.7.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Поставщик</w:t>
      </w:r>
      <w:r>
        <w:rPr>
          <w:rFonts w:ascii="Times New Roman" w:hAnsi="Times New Roman"/>
          <w:bCs/>
          <w:sz w:val="24"/>
          <w:szCs w:val="24"/>
        </w:rPr>
        <w:t xml:space="preserve"> не вправе принять решение об одностороннем расторжении настоящего Контракта, если </w:t>
      </w:r>
      <w:r>
        <w:rPr>
          <w:rFonts w:ascii="Times New Roman" w:hAnsi="Times New Roman"/>
          <w:sz w:val="24"/>
          <w:szCs w:val="24"/>
        </w:rPr>
        <w:t xml:space="preserve">З</w:t>
      </w:r>
      <w:r>
        <w:rPr>
          <w:rFonts w:ascii="Times New Roman" w:hAnsi="Times New Roman"/>
          <w:bCs/>
          <w:sz w:val="24"/>
          <w:szCs w:val="24"/>
        </w:rPr>
        <w:t xml:space="preserve">аказчиком не нарушаются условия настоящего Контракта.</w:t>
      </w:r>
      <w:r>
        <w:rPr>
          <w:rFonts w:ascii="Times New Roman" w:hAnsi="Times New Roman"/>
          <w:bCs/>
          <w:sz w:val="24"/>
          <w:szCs w:val="24"/>
        </w:rPr>
      </w:r>
      <w:r>
        <w:rPr>
          <w:rFonts w:ascii="Times New Roman" w:hAnsi="Times New Roman"/>
          <w:bCs/>
          <w:sz w:val="24"/>
          <w:szCs w:val="24"/>
        </w:rPr>
      </w:r>
    </w:p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2"/>
        <w:ind w:right="0"/>
        <w:jc w:val="center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10.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Заключительные положения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</w:t>
      </w:r>
      <w:r>
        <w:rPr>
          <w:rFonts w:ascii="Times New Roman" w:hAnsi="Times New Roman"/>
          <w:sz w:val="24"/>
          <w:szCs w:val="24"/>
        </w:rPr>
        <w:t xml:space="preserve">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Государственный контракт заключен сторонами в форме электронного документа путем подписания его электронными подписями на площадке Единого агрегатора торговли </w:t>
      </w: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Березка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 (ЕАТ)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.2. Все изменения, дополнения и приложения к настоящему Контракту после его заключения действительны лишь в случае, если они совершены посредством ЕАТ, ЭДО или в письменной форме, подписаны уполномоченными на то представителями Сторон и скреплены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печатями Сторон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.3. Все уведомления и сообщения, направляемые в соответствии с настоящим Контрактом или в связи с ним, должны быть составлены в письменной форме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с отправлением по почте в адреса Сторон либо по электронной почте, указанной в реквизитах настоящего контракта или по иным каналам электронных средств связи, позволяющих фиксировать получение сообщений.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4. При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исполнении контракта перемена Поставщика не допускается, за исключением случаев, предусмотренных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З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аконом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№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44-ФЗ.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42"/>
        <w:ind w:right="0" w:firstLine="709"/>
        <w:jc w:val="both"/>
        <w:widowControl/>
        <w:tabs>
          <w:tab w:val="left" w:pos="1701" w:leader="none"/>
        </w:tabs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.5. Во всем остальном, не предусмотренном настоящим контрактом, стороны будут руководствоваться действующим законодательством Российской Федерации.</w:t>
      </w:r>
      <w:r>
        <w:rPr>
          <w:rFonts w:ascii="Times New Roman" w:hAnsi="Times New Roman" w:cs="Times New Roman"/>
          <w:b w:val="0"/>
          <w:sz w:val="24"/>
          <w:szCs w:val="24"/>
        </w:rPr>
      </w:r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0</w:t>
      </w:r>
      <w:r>
        <w:rPr>
          <w:rFonts w:ascii="Times New Roman" w:hAnsi="Times New Roman"/>
          <w:sz w:val="24"/>
          <w:szCs w:val="24"/>
        </w:rPr>
        <w:t xml:space="preserve">.6. К настоящему </w:t>
      </w:r>
      <w:r>
        <w:rPr>
          <w:rFonts w:ascii="Times New Roman" w:hAnsi="Times New Roman"/>
          <w:sz w:val="24"/>
          <w:szCs w:val="24"/>
        </w:rPr>
        <w:t xml:space="preserve">К</w:t>
      </w:r>
      <w:r>
        <w:rPr>
          <w:rFonts w:ascii="Times New Roman" w:hAnsi="Times New Roman"/>
          <w:sz w:val="24"/>
          <w:szCs w:val="24"/>
        </w:rPr>
        <w:t xml:space="preserve">онтракту прилагаются</w:t>
      </w:r>
      <w:r>
        <w:rPr>
          <w:rFonts w:ascii="Times New Roman" w:hAnsi="Times New Roman"/>
          <w:sz w:val="24"/>
          <w:szCs w:val="24"/>
        </w:rPr>
        <w:t xml:space="preserve"> и являются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неотъемлемой частью Ко</w:t>
      </w:r>
      <w:r>
        <w:rPr>
          <w:rFonts w:ascii="Times New Roman" w:hAnsi="Times New Roman"/>
          <w:sz w:val="24"/>
          <w:szCs w:val="24"/>
        </w:rPr>
        <w:t xml:space="preserve">нтракта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Приложение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 – Техническое задание (</w:t>
      </w:r>
      <w:r>
        <w:rPr>
          <w:rFonts w:ascii="Times New Roman" w:hAnsi="Times New Roman"/>
          <w:sz w:val="24"/>
          <w:szCs w:val="24"/>
        </w:rPr>
        <w:t xml:space="preserve">спецификация),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Приложени</w:t>
      </w:r>
      <w:r>
        <w:rPr>
          <w:rFonts w:ascii="Times New Roman" w:hAnsi="Times New Roman"/>
          <w:sz w:val="24"/>
          <w:szCs w:val="24"/>
        </w:rPr>
        <w:t xml:space="preserve">е №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Акт </w:t>
      </w:r>
      <w:r>
        <w:rPr>
          <w:rFonts w:ascii="Times New Roman" w:hAnsi="Times New Roman"/>
          <w:sz w:val="24"/>
          <w:szCs w:val="24"/>
        </w:rPr>
        <w:t xml:space="preserve">приемки товаров, работ, услуг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. Адреса и банковские реквизиты Сторон.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W w:w="9781" w:type="dxa"/>
        <w:tblInd w:w="-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395"/>
        <w:gridCol w:w="645"/>
        <w:gridCol w:w="1056"/>
        <w:gridCol w:w="3683"/>
        <w:gridCol w:w="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1"/>
        </w:trPr>
        <w:tc>
          <w:tcPr>
            <w:gridSpan w:val="3"/>
            <w:tcBorders>
              <w:top w:val="none" w:color="FFFFFF" w:sz="255" w:space="0"/>
              <w:left w:val="none" w:color="FFFFFF" w:sz="255" w:space="0"/>
              <w:bottom w:val="single" w:color="000000" w:sz="6" w:space="0"/>
              <w:right w:val="none" w:color="FFFFFF" w:sz="255" w:space="0"/>
            </w:tcBorders>
            <w:tcW w:w="6096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ЗАКАЗЧИК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FFFFFF" w:sz="255" w:space="0"/>
              <w:left w:val="none" w:color="FFFFFF" w:sz="255" w:space="0"/>
              <w:bottom w:val="single" w:color="000000" w:sz="6" w:space="0"/>
              <w:right w:val="none" w:color="FFFFFF" w:sz="255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ПОСТАВЩИК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Управление Федеральной службы государственной регистрации, кадастра и картографии по Приморскому краю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Название орг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низации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690090, г. Владивосток,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Посьетская, д.48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Юридический адрес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690090, г. Владивосток,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Посьетская, д.48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Почтовый 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рес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0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(423) 2413-413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Телефоны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0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HYPERLINK "mailto:zakupki@r25.rosreestr.ru" </w:instrText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Style w:val="939"/>
                <w:rFonts w:ascii="Times New Roman" w:hAnsi="Times New Roman"/>
                <w:sz w:val="20"/>
                <w:szCs w:val="20"/>
              </w:rPr>
              <w:t xml:space="preserve">zakupki@r25.rosreestr.ru</w:t>
            </w:r>
            <w:r>
              <w:rPr>
                <w:rStyle w:val="939"/>
                <w:rFonts w:ascii="Times New Roman" w:hAnsi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Электронный адрес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2540108490/254001001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ИНН/КПП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t xml:space="preserve">ОКЦ №1 ДГУ БАНКА РОССИИ//УФК по Приморскому краю г. Владивосток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Наименование банка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03211643000000012000,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Л/С 03201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W00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760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Расчётный счёт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40102810545370000012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Корр. счёт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010507002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БИК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74971110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ОКПО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05701000   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ОКТМО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925"/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ОКФС</w: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pStyle w:val="925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</w:r>
          </w:p>
        </w:tc>
      </w:tr>
      <w:tr>
        <w:tblPrEx/>
        <w:trPr>
          <w:gridAfter w:val="1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аместител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руководителя Управления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39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133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39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gridAfter w:val="1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39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_________________/___________/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gridAfter w:val="1"/>
          <w:trHeight w:val="369"/>
        </w:trPr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040" w:type="dxa"/>
            <w:vAlign w:val="top"/>
            <w:textDirection w:val="lrTb"/>
            <w:noWrap w:val="false"/>
          </w:tcPr>
          <w:p>
            <w:pPr>
              <w:pStyle w:val="925"/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39" w:type="dxa"/>
            <w:vAlign w:val="top"/>
            <w:textDirection w:val="lrTb"/>
            <w:noWrap w:val="false"/>
          </w:tcPr>
          <w:p>
            <w:pPr>
              <w:pStyle w:val="92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925"/>
        <w:jc w:val="righ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br w:type="page" w:clear="all"/>
      </w:r>
      <w:r>
        <w:rPr>
          <w:rFonts w:ascii="Times New Roman" w:hAnsi="Times New Roman"/>
          <w:sz w:val="18"/>
          <w:szCs w:val="18"/>
        </w:rPr>
        <w:t xml:space="preserve">П</w:t>
      </w:r>
      <w:r>
        <w:rPr>
          <w:rFonts w:ascii="Times New Roman" w:hAnsi="Times New Roman"/>
          <w:sz w:val="18"/>
          <w:szCs w:val="18"/>
        </w:rPr>
        <w:t xml:space="preserve">риложение №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1</w: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к государственному контракту №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__</w:t>
      </w:r>
      <w:r>
        <w:rPr>
          <w:rFonts w:ascii="Times New Roman" w:hAnsi="Times New Roman"/>
          <w:sz w:val="18"/>
          <w:szCs w:val="18"/>
        </w:rPr>
        <w:t xml:space="preserve">/07</w:t>
      </w:r>
      <w:r>
        <w:rPr>
          <w:rFonts w:ascii="Times New Roman" w:hAnsi="Times New Roman"/>
          <w:sz w:val="18"/>
          <w:szCs w:val="18"/>
        </w:rPr>
        <w:t xml:space="preserve">-26</w:t>
      </w:r>
      <w:r>
        <w:rPr>
          <w:rFonts w:ascii="Times New Roman" w:hAnsi="Times New Roman"/>
          <w:sz w:val="18"/>
          <w:szCs w:val="18"/>
        </w:rPr>
        <w:t xml:space="preserve">-</w:t>
      </w:r>
      <w:r>
        <w:rPr>
          <w:rFonts w:ascii="Times New Roman" w:hAnsi="Times New Roman"/>
          <w:sz w:val="18"/>
          <w:szCs w:val="18"/>
        </w:rPr>
        <w:t xml:space="preserve">Б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от </w:t>
      </w:r>
      <w:r>
        <w:rPr>
          <w:rFonts w:ascii="Times New Roman" w:hAnsi="Times New Roman"/>
          <w:sz w:val="18"/>
          <w:szCs w:val="18"/>
        </w:rPr>
        <w:t xml:space="preserve">«</w:t>
      </w:r>
      <w:r>
        <w:rPr>
          <w:rFonts w:ascii="Times New Roman" w:hAnsi="Times New Roman"/>
          <w:sz w:val="18"/>
          <w:szCs w:val="18"/>
        </w:rPr>
        <w:t xml:space="preserve">___</w:t>
      </w:r>
      <w:r>
        <w:rPr>
          <w:rFonts w:ascii="Times New Roman" w:hAnsi="Times New Roman"/>
          <w:sz w:val="18"/>
          <w:szCs w:val="18"/>
        </w:rPr>
        <w:t xml:space="preserve">»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______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20</w:t>
      </w:r>
      <w:r>
        <w:rPr>
          <w:rFonts w:ascii="Times New Roman" w:hAnsi="Times New Roman"/>
          <w:sz w:val="18"/>
          <w:szCs w:val="18"/>
        </w:rPr>
        <w:t xml:space="preserve">26</w:t>
      </w:r>
      <w:r>
        <w:rPr>
          <w:rFonts w:ascii="Times New Roman" w:hAnsi="Times New Roman"/>
          <w:sz w:val="18"/>
          <w:szCs w:val="18"/>
        </w:rPr>
        <w:t xml:space="preserve">г</w: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925"/>
        <w:jc w:val="center"/>
        <w:keepNext/>
        <w:spacing w:after="0" w:line="240" w:lineRule="auto"/>
        <w:rPr>
          <w:rFonts w:ascii="Times New Roman" w:hAnsi="Times New Roman"/>
          <w:b/>
          <w:bCs/>
          <w:sz w:val="24"/>
          <w:szCs w:val="24"/>
          <w:highlight w:val="none"/>
        </w:rPr>
        <w:outlineLvl w:val="0"/>
      </w:pPr>
      <w:r>
        <w:rPr>
          <w:rFonts w:ascii="Times New Roman" w:hAnsi="Times New Roman"/>
          <w:b/>
          <w:sz w:val="24"/>
          <w:szCs w:val="24"/>
        </w:rPr>
        <w:t xml:space="preserve">С П Е Ц И Ф И К А Ц И Я</w:t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</w:p>
    <w:p>
      <w:pPr>
        <w:jc w:val="center"/>
        <w:keepNext/>
        <w:spacing w:after="0" w:line="240" w:lineRule="auto"/>
        <w:rPr>
          <w:rFonts w:ascii="Times New Roman" w:hAnsi="Times New Roman"/>
          <w:b w:val="0"/>
          <w:bCs w:val="0"/>
          <w:sz w:val="24"/>
          <w:szCs w:val="24"/>
        </w:rPr>
        <w:outlineLvl w:val="0"/>
      </w:pPr>
      <w:r>
        <w:rPr>
          <w:rFonts w:ascii="Times New Roman" w:hAnsi="Times New Roman"/>
          <w:b w:val="0"/>
          <w:bCs w:val="0"/>
          <w:sz w:val="24"/>
          <w:szCs w:val="24"/>
          <w:highlight w:val="none"/>
        </w:rPr>
        <w:t xml:space="preserve">(Техническое задание)</w:t>
      </w:r>
      <w:r>
        <w:rPr>
          <w:rFonts w:ascii="Times New Roman" w:hAnsi="Times New Roman"/>
          <w:b w:val="0"/>
          <w:bCs w:val="0"/>
          <w:sz w:val="24"/>
          <w:szCs w:val="24"/>
        </w:rPr>
      </w:r>
      <w:r>
        <w:rPr>
          <w:rFonts w:ascii="Times New Roman" w:hAnsi="Times New Roman"/>
          <w:b w:val="0"/>
          <w:bCs w:val="0"/>
          <w:sz w:val="24"/>
          <w:szCs w:val="24"/>
        </w:rPr>
      </w:r>
    </w:p>
    <w:p>
      <w:pPr>
        <w:pStyle w:val="925"/>
        <w:jc w:val="center"/>
        <w:keepNext/>
        <w:spacing w:after="0" w:line="240" w:lineRule="auto"/>
        <w:rPr>
          <w:rFonts w:ascii="Times New Roman" w:hAnsi="Times New Roman"/>
          <w:b/>
          <w:sz w:val="24"/>
          <w:szCs w:val="24"/>
        </w:rPr>
        <w:outlineLvl w:val="0"/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t xml:space="preserve">ОКПД2 26.20.40.190</w:t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10101" w:type="dxa"/>
        <w:tblInd w:w="-7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888"/>
        <w:gridCol w:w="5811"/>
        <w:gridCol w:w="1559"/>
        <w:gridCol w:w="1843"/>
      </w:tblGrid>
      <w:tr>
        <w:tblPrEx/>
        <w:trPr>
          <w:trHeight w:val="548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8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PT Serif" w:hAnsi="PT Serif" w:cs="PT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№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811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PT Serif" w:hAnsi="PT Serif" w:cs="PT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Наименование товара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59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57" w:line="264" w:lineRule="auto"/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  <w:highlight w:val="none"/>
              </w:rPr>
              <w:suppressLineNumbers w:val="0"/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Количество,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</w:r>
          </w:p>
          <w:p>
            <w:pPr>
              <w:contextualSpacing w:val="0"/>
              <w:jc w:val="center"/>
              <w:spacing w:before="0" w:after="57" w:line="264" w:lineRule="auto"/>
              <w:rPr>
                <w:rFonts w:ascii="PT Serif" w:hAnsi="PT Serif" w:cs="PT Serif"/>
                <w:b/>
                <w:bCs/>
                <w:color w:val="000000"/>
                <w:sz w:val="20"/>
                <w:szCs w:val="20"/>
              </w:rPr>
              <w:suppressLineNumbers w:val="0"/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  <w:highlight w:val="none"/>
              </w:rPr>
              <w:t xml:space="preserve">шт.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843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PT Serif" w:hAnsi="PT Serif" w:cs="PT Serif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  <w:t xml:space="preserve">Цена, руб.</w:t>
            </w:r>
            <w:r>
              <w:rPr>
                <w:rFonts w:ascii="PT Serif" w:hAnsi="PT Serif" w:eastAsia="PT Serif" w:cs="PT Serif"/>
                <w:b/>
                <w:bCs/>
                <w:color w:val="000000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548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8" w:type="dxa"/>
            <w:vAlign w:val="top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811" w:type="dxa"/>
            <w:vAlign w:val="top"/>
            <w:textDirection w:val="lrTb"/>
            <w:noWrap w:val="false"/>
          </w:tcPr>
          <w:p>
            <w:pPr>
              <w:pStyle w:val="942"/>
              <w:ind w:left="0" w:right="0" w:firstLine="142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Материнская плата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MSI MPG B550 GAMING PLUS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или эквивалент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со следующими характеристиками: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  <w:p>
            <w:pPr>
              <w:pStyle w:val="942"/>
              <w:ind w:right="0" w:firstLine="709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чип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сет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AMD B550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форм-фактор платы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Standard-ATX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сокет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AM4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совместимые ядра процессоров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AMD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Matisse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поддержка памяти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4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-х слотов DIMM DDR4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(д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вухканальный режим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)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поддержка максимального объема памяти – до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128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Г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б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максимальная частота памяти – не менее 3200 МГц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о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сновной разъем питания – 24 pin;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ра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зъем питания процессора – 8-pin;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разъем пита</w:t>
            </w:r>
            <w:bookmarkStart w:id="0" w:name="undefined"/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bookmarkEnd w:id="0"/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ния процессорного охлаждения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pin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количество разъемов M.2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2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поддержка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NVMe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есть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версия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PCI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Express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накопителей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4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.0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версия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PCI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Express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 4.0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количество разъемов PCI Express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x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16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 не менее 1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количество разъемов PCI Express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x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2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количество портов SATA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6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скорость сетевого адаптера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 Гбит/с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  <w:p>
            <w:pPr>
              <w:pStyle w:val="942"/>
              <w:ind w:right="0" w:firstLine="709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а задней панели материн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ской платы должны быть разъёмы: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  <w:p>
            <w:pPr>
              <w:pStyle w:val="942"/>
              <w:ind w:right="0" w:firstLine="709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DisplayPort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не менее 1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HDMI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менее 1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сетевой порт (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RJ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-45)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не менее 1;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PS/2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– не менее 1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USB 2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.0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не менее 4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USB 3.2 Gen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Type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A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не менее 2;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USB 3.2 Gen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Type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A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USB 3.2 Gen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2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Type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C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аналоговые аудио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разъемы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5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линейны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е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вход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ы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, микрофонный вход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)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TOSLINK (S/PDIF оптический)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не менее 1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  <w:p>
            <w:pPr>
              <w:pStyle w:val="942"/>
              <w:ind w:right="0" w:firstLine="709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М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атеринская плата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упакована в картонную коробку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рок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гарантии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36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месяцев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.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942"/>
              <w:ind w:right="0" w:firstLine="709"/>
              <w:jc w:val="both"/>
              <w:widowControl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843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706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8" w:type="dxa"/>
            <w:vAlign w:val="top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W w:w="5811" w:type="dxa"/>
            <w:vAlign w:val="top"/>
            <w:textDirection w:val="lrTb"/>
            <w:noWrap w:val="false"/>
          </w:tcPr>
          <w:p>
            <w:pPr>
              <w:pStyle w:val="942"/>
              <w:ind w:left="0" w:right="0" w:firstLine="142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/>
            <w:bookmarkStart w:id="0" w:name="undefine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Процессор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AMD Ryzen 9 5950X </w:t>
            </w:r>
            <w:bookmarkEnd w:id="0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OEM</w:t>
            </w:r>
            <w:r>
              <w:rPr>
                <w:rFonts w:eastAsia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или эквивалент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со следующими характеристиками: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  <w:p>
            <w:pPr>
              <w:pStyle w:val="942"/>
              <w:ind w:left="0" w:right="0" w:firstLine="142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гнездо процессора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AM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4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количество ядер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16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к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оличество потоков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3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2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техпроцесс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7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нм;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базовая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частота процессора – не менее 3400 МГц;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объём кэша 3-го уровня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6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4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Мб;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двухканальный контроллер памяти – есть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т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ип поддерживаемой памяти – DDR4;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максимально поддерживаемый объем памяти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128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Гб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базовое тепловыделение – не более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105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Вт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интегрированное графическое ядро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нет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  <w:p>
            <w:pPr>
              <w:pStyle w:val="942"/>
              <w:ind w:left="0" w:right="0" w:firstLine="142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С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рок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гарантии – не менее 12 месяцев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.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942"/>
              <w:ind w:right="0" w:firstLine="709"/>
              <w:jc w:val="both"/>
              <w:widowControl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843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85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3</w:t>
            </w:r>
            <w:r>
              <w:rPr>
                <w:color w:val="000000"/>
                <w:lang w:val="en-US"/>
              </w:rPr>
            </w:r>
            <w:r>
              <w:rPr>
                <w:color w:val="00000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811" w:type="dxa"/>
            <w:vAlign w:val="center"/>
            <w:vMerge w:val="restart"/>
            <w:textDirection w:val="lrTb"/>
            <w:noWrap w:val="false"/>
          </w:tcPr>
          <w:p>
            <w:pPr>
              <w:pStyle w:val="942"/>
              <w:ind w:left="0" w:right="0" w:firstLine="142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Кулер для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процессора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ID-COOLING SE-206-XT BLACK</w:t>
            </w:r>
            <w:r>
              <w:rPr>
                <w:rFonts w:eastAsia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или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эквивалент со следующими характеристиками: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  <w:p>
            <w:pPr>
              <w:pStyle w:val="942"/>
              <w:ind w:left="0" w:right="0" w:firstLine="142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т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ип конструкции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башенный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сокет –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AM4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материал основания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медь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материал радиатора – алюминий;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разъем для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подключения вентиляторов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pin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максимальная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скорость вращения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18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00 об/мин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регулировка скорости вращения – автоматическая (PWM);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рассеиваемая мощность – не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менее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250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Вт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максима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льный уровень шума – не более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3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6 дБ;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количество вентиляторов в комплекте – не менее 2; максимальное число устанавливаемых вентиляторов – не менее 2; тип подшипника – гидродинамический;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термопаста в комплекте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в отдельной емкости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.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  <w:p>
            <w:pPr>
              <w:pStyle w:val="942"/>
              <w:ind w:left="0" w:right="0" w:firstLine="142"/>
              <w:jc w:val="both"/>
              <w:widowControl/>
              <w:rPr>
                <w:rFonts w:ascii="Times New Roman" w:hAnsi="Times New Roman" w:cs="Times New Roman"/>
                <w:b/>
                <w:bCs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Кулер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упакован в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картонну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ю коробку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с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рок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гарантии – не менее 24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месяцев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.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942"/>
              <w:ind w:right="0" w:firstLine="709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843" w:type="dxa"/>
            <w:vAlign w:val="center"/>
            <w:vMerge w:val="restart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cantSplit/>
          <w:trHeight w:val="59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88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4</w:t>
            </w:r>
            <w:r>
              <w:rPr>
                <w:color w:val="000000"/>
                <w:lang w:val="en-US"/>
              </w:rPr>
            </w:r>
            <w:r>
              <w:rPr>
                <w:color w:val="000000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5811" w:type="dxa"/>
            <w:vAlign w:val="center"/>
            <w:textDirection w:val="lrTb"/>
            <w:noWrap w:val="false"/>
          </w:tcPr>
          <w:p>
            <w:pPr>
              <w:pStyle w:val="942"/>
              <w:ind w:left="0" w:right="0" w:firstLine="142"/>
              <w:jc w:val="both"/>
              <w:widowControl/>
              <w:rPr>
                <w:rFonts w:ascii="Times New Roman" w:hAnsi="Times New Roman" w:cs="Times New Roman"/>
                <w:b/>
                <w:bCs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Видеокарта MSI GeForce GT 710 Silent LP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или эквивалент со следующими характеристиками: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  <w:p>
            <w:pPr>
              <w:pStyle w:val="942"/>
              <w:ind w:left="0" w:right="0" w:firstLine="142"/>
              <w:jc w:val="both"/>
              <w:widowControl/>
              <w:rPr>
                <w:rFonts w:ascii="Times New Roman" w:hAnsi="Times New Roman" w:cs="Times New Roman"/>
                <w:bCs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нтерфейс подключения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PCIe 2.0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форм-фактор разъема подключения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PCIe x16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потребляемая мощность – не более 19 Вт; тип охлаждения – пассивное; ш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т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атная частота работы видеочипа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954 МГц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о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бъем видеопамяти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– не менее 2 Гб; тип памяти –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GDDR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3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м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аксимальная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пропускная способность памяти 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12 Гбайт/сек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э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ффективная частота памяти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– не менее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1600 МГц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; к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оличество подключаемых одновременно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мониторов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– не менее 2; разъем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HDMI – не менее 1;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разъем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DVI-D – не менее 1;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разъем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VGA (D-Sub) – не менее 1;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версия 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HDMI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– 1.4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 xml:space="preserve">a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  <w:p>
            <w:pPr>
              <w:pStyle w:val="942"/>
              <w:ind w:left="0" w:right="0" w:firstLine="142"/>
              <w:jc w:val="both"/>
              <w:widowControl/>
              <w:rPr>
                <w:rFonts w:ascii="Times New Roman" w:hAnsi="Times New Roman" w:cs="Times New Roman"/>
                <w:b/>
                <w:bCs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Видеокарта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упакована в картонную коробку; срок гарантии – не менее 36 месяцев.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942"/>
              <w:ind w:right="0" w:firstLine="709"/>
              <w:jc w:val="both"/>
              <w:widowControl/>
              <w:rPr>
                <w:rFonts w:ascii="Times New Roman" w:hAnsi="Times New Roman" w:cs="Times New Roman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1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843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pacing w:after="0" w:line="240" w:lineRule="auto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ИТОГО: </w:t>
      </w:r>
      <w:r>
        <w:rPr>
          <w:rFonts w:ascii="Times New Roman" w:hAnsi="Times New Roman"/>
          <w:b/>
          <w:sz w:val="24"/>
          <w:szCs w:val="24"/>
        </w:rPr>
        <w:t xml:space="preserve">______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__________</w:t>
      </w:r>
      <w:r>
        <w:rPr>
          <w:rFonts w:ascii="Times New Roman" w:hAnsi="Times New Roman"/>
          <w:sz w:val="24"/>
          <w:szCs w:val="24"/>
        </w:rPr>
        <w:t xml:space="preserve">)</w:t>
      </w:r>
      <w:r>
        <w:rPr>
          <w:rFonts w:ascii="Times New Roman" w:hAnsi="Times New Roman"/>
          <w:sz w:val="24"/>
          <w:szCs w:val="24"/>
        </w:rPr>
        <w:t xml:space="preserve"> рублей </w:t>
      </w:r>
      <w:r>
        <w:rPr>
          <w:rFonts w:ascii="Times New Roman" w:hAnsi="Times New Roman"/>
          <w:sz w:val="24"/>
          <w:szCs w:val="24"/>
        </w:rPr>
        <w:t xml:space="preserve">__</w:t>
      </w:r>
      <w:r>
        <w:rPr>
          <w:rFonts w:ascii="Times New Roman" w:hAnsi="Times New Roman"/>
          <w:sz w:val="24"/>
          <w:szCs w:val="24"/>
        </w:rPr>
        <w:t xml:space="preserve"> копеек</w:t>
      </w:r>
      <w:r>
        <w:rPr>
          <w:rFonts w:ascii="Times New Roman" w:hAnsi="Times New Roman"/>
          <w:sz w:val="24"/>
          <w:szCs w:val="24"/>
        </w:rPr>
        <w:t xml:space="preserve">, с учетом/без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НДС </w:t>
      </w:r>
      <w:r>
        <w:rPr>
          <w:rFonts w:ascii="Times New Roman" w:hAnsi="Times New Roman"/>
          <w:sz w:val="24"/>
          <w:szCs w:val="24"/>
        </w:rPr>
        <w:t xml:space="preserve">___%</w:t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Место доставки товара:</w:t>
      </w:r>
      <w:r>
        <w:rPr>
          <w:rFonts w:ascii="Times New Roman" w:hAnsi="Times New Roman"/>
          <w:color w:val="000000"/>
          <w:sz w:val="24"/>
          <w:szCs w:val="24"/>
        </w:rPr>
        <w:t xml:space="preserve"> 690091, г. Владивосток, Светланская, д.72б</w:t>
      </w:r>
      <w:r/>
    </w:p>
    <w:p>
      <w:pPr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Срок поставки</w:t>
      </w:r>
      <w:r>
        <w:rPr>
          <w:rFonts w:ascii="Times New Roman" w:hAnsi="Times New Roman"/>
          <w:color w:val="000000"/>
          <w:sz w:val="24"/>
          <w:szCs w:val="24"/>
        </w:rPr>
        <w:t xml:space="preserve"> - 10 календарных дней</w:t>
      </w:r>
      <w:r/>
    </w:p>
    <w:p>
      <w:pPr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отгрузке Товара:</w:t>
      </w:r>
      <w:r>
        <w:rPr>
          <w:rFonts w:ascii="Times New Roman" w:hAnsi="Times New Roman"/>
          <w:color w:val="000000"/>
          <w:sz w:val="24"/>
          <w:szCs w:val="24"/>
        </w:rPr>
        <w:t xml:space="preserve"> Отгрузка и поставка непосредственно на склад Заказчика товара осуществляется силами и средствами Поставщика. </w:t>
      </w:r>
      <w:r/>
    </w:p>
    <w:p>
      <w:pPr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функциональным характеристикам (потребительским свойствам), к качеству товара:</w:t>
      </w:r>
      <w:r>
        <w:rPr>
          <w:rFonts w:ascii="Times New Roman" w:hAnsi="Times New Roman"/>
          <w:color w:val="000000"/>
          <w:sz w:val="24"/>
          <w:szCs w:val="24"/>
        </w:rPr>
        <w:t xml:space="preserve"> Предлагаемые к поставке запасных частей, комплектующих для автоматизированных рабочих мест (АРМ) должны быть новыми, т.е. не использованными ранее, не восстановленны</w:t>
      </w:r>
      <w:r>
        <w:rPr>
          <w:rFonts w:ascii="Times New Roman" w:hAnsi="Times New Roman"/>
          <w:color w:val="000000"/>
          <w:sz w:val="24"/>
          <w:szCs w:val="24"/>
        </w:rPr>
        <w:t xml:space="preserve">ми, не рециклированными, изготовленные производителем с использованием только новых деталей. </w:t>
      </w:r>
      <w:r/>
    </w:p>
    <w:p>
      <w:pPr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упаковке и маркировке товара</w:t>
      </w:r>
      <w:r>
        <w:rPr>
          <w:rFonts w:ascii="Times New Roman" w:hAnsi="Times New Roman"/>
          <w:color w:val="000000"/>
          <w:sz w:val="24"/>
          <w:szCs w:val="24"/>
        </w:rPr>
        <w:t xml:space="preserve">: Каждая единица поставляемого товара должна иметь на заводской упаковке четкое указание наименования, типа, номера (артикула) и характеристики, а также наименования и типы устройств, для использования в которых он п</w:t>
      </w:r>
      <w:r>
        <w:rPr>
          <w:rFonts w:ascii="Times New Roman" w:hAnsi="Times New Roman"/>
          <w:color w:val="000000"/>
          <w:sz w:val="24"/>
          <w:szCs w:val="24"/>
        </w:rPr>
        <w:t xml:space="preserve">редназначен. </w:t>
      </w:r>
      <w:r/>
    </w:p>
    <w:p>
      <w:pPr>
        <w:jc w:val="both"/>
        <w:shd w:val="clear" w:color="auto" w:fill="ffffff"/>
        <w:tabs>
          <w:tab w:val="left" w:pos="720" w:leader="none"/>
        </w:tabs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Условия гарантии:</w:t>
      </w:r>
      <w:r>
        <w:rPr>
          <w:rFonts w:ascii="Times New Roman" w:hAnsi="Times New Roman"/>
          <w:color w:val="000000"/>
          <w:sz w:val="24"/>
          <w:szCs w:val="24"/>
        </w:rPr>
        <w:t xml:space="preserve"> Товар поставляется с показателями надежности, заявленными производителями. Гарантия на поставляемый товар не менее 12 месяцев со дня поставки на склад Заказчика или в пределах ресурса поставляемого товара.</w:t>
      </w:r>
      <w:r/>
    </w:p>
    <w:p>
      <w:pPr>
        <w:jc w:val="both"/>
        <w:shd w:val="clear" w:color="auto" w:fill="ffffff"/>
        <w:tabs>
          <w:tab w:val="left" w:pos="720" w:leader="none"/>
        </w:tabs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безопасности Товара:</w:t>
      </w:r>
      <w:r>
        <w:rPr>
          <w:rFonts w:ascii="Times New Roman" w:hAnsi="Times New Roman"/>
          <w:color w:val="000000"/>
          <w:sz w:val="24"/>
          <w:szCs w:val="24"/>
        </w:rPr>
        <w:t xml:space="preserve"> Товар должен быть пригоден для его использования в условиях офисных помещений и должен соответствовать функциональным характеристикам. Поставляемый товар, при использовании его в работе не должен оказывать вредного воздейст</w:t>
      </w:r>
      <w:r>
        <w:rPr>
          <w:rFonts w:ascii="Times New Roman" w:hAnsi="Times New Roman"/>
          <w:color w:val="000000"/>
          <w:sz w:val="24"/>
          <w:szCs w:val="24"/>
        </w:rPr>
        <w:t xml:space="preserve">вия на окружающую среду и должен быть безопасен для человека.</w:t>
      </w:r>
      <w:r/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925"/>
        <w:jc w:val="both"/>
        <w:spacing w:after="0" w:line="240" w:lineRule="auto"/>
        <w:shd w:val="clear" w:color="auto" w:fill="ffffff"/>
        <w:tabs>
          <w:tab w:val="left" w:pos="720" w:leader="none"/>
        </w:tabs>
        <w:rPr>
          <w:rFonts w:ascii="Times New Roman" w:hAnsi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</w:r>
      <w:r>
        <w:rPr>
          <w:rFonts w:ascii="Times New Roman" w:hAnsi="Times New Roman"/>
          <w:color w:val="000000"/>
          <w:spacing w:val="2"/>
          <w:sz w:val="24"/>
          <w:szCs w:val="24"/>
        </w:rPr>
      </w:r>
      <w:r>
        <w:rPr>
          <w:rFonts w:ascii="Times New Roman" w:hAnsi="Times New Roman"/>
          <w:color w:val="000000"/>
          <w:spacing w:val="2"/>
          <w:sz w:val="24"/>
          <w:szCs w:val="24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24"/>
          <w:szCs w:val="24"/>
        </w:rPr>
        <w:sectPr>
          <w:footerReference w:type="default" r:id="rId10"/>
          <w:footerReference w:type="even" r:id="rId11"/>
          <w:footnotePr/>
          <w:endnotePr/>
          <w:type w:val="nextPage"/>
          <w:pgSz w:w="11900" w:h="16820" w:orient="portrait"/>
          <w:pgMar w:top="851" w:right="843" w:bottom="568" w:left="1418" w:header="720" w:footer="720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Приложение №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2</w:t>
      </w:r>
      <w:r>
        <w:rPr>
          <w:rFonts w:ascii="Times New Roman" w:hAnsi="Times New Roman"/>
          <w:sz w:val="18"/>
          <w:szCs w:val="18"/>
        </w:rPr>
        <w:br w:type="textWrapping" w:clear="all"/>
        <w:t xml:space="preserve">к государственному контракту</w: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№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__</w:t>
      </w:r>
      <w:r>
        <w:rPr>
          <w:rFonts w:ascii="Times New Roman" w:hAnsi="Times New Roman"/>
          <w:sz w:val="18"/>
          <w:szCs w:val="18"/>
        </w:rPr>
        <w:t xml:space="preserve">/07</w:t>
      </w:r>
      <w:r>
        <w:rPr>
          <w:rFonts w:ascii="Times New Roman" w:hAnsi="Times New Roman"/>
          <w:sz w:val="18"/>
          <w:szCs w:val="18"/>
        </w:rPr>
        <w:t xml:space="preserve">-26</w:t>
      </w:r>
      <w:r>
        <w:rPr>
          <w:rFonts w:ascii="Times New Roman" w:hAnsi="Times New Roman"/>
          <w:sz w:val="18"/>
          <w:szCs w:val="18"/>
        </w:rPr>
        <w:t xml:space="preserve">-</w:t>
      </w:r>
      <w:r>
        <w:rPr>
          <w:rFonts w:ascii="Times New Roman" w:hAnsi="Times New Roman"/>
          <w:sz w:val="18"/>
          <w:szCs w:val="18"/>
        </w:rPr>
        <w:t xml:space="preserve">Б</w:t>
      </w:r>
      <w:r>
        <w:rPr>
          <w:rFonts w:ascii="Times New Roman" w:hAnsi="Times New Roman"/>
          <w:sz w:val="18"/>
          <w:szCs w:val="18"/>
        </w:rPr>
        <w:t xml:space="preserve"> от </w:t>
      </w:r>
      <w:r>
        <w:rPr>
          <w:rFonts w:ascii="Times New Roman" w:hAnsi="Times New Roman"/>
          <w:sz w:val="18"/>
          <w:szCs w:val="18"/>
        </w:rPr>
        <w:t xml:space="preserve">«</w:t>
      </w:r>
      <w:r>
        <w:rPr>
          <w:rFonts w:ascii="Times New Roman" w:hAnsi="Times New Roman"/>
          <w:sz w:val="18"/>
          <w:szCs w:val="18"/>
        </w:rPr>
        <w:t xml:space="preserve">___</w:t>
      </w:r>
      <w:r>
        <w:rPr>
          <w:rFonts w:ascii="Times New Roman" w:hAnsi="Times New Roman"/>
          <w:sz w:val="18"/>
          <w:szCs w:val="18"/>
        </w:rPr>
        <w:t xml:space="preserve">»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____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20</w:t>
      </w:r>
      <w:r>
        <w:rPr>
          <w:rFonts w:ascii="Times New Roman" w:hAnsi="Times New Roman"/>
          <w:sz w:val="18"/>
          <w:szCs w:val="18"/>
        </w:rPr>
        <w:t xml:space="preserve">26 </w:t>
      </w:r>
      <w:r>
        <w:rPr>
          <w:rFonts w:ascii="Times New Roman" w:hAnsi="Times New Roman"/>
          <w:sz w:val="18"/>
          <w:szCs w:val="18"/>
        </w:rPr>
        <w:t xml:space="preserve">г.</w:t>
      </w:r>
      <w:r>
        <w:rPr>
          <w:rFonts w:ascii="Times New Roman" w:hAnsi="Times New Roman"/>
          <w:sz w:val="18"/>
          <w:szCs w:val="18"/>
        </w:rPr>
      </w:r>
      <w:r>
        <w:rPr>
          <w:rFonts w:ascii="Times New Roman" w:hAnsi="Times New Roman"/>
          <w:sz w:val="18"/>
          <w:szCs w:val="18"/>
        </w:rPr>
      </w:r>
    </w:p>
    <w:p>
      <w:pPr>
        <w:pStyle w:val="925"/>
        <w:jc w:val="right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925"/>
        <w:jc w:val="center"/>
        <w:rPr>
          <w:b/>
        </w:rPr>
      </w:pPr>
      <w:r>
        <w:rPr>
          <w:b/>
        </w:rPr>
        <w:t xml:space="preserve">Акт приемки товаров, работ, услуг </w:t>
      </w:r>
      <w:r>
        <w:rPr>
          <w:b/>
        </w:rPr>
      </w:r>
      <w:r>
        <w:rPr>
          <w:b/>
        </w:rPr>
      </w:r>
    </w:p>
    <w:p>
      <w:pPr>
        <w:pStyle w:val="925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86755" cy="4641329"/>
                <wp:effectExtent l="6350" t="6350" r="6350" b="635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7978791" name=""/>
                        <pic:cNvPicPr/>
                        <pic:nvPr/>
                      </pic:nvPicPr>
                      <pic:blipFill>
                        <a:blip r:embed="rId14">
                          <a:extLst>
                            <a:ext uri="{96DAC541-7B7A-43D3-8B79-37D633B846F1}">
                              <asvg:svgBlip xmlns:asvg="http://schemas.microsoft.com/office/drawing/2016/SVG/main" r:embed="rId15"/>
                            </a:ext>
                          </a:extLst>
                        </a:blip>
                        <a:stretch/>
                      </pic:blipFill>
                      <pic:spPr bwMode="auto">
                        <a:xfrm flipH="0" flipV="0">
                          <a:off x="0" y="0"/>
                          <a:ext cx="6086755" cy="4641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9.27pt;height:365.46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77842" cy="3349473"/>
                <wp:effectExtent l="6350" t="6350" r="6350" b="635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8311885" name=""/>
                        <pic:cNvPicPr/>
                        <pic:nvPr/>
                      </pic:nvPicPr>
                      <pic:blipFill>
                        <a:blip r:embed="rId16">
                          <a:extLs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/>
                      </pic:blipFill>
                      <pic:spPr bwMode="auto">
                        <a:xfrm flipH="0" flipV="0">
                          <a:off x="0" y="0"/>
                          <a:ext cx="6077841" cy="3349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8.57pt;height:263.74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925"/>
        <w:jc w:val="right"/>
        <w:spacing w:after="0" w:line="240" w:lineRule="auto"/>
        <w:rPr>
          <w:rFonts w:ascii="Times New Roman" w:hAnsi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77620" cy="6261011"/>
                <wp:effectExtent l="6350" t="6350" r="6350" b="6350"/>
                <wp:docPr id="3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2171016" name=""/>
                        <pic:cNvPicPr/>
                        <pic:nvPr/>
                      </pic:nvPicPr>
                      <pic:blipFill>
                        <a:blip r:embed="rId18">
                          <a:extLst>
                            <a:ext uri="{96DAC541-7B7A-43D3-8B79-37D633B846F1}">
                              <asvg:svgBlip xmlns:asvg="http://schemas.microsoft.com/office/drawing/2016/SVG/main" r:embed="rId19"/>
                            </a:ext>
                          </a:extLst>
                        </a:blip>
                        <a:stretch/>
                      </pic:blipFill>
                      <pic:spPr bwMode="auto">
                        <a:xfrm flipH="0" flipV="0">
                          <a:off x="0" y="0"/>
                          <a:ext cx="6177619" cy="62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6.43pt;height:492.99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sectPr>
      <w:headerReference w:type="default" r:id="rId9"/>
      <w:footerReference w:type="default" r:id="rId12"/>
      <w:footerReference w:type="even" r:id="rId13"/>
      <w:footnotePr/>
      <w:endnotePr/>
      <w:type w:val="nextPage"/>
      <w:pgSz w:w="11906" w:h="16838" w:orient="portrait"/>
      <w:pgMar w:top="1134" w:right="850" w:bottom="1134" w:left="1418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PT Serif">
    <w:panose1 w:val="020A0603040505020204"/>
  </w:font>
  <w:font w:name="Courier New">
    <w:panose1 w:val="02070409020205020404"/>
  </w:font>
  <w:font w:name="Mangal">
    <w:panose1 w:val="02040503050406030204"/>
  </w:font>
  <w:font w:name="Tahoma">
    <w:panose1 w:val="020B0604030504040204"/>
  </w:font>
  <w:font w:name="Arial Unicode MS">
    <w:panose1 w:val="020B0604020202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1"/>
      <w:rPr>
        <w:rStyle w:val="933"/>
      </w:rPr>
      <w:framePr w:wrap="around" w:vAnchor="text" w:hAnchor="margin" w:xAlign="right" w:y="1"/>
    </w:pPr>
    <w:r>
      <w:rPr>
        <w:rStyle w:val="933"/>
      </w:rPr>
      <w:fldChar w:fldCharType="begin"/>
    </w:r>
    <w:r>
      <w:rPr>
        <w:rStyle w:val="933"/>
      </w:rPr>
      <w:instrText xml:space="preserve">PAGE  </w:instrText>
    </w:r>
    <w:r>
      <w:rPr>
        <w:rStyle w:val="933"/>
      </w:rPr>
      <w:fldChar w:fldCharType="separate"/>
    </w:r>
    <w:r>
      <w:rPr>
        <w:rStyle w:val="933"/>
      </w:rPr>
      <w:t xml:space="preserve">8</w:t>
    </w:r>
    <w:r>
      <w:rPr>
        <w:rStyle w:val="933"/>
      </w:rPr>
      <w:fldChar w:fldCharType="end"/>
    </w:r>
    <w:r>
      <w:rPr>
        <w:rStyle w:val="933"/>
      </w:rPr>
    </w:r>
    <w:r>
      <w:rPr>
        <w:rStyle w:val="933"/>
      </w:rPr>
    </w:r>
  </w:p>
  <w:p>
    <w:pPr>
      <w:pStyle w:val="931"/>
      <w:ind w:right="36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1"/>
      <w:rPr>
        <w:rStyle w:val="933"/>
      </w:rPr>
      <w:framePr w:wrap="around" w:vAnchor="text" w:hAnchor="margin" w:xAlign="right" w:y="1"/>
    </w:pPr>
    <w:r>
      <w:rPr>
        <w:rStyle w:val="933"/>
      </w:rPr>
      <w:fldChar w:fldCharType="begin"/>
    </w:r>
    <w:r>
      <w:rPr>
        <w:rStyle w:val="933"/>
      </w:rPr>
      <w:instrText xml:space="preserve">PAGE  </w:instrText>
    </w:r>
    <w:r>
      <w:rPr>
        <w:rStyle w:val="933"/>
      </w:rPr>
      <w:fldChar w:fldCharType="end"/>
    </w:r>
    <w:r>
      <w:rPr>
        <w:rStyle w:val="933"/>
      </w:rPr>
    </w:r>
    <w:r>
      <w:rPr>
        <w:rStyle w:val="933"/>
      </w:rPr>
    </w:r>
  </w:p>
  <w:p>
    <w:pPr>
      <w:pStyle w:val="931"/>
      <w:ind w:right="360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1"/>
      <w:rPr>
        <w:rStyle w:val="933"/>
      </w:rPr>
      <w:framePr w:wrap="around" w:vAnchor="text" w:hAnchor="margin" w:xAlign="right" w:y="1"/>
    </w:pPr>
    <w:r>
      <w:rPr>
        <w:rStyle w:val="933"/>
      </w:rPr>
      <w:fldChar w:fldCharType="begin"/>
    </w:r>
    <w:r>
      <w:rPr>
        <w:rStyle w:val="933"/>
      </w:rPr>
      <w:instrText xml:space="preserve">PAGE  </w:instrText>
    </w:r>
    <w:r>
      <w:rPr>
        <w:rStyle w:val="933"/>
      </w:rPr>
      <w:fldChar w:fldCharType="separate"/>
    </w:r>
    <w:r>
      <w:rPr>
        <w:rStyle w:val="933"/>
      </w:rPr>
      <w:t xml:space="preserve">9</w:t>
    </w:r>
    <w:r>
      <w:rPr>
        <w:rStyle w:val="933"/>
      </w:rPr>
      <w:fldChar w:fldCharType="end"/>
    </w:r>
    <w:r>
      <w:rPr>
        <w:rStyle w:val="933"/>
      </w:rPr>
    </w:r>
    <w:r>
      <w:rPr>
        <w:rStyle w:val="933"/>
      </w:rPr>
    </w:r>
  </w:p>
  <w:p>
    <w:pPr>
      <w:pStyle w:val="931"/>
      <w:ind w:right="360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1"/>
      <w:rPr>
        <w:rStyle w:val="933"/>
      </w:rPr>
      <w:framePr w:wrap="around" w:vAnchor="text" w:hAnchor="margin" w:xAlign="right" w:y="1"/>
    </w:pPr>
    <w:r>
      <w:rPr>
        <w:rStyle w:val="933"/>
      </w:rPr>
      <w:fldChar w:fldCharType="begin"/>
    </w:r>
    <w:r>
      <w:rPr>
        <w:rStyle w:val="933"/>
      </w:rPr>
      <w:instrText xml:space="preserve">PAGE  </w:instrText>
    </w:r>
    <w:r>
      <w:rPr>
        <w:rStyle w:val="933"/>
      </w:rPr>
      <w:fldChar w:fldCharType="end"/>
    </w:r>
    <w:r>
      <w:rPr>
        <w:rStyle w:val="933"/>
      </w:rPr>
    </w:r>
    <w:r>
      <w:rPr>
        <w:rStyle w:val="933"/>
      </w:rPr>
    </w:r>
  </w:p>
  <w:p>
    <w:pPr>
      <w:pStyle w:val="931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9"/>
      <w:jc w:val="center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32" w:hanging="1032"/>
      </w:pPr>
    </w:lvl>
    <w:lvl w:ilvl="1">
      <w:start w:val="1"/>
      <w:numFmt w:val="decimal"/>
      <w:isLgl w:val="false"/>
      <w:suff w:val="tab"/>
      <w:lvlText w:val="%1.%2."/>
      <w:lvlJc w:val="left"/>
      <w:pPr>
        <w:ind w:left="1571" w:hanging="10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2110" w:hanging="1032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649" w:hanging="1032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236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775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4674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213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112" w:hanging="180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7">
    <w:name w:val="Heading 1"/>
    <w:basedOn w:val="925"/>
    <w:next w:val="925"/>
    <w:link w:val="74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48">
    <w:name w:val="Heading 1 Char"/>
    <w:link w:val="747"/>
    <w:uiPriority w:val="9"/>
    <w:rPr>
      <w:rFonts w:ascii="Arial" w:hAnsi="Arial" w:eastAsia="Arial" w:cs="Arial"/>
      <w:sz w:val="40"/>
      <w:szCs w:val="40"/>
    </w:rPr>
  </w:style>
  <w:style w:type="paragraph" w:styleId="749">
    <w:name w:val="Heading 2"/>
    <w:basedOn w:val="925"/>
    <w:next w:val="925"/>
    <w:link w:val="75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50">
    <w:name w:val="Heading 2 Char"/>
    <w:link w:val="749"/>
    <w:uiPriority w:val="9"/>
    <w:rPr>
      <w:rFonts w:ascii="Arial" w:hAnsi="Arial" w:eastAsia="Arial" w:cs="Arial"/>
      <w:sz w:val="34"/>
    </w:rPr>
  </w:style>
  <w:style w:type="paragraph" w:styleId="751">
    <w:name w:val="Heading 3"/>
    <w:basedOn w:val="925"/>
    <w:next w:val="925"/>
    <w:link w:val="75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52">
    <w:name w:val="Heading 3 Char"/>
    <w:link w:val="751"/>
    <w:uiPriority w:val="9"/>
    <w:rPr>
      <w:rFonts w:ascii="Arial" w:hAnsi="Arial" w:eastAsia="Arial" w:cs="Arial"/>
      <w:sz w:val="30"/>
      <w:szCs w:val="30"/>
    </w:rPr>
  </w:style>
  <w:style w:type="paragraph" w:styleId="753">
    <w:name w:val="Heading 4"/>
    <w:basedOn w:val="925"/>
    <w:next w:val="925"/>
    <w:link w:val="75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54">
    <w:name w:val="Heading 4 Char"/>
    <w:link w:val="753"/>
    <w:uiPriority w:val="9"/>
    <w:rPr>
      <w:rFonts w:ascii="Arial" w:hAnsi="Arial" w:eastAsia="Arial" w:cs="Arial"/>
      <w:b/>
      <w:bCs/>
      <w:sz w:val="26"/>
      <w:szCs w:val="26"/>
    </w:rPr>
  </w:style>
  <w:style w:type="paragraph" w:styleId="755">
    <w:name w:val="Heading 5"/>
    <w:basedOn w:val="925"/>
    <w:next w:val="925"/>
    <w:link w:val="75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56">
    <w:name w:val="Heading 5 Char"/>
    <w:link w:val="755"/>
    <w:uiPriority w:val="9"/>
    <w:rPr>
      <w:rFonts w:ascii="Arial" w:hAnsi="Arial" w:eastAsia="Arial" w:cs="Arial"/>
      <w:b/>
      <w:bCs/>
      <w:sz w:val="24"/>
      <w:szCs w:val="24"/>
    </w:rPr>
  </w:style>
  <w:style w:type="paragraph" w:styleId="757">
    <w:name w:val="Heading 6"/>
    <w:basedOn w:val="925"/>
    <w:next w:val="925"/>
    <w:link w:val="75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8">
    <w:name w:val="Heading 6 Char"/>
    <w:link w:val="757"/>
    <w:uiPriority w:val="9"/>
    <w:rPr>
      <w:rFonts w:ascii="Arial" w:hAnsi="Arial" w:eastAsia="Arial" w:cs="Arial"/>
      <w:b/>
      <w:bCs/>
      <w:sz w:val="22"/>
      <w:szCs w:val="22"/>
    </w:rPr>
  </w:style>
  <w:style w:type="paragraph" w:styleId="759">
    <w:name w:val="Heading 7"/>
    <w:basedOn w:val="925"/>
    <w:next w:val="925"/>
    <w:link w:val="76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60">
    <w:name w:val="Heading 7 Char"/>
    <w:link w:val="75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61">
    <w:name w:val="Heading 8"/>
    <w:basedOn w:val="925"/>
    <w:next w:val="925"/>
    <w:link w:val="76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62">
    <w:name w:val="Heading 8 Char"/>
    <w:link w:val="761"/>
    <w:uiPriority w:val="9"/>
    <w:rPr>
      <w:rFonts w:ascii="Arial" w:hAnsi="Arial" w:eastAsia="Arial" w:cs="Arial"/>
      <w:i/>
      <w:iCs/>
      <w:sz w:val="22"/>
      <w:szCs w:val="22"/>
    </w:rPr>
  </w:style>
  <w:style w:type="paragraph" w:styleId="763">
    <w:name w:val="Heading 9"/>
    <w:basedOn w:val="925"/>
    <w:next w:val="925"/>
    <w:link w:val="76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4">
    <w:name w:val="Heading 9 Char"/>
    <w:link w:val="763"/>
    <w:uiPriority w:val="9"/>
    <w:rPr>
      <w:rFonts w:ascii="Arial" w:hAnsi="Arial" w:eastAsia="Arial" w:cs="Arial"/>
      <w:i/>
      <w:iCs/>
      <w:sz w:val="21"/>
      <w:szCs w:val="21"/>
    </w:rPr>
  </w:style>
  <w:style w:type="paragraph" w:styleId="765">
    <w:name w:val="List Paragraph"/>
    <w:basedOn w:val="925"/>
    <w:uiPriority w:val="34"/>
    <w:qFormat/>
    <w:pPr>
      <w:contextualSpacing/>
      <w:ind w:left="720"/>
    </w:pPr>
  </w:style>
  <w:style w:type="paragraph" w:styleId="766">
    <w:name w:val="No Spacing"/>
    <w:uiPriority w:val="1"/>
    <w:qFormat/>
    <w:pPr>
      <w:spacing w:before="0" w:after="0" w:line="240" w:lineRule="auto"/>
    </w:pPr>
  </w:style>
  <w:style w:type="paragraph" w:styleId="767">
    <w:name w:val="Title"/>
    <w:basedOn w:val="925"/>
    <w:next w:val="925"/>
    <w:link w:val="76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8">
    <w:name w:val="Title Char"/>
    <w:link w:val="767"/>
    <w:uiPriority w:val="10"/>
    <w:rPr>
      <w:sz w:val="48"/>
      <w:szCs w:val="48"/>
    </w:rPr>
  </w:style>
  <w:style w:type="paragraph" w:styleId="769">
    <w:name w:val="Subtitle"/>
    <w:basedOn w:val="925"/>
    <w:next w:val="925"/>
    <w:link w:val="770"/>
    <w:uiPriority w:val="11"/>
    <w:qFormat/>
    <w:pPr>
      <w:spacing w:before="200" w:after="200"/>
    </w:pPr>
    <w:rPr>
      <w:sz w:val="24"/>
      <w:szCs w:val="24"/>
    </w:rPr>
  </w:style>
  <w:style w:type="character" w:styleId="770">
    <w:name w:val="Subtitle Char"/>
    <w:link w:val="769"/>
    <w:uiPriority w:val="11"/>
    <w:rPr>
      <w:sz w:val="24"/>
      <w:szCs w:val="24"/>
    </w:rPr>
  </w:style>
  <w:style w:type="paragraph" w:styleId="771">
    <w:name w:val="Quote"/>
    <w:basedOn w:val="925"/>
    <w:next w:val="925"/>
    <w:link w:val="772"/>
    <w:uiPriority w:val="29"/>
    <w:qFormat/>
    <w:pPr>
      <w:ind w:left="720" w:right="720"/>
    </w:pPr>
    <w:rPr>
      <w:i/>
    </w:rPr>
  </w:style>
  <w:style w:type="character" w:styleId="772">
    <w:name w:val="Quote Char"/>
    <w:link w:val="771"/>
    <w:uiPriority w:val="29"/>
    <w:rPr>
      <w:i/>
    </w:rPr>
  </w:style>
  <w:style w:type="paragraph" w:styleId="773">
    <w:name w:val="Intense Quote"/>
    <w:basedOn w:val="925"/>
    <w:next w:val="925"/>
    <w:link w:val="77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4">
    <w:name w:val="Intense Quote Char"/>
    <w:link w:val="773"/>
    <w:uiPriority w:val="30"/>
    <w:rPr>
      <w:i/>
    </w:rPr>
  </w:style>
  <w:style w:type="paragraph" w:styleId="775">
    <w:name w:val="Header"/>
    <w:basedOn w:val="925"/>
    <w:link w:val="77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76">
    <w:name w:val="Header Char"/>
    <w:link w:val="775"/>
    <w:uiPriority w:val="99"/>
  </w:style>
  <w:style w:type="paragraph" w:styleId="777">
    <w:name w:val="Footer"/>
    <w:basedOn w:val="925"/>
    <w:link w:val="77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78">
    <w:name w:val="Footer Char"/>
    <w:link w:val="777"/>
    <w:uiPriority w:val="99"/>
  </w:style>
  <w:style w:type="paragraph" w:styleId="779">
    <w:name w:val="Caption"/>
    <w:basedOn w:val="925"/>
    <w:next w:val="925"/>
    <w:link w:val="78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0">
    <w:name w:val="Caption Char"/>
    <w:link w:val="779"/>
    <w:uiPriority w:val="35"/>
    <w:rPr>
      <w:b/>
      <w:bCs/>
      <w:color w:val="4f81bd" w:themeColor="accent1"/>
      <w:sz w:val="18"/>
      <w:szCs w:val="18"/>
    </w:rPr>
  </w:style>
  <w:style w:type="table" w:styleId="78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8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1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1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2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2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2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2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2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2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2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2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2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4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4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4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4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4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7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7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7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7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7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7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7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8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8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8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8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8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8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0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0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0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0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0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07">
    <w:name w:val="Hyperlink"/>
    <w:uiPriority w:val="99"/>
    <w:unhideWhenUsed/>
    <w:rPr>
      <w:color w:val="0000ff" w:themeColor="hyperlink"/>
      <w:u w:val="single"/>
    </w:rPr>
  </w:style>
  <w:style w:type="paragraph" w:styleId="908">
    <w:name w:val="footnote text"/>
    <w:basedOn w:val="925"/>
    <w:link w:val="909"/>
    <w:uiPriority w:val="99"/>
    <w:semiHidden/>
    <w:unhideWhenUsed/>
    <w:pPr>
      <w:spacing w:after="40" w:line="240" w:lineRule="auto"/>
    </w:pPr>
    <w:rPr>
      <w:sz w:val="18"/>
    </w:rPr>
  </w:style>
  <w:style w:type="character" w:styleId="909">
    <w:name w:val="Footnote Text Char"/>
    <w:link w:val="908"/>
    <w:uiPriority w:val="99"/>
    <w:rPr>
      <w:sz w:val="18"/>
    </w:rPr>
  </w:style>
  <w:style w:type="character" w:styleId="910">
    <w:name w:val="footnote reference"/>
    <w:uiPriority w:val="99"/>
    <w:unhideWhenUsed/>
    <w:rPr>
      <w:vertAlign w:val="superscript"/>
    </w:rPr>
  </w:style>
  <w:style w:type="paragraph" w:styleId="911">
    <w:name w:val="endnote text"/>
    <w:basedOn w:val="925"/>
    <w:link w:val="912"/>
    <w:uiPriority w:val="99"/>
    <w:semiHidden/>
    <w:unhideWhenUsed/>
    <w:pPr>
      <w:spacing w:after="0" w:line="240" w:lineRule="auto"/>
    </w:pPr>
    <w:rPr>
      <w:sz w:val="20"/>
    </w:rPr>
  </w:style>
  <w:style w:type="character" w:styleId="912">
    <w:name w:val="Endnote Text Char"/>
    <w:link w:val="911"/>
    <w:uiPriority w:val="99"/>
    <w:rPr>
      <w:sz w:val="20"/>
    </w:rPr>
  </w:style>
  <w:style w:type="character" w:styleId="913">
    <w:name w:val="endnote reference"/>
    <w:uiPriority w:val="99"/>
    <w:semiHidden/>
    <w:unhideWhenUsed/>
    <w:rPr>
      <w:vertAlign w:val="superscript"/>
    </w:rPr>
  </w:style>
  <w:style w:type="paragraph" w:styleId="914">
    <w:name w:val="toc 1"/>
    <w:basedOn w:val="925"/>
    <w:next w:val="925"/>
    <w:uiPriority w:val="39"/>
    <w:unhideWhenUsed/>
    <w:pPr>
      <w:ind w:left="0" w:right="0" w:firstLine="0"/>
      <w:spacing w:after="57"/>
    </w:pPr>
  </w:style>
  <w:style w:type="paragraph" w:styleId="915">
    <w:name w:val="toc 2"/>
    <w:basedOn w:val="925"/>
    <w:next w:val="925"/>
    <w:uiPriority w:val="39"/>
    <w:unhideWhenUsed/>
    <w:pPr>
      <w:ind w:left="283" w:right="0" w:firstLine="0"/>
      <w:spacing w:after="57"/>
    </w:pPr>
  </w:style>
  <w:style w:type="paragraph" w:styleId="916">
    <w:name w:val="toc 3"/>
    <w:basedOn w:val="925"/>
    <w:next w:val="925"/>
    <w:uiPriority w:val="39"/>
    <w:unhideWhenUsed/>
    <w:pPr>
      <w:ind w:left="567" w:right="0" w:firstLine="0"/>
      <w:spacing w:after="57"/>
    </w:pPr>
  </w:style>
  <w:style w:type="paragraph" w:styleId="917">
    <w:name w:val="toc 4"/>
    <w:basedOn w:val="925"/>
    <w:next w:val="925"/>
    <w:uiPriority w:val="39"/>
    <w:unhideWhenUsed/>
    <w:pPr>
      <w:ind w:left="850" w:right="0" w:firstLine="0"/>
      <w:spacing w:after="57"/>
    </w:pPr>
  </w:style>
  <w:style w:type="paragraph" w:styleId="918">
    <w:name w:val="toc 5"/>
    <w:basedOn w:val="925"/>
    <w:next w:val="925"/>
    <w:uiPriority w:val="39"/>
    <w:unhideWhenUsed/>
    <w:pPr>
      <w:ind w:left="1134" w:right="0" w:firstLine="0"/>
      <w:spacing w:after="57"/>
    </w:pPr>
  </w:style>
  <w:style w:type="paragraph" w:styleId="919">
    <w:name w:val="toc 6"/>
    <w:basedOn w:val="925"/>
    <w:next w:val="925"/>
    <w:uiPriority w:val="39"/>
    <w:unhideWhenUsed/>
    <w:pPr>
      <w:ind w:left="1417" w:right="0" w:firstLine="0"/>
      <w:spacing w:after="57"/>
    </w:pPr>
  </w:style>
  <w:style w:type="paragraph" w:styleId="920">
    <w:name w:val="toc 7"/>
    <w:basedOn w:val="925"/>
    <w:next w:val="925"/>
    <w:uiPriority w:val="39"/>
    <w:unhideWhenUsed/>
    <w:pPr>
      <w:ind w:left="1701" w:right="0" w:firstLine="0"/>
      <w:spacing w:after="57"/>
    </w:pPr>
  </w:style>
  <w:style w:type="paragraph" w:styleId="921">
    <w:name w:val="toc 8"/>
    <w:basedOn w:val="925"/>
    <w:next w:val="925"/>
    <w:uiPriority w:val="39"/>
    <w:unhideWhenUsed/>
    <w:pPr>
      <w:ind w:left="1984" w:right="0" w:firstLine="0"/>
      <w:spacing w:after="57"/>
    </w:pPr>
  </w:style>
  <w:style w:type="paragraph" w:styleId="922">
    <w:name w:val="toc 9"/>
    <w:basedOn w:val="925"/>
    <w:next w:val="925"/>
    <w:uiPriority w:val="39"/>
    <w:unhideWhenUsed/>
    <w:pPr>
      <w:ind w:left="2268" w:right="0" w:firstLine="0"/>
      <w:spacing w:after="57"/>
    </w:pPr>
  </w:style>
  <w:style w:type="paragraph" w:styleId="923">
    <w:name w:val="TOC Heading"/>
    <w:uiPriority w:val="39"/>
    <w:unhideWhenUsed/>
  </w:style>
  <w:style w:type="paragraph" w:styleId="924">
    <w:name w:val="table of figures"/>
    <w:basedOn w:val="925"/>
    <w:next w:val="925"/>
    <w:uiPriority w:val="99"/>
    <w:unhideWhenUsed/>
    <w:pPr>
      <w:spacing w:after="0" w:afterAutospacing="0"/>
    </w:pPr>
  </w:style>
  <w:style w:type="paragraph" w:styleId="925" w:default="1">
    <w:name w:val="Normal"/>
    <w:next w:val="925"/>
    <w:link w:val="925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character" w:styleId="926">
    <w:name w:val="Основной шрифт абзаца"/>
    <w:next w:val="926"/>
    <w:link w:val="925"/>
    <w:uiPriority w:val="1"/>
    <w:semiHidden/>
    <w:unhideWhenUsed/>
  </w:style>
  <w:style w:type="table" w:styleId="927">
    <w:name w:val="Обычная таблица"/>
    <w:next w:val="927"/>
    <w:link w:val="925"/>
    <w:uiPriority w:val="99"/>
    <w:semiHidden/>
    <w:unhideWhenUsed/>
    <w:tblPr/>
  </w:style>
  <w:style w:type="numbering" w:styleId="928">
    <w:name w:val="Нет списка"/>
    <w:next w:val="928"/>
    <w:link w:val="925"/>
    <w:uiPriority w:val="99"/>
    <w:semiHidden/>
    <w:unhideWhenUsed/>
  </w:style>
  <w:style w:type="paragraph" w:styleId="929">
    <w:name w:val="Верхний колонтитул"/>
    <w:basedOn w:val="925"/>
    <w:next w:val="929"/>
    <w:link w:val="930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Times New Roman"/>
      <w:sz w:val="20"/>
      <w:szCs w:val="20"/>
      <w:lang w:eastAsia="ru-RU"/>
    </w:rPr>
  </w:style>
  <w:style w:type="character" w:styleId="930">
    <w:name w:val="Верхний колонтитул Знак"/>
    <w:next w:val="930"/>
    <w:link w:val="929"/>
    <w:rPr>
      <w:rFonts w:ascii="Times New Roman" w:hAnsi="Times New Roman" w:eastAsia="Times New Roman"/>
    </w:rPr>
  </w:style>
  <w:style w:type="paragraph" w:styleId="931">
    <w:name w:val="Нижний колонтитул"/>
    <w:basedOn w:val="925"/>
    <w:next w:val="931"/>
    <w:link w:val="932"/>
    <w:uiPriority w:val="99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Times New Roman"/>
      <w:sz w:val="20"/>
      <w:szCs w:val="20"/>
      <w:lang w:eastAsia="ru-RU"/>
    </w:rPr>
  </w:style>
  <w:style w:type="character" w:styleId="932">
    <w:name w:val="Нижний колонтитул Знак"/>
    <w:next w:val="932"/>
    <w:link w:val="931"/>
    <w:uiPriority w:val="99"/>
    <w:rPr>
      <w:rFonts w:ascii="Times New Roman" w:hAnsi="Times New Roman" w:eastAsia="Times New Roman"/>
    </w:rPr>
  </w:style>
  <w:style w:type="character" w:styleId="933">
    <w:name w:val="Номер страницы"/>
    <w:next w:val="933"/>
    <w:link w:val="925"/>
  </w:style>
  <w:style w:type="character" w:styleId="934">
    <w:name w:val="Знак сноски,Знак сноски-FN,Ciae niinee-FN"/>
    <w:next w:val="934"/>
    <w:link w:val="925"/>
    <w:uiPriority w:val="99"/>
    <w:rPr>
      <w:vertAlign w:val="superscript"/>
    </w:rPr>
  </w:style>
  <w:style w:type="paragraph" w:styleId="935">
    <w:name w:val="Текст сноски,Знак2"/>
    <w:basedOn w:val="925"/>
    <w:next w:val="935"/>
    <w:link w:val="936"/>
    <w:pPr>
      <w:spacing w:after="0" w:line="240" w:lineRule="auto"/>
    </w:pPr>
    <w:rPr>
      <w:rFonts w:ascii="Times New Roman" w:hAnsi="Times New Roman" w:eastAsia="Times New Roman"/>
      <w:sz w:val="20"/>
      <w:szCs w:val="20"/>
      <w:lang w:eastAsia="ru-RU"/>
    </w:rPr>
  </w:style>
  <w:style w:type="character" w:styleId="936">
    <w:name w:val="Текст сноски Знак,Знак2 Знак,Знак Знак"/>
    <w:next w:val="936"/>
    <w:link w:val="935"/>
    <w:rPr>
      <w:rFonts w:ascii="Times New Roman" w:hAnsi="Times New Roman" w:eastAsia="Times New Roman"/>
    </w:rPr>
  </w:style>
  <w:style w:type="paragraph" w:styleId="937">
    <w:name w:val="Основной текст,Заг1,BO,ID,body indent,ändrad, ändrad,EHPT,Body Text2,body text,bt,heading_txt,bodytxy2,t,subtitle2,Orig Qstn,Original Question,doc1,Block text,CV Body Text,BODY TEXT,bul,heading3,3 indent,heading31,body text1,3 indent1,heading32"/>
    <w:basedOn w:val="925"/>
    <w:next w:val="937"/>
    <w:link w:val="938"/>
    <w:pPr>
      <w:spacing w:after="120" w:line="240" w:lineRule="auto"/>
    </w:pPr>
    <w:rPr>
      <w:rFonts w:ascii="Times New Roman" w:hAnsi="Times New Roman" w:eastAsia="Times New Roman"/>
      <w:sz w:val="20"/>
      <w:szCs w:val="20"/>
      <w:lang w:eastAsia="ru-RU"/>
    </w:rPr>
  </w:style>
  <w:style w:type="character" w:styleId="938">
    <w:name w:val="Основной текст Знак,Заг1 Знак,BO Знак,ID Знак,body indent Знак,ändrad Знак, ändrad Знак,EHPT Знак,Body Text2 Знак,body text Знак,bt Знак,heading_txt Знак,bodytxy2 Знак,t Знак,subtitle2 Знак,Orig Qstn Знак,Original Question Знак,doc1 Знак,Block text Знак"/>
    <w:next w:val="938"/>
    <w:link w:val="937"/>
    <w:rPr>
      <w:rFonts w:ascii="Times New Roman" w:hAnsi="Times New Roman" w:eastAsia="Times New Roman"/>
    </w:rPr>
  </w:style>
  <w:style w:type="character" w:styleId="939">
    <w:name w:val="Гиперссылка"/>
    <w:next w:val="939"/>
    <w:link w:val="925"/>
    <w:uiPriority w:val="99"/>
    <w:rPr>
      <w:color w:val="0000ff"/>
      <w:u w:val="single"/>
    </w:rPr>
  </w:style>
  <w:style w:type="paragraph" w:styleId="940">
    <w:name w:val="Обычный (веб),Обычный (Web)"/>
    <w:basedOn w:val="925"/>
    <w:next w:val="940"/>
    <w:link w:val="925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941">
    <w:name w:val="ConsPlusNormal"/>
    <w:next w:val="941"/>
    <w:link w:val="943"/>
    <w:qFormat/>
    <w:pPr>
      <w:ind w:firstLine="720"/>
      <w:widowControl w:val="off"/>
    </w:pPr>
    <w:rPr>
      <w:rFonts w:ascii="Arial" w:hAnsi="Arial" w:eastAsia="Times New Roman" w:cs="Arial"/>
      <w:lang w:val="ru-RU" w:eastAsia="ru-RU" w:bidi="ar-SA"/>
    </w:rPr>
  </w:style>
  <w:style w:type="paragraph" w:styleId="942">
    <w:name w:val="ConsTitle"/>
    <w:next w:val="942"/>
    <w:link w:val="925"/>
    <w:pPr>
      <w:ind w:right="19772"/>
      <w:widowControl w:val="off"/>
    </w:pPr>
    <w:rPr>
      <w:rFonts w:ascii="Arial" w:hAnsi="Arial" w:eastAsia="Times New Roman" w:cs="Arial"/>
      <w:b/>
      <w:bCs/>
      <w:sz w:val="16"/>
      <w:szCs w:val="16"/>
      <w:lang w:val="ru-RU" w:eastAsia="ru-RU" w:bidi="ar-SA"/>
    </w:rPr>
  </w:style>
  <w:style w:type="character" w:styleId="943">
    <w:name w:val="ConsPlusNormal Знак"/>
    <w:next w:val="943"/>
    <w:link w:val="941"/>
    <w:rPr>
      <w:rFonts w:ascii="Arial" w:hAnsi="Arial" w:eastAsia="Times New Roman" w:cs="Arial"/>
    </w:rPr>
  </w:style>
  <w:style w:type="paragraph" w:styleId="944">
    <w:name w:val="Текст выноски"/>
    <w:basedOn w:val="925"/>
    <w:next w:val="944"/>
    <w:link w:val="94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45">
    <w:name w:val="Текст выноски Знак"/>
    <w:next w:val="945"/>
    <w:link w:val="944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946" w:default="1">
    <w:name w:val="Default Paragraph Font"/>
    <w:uiPriority w:val="1"/>
    <w:semiHidden/>
    <w:unhideWhenUsed/>
  </w:style>
  <w:style w:type="numbering" w:styleId="947" w:default="1">
    <w:name w:val="No List"/>
    <w:uiPriority w:val="99"/>
    <w:semiHidden/>
    <w:unhideWhenUsed/>
  </w:style>
  <w:style w:type="table" w:styleId="948" w:default="1">
    <w:name w:val="Normal Table"/>
    <w:uiPriority w:val="99"/>
    <w:semiHidden/>
    <w:unhideWhenUsed/>
    <w:tblPr/>
  </w:style>
  <w:style w:type="paragraph" w:styleId="949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Arial Unicode MS" w:cs="Mang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footer" Target="footer4.xml" /><Relationship Id="rId14" Type="http://schemas.openxmlformats.org/officeDocument/2006/relationships/image" Target="media/image1.png"/><Relationship Id="rId15" Type="http://schemas.openxmlformats.org/officeDocument/2006/relationships/image" Target="media/media1.svg"/><Relationship Id="rId16" Type="http://schemas.openxmlformats.org/officeDocument/2006/relationships/image" Target="media/image2.png"/><Relationship Id="rId17" Type="http://schemas.openxmlformats.org/officeDocument/2006/relationships/image" Target="media/media2.svg"/><Relationship Id="rId18" Type="http://schemas.openxmlformats.org/officeDocument/2006/relationships/image" Target="media/image3.png"/><Relationship Id="rId19" Type="http://schemas.openxmlformats.org/officeDocument/2006/relationships/image" Target="media/media3.sv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>Rosreestr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shkurko_gv</cp:lastModifiedBy>
  <cp:revision>13</cp:revision>
  <dcterms:created xsi:type="dcterms:W3CDTF">2024-08-06T01:32:00Z</dcterms:created>
  <dcterms:modified xsi:type="dcterms:W3CDTF">2026-06-26T04:50:36Z</dcterms:modified>
  <cp:version>1048576</cp:version>
</cp:coreProperties>
</file>