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rPr>
      </w:pPr>
      <w:r>
        <w:rPr>
          <w:rFonts w:ascii="Times New Roman" w:hAnsi="Times New Roman"/>
          <w:b/>
        </w:rPr>
        <w:t>ОБОСНОВАНИЕ НАЧАЛЬНОЙ (МАКСИМАЛЬНОЙ) ЦЕНЫ КОНТРАКТА</w:t>
      </w:r>
    </w:p>
    <w:p>
      <w:pPr>
        <w:pStyle w:val="Normal"/>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b/>
          <w:sz w:val="24"/>
          <w:szCs w:val="24"/>
          <w:lang w:eastAsia="zh-CN"/>
        </w:rPr>
        <w:t>на поставку противотуберкулезных и прочих препаратов</w:t>
      </w:r>
    </w:p>
    <w:p>
      <w:pPr>
        <w:pStyle w:val="Normal"/>
        <w:spacing w:lineRule="auto" w:line="240" w:before="0" w:after="0"/>
        <w:ind w:firstLine="851"/>
        <w:jc w:val="center"/>
        <w:rPr>
          <w:rFonts w:ascii="Times New Roman" w:hAnsi="Times New Roman"/>
          <w:b/>
          <w:b/>
        </w:rPr>
      </w:pPr>
      <w:r>
        <w:rPr>
          <w:rFonts w:ascii="Times New Roman" w:hAnsi="Times New Roman"/>
          <w:b/>
        </w:rPr>
      </w:r>
    </w:p>
    <w:p>
      <w:pPr>
        <w:pStyle w:val="Normal"/>
        <w:spacing w:lineRule="auto" w:line="240" w:before="0" w:after="0"/>
        <w:ind w:firstLine="851"/>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Начальная (максимальная) цена контракта (далее - НМЦК) сформирована в соответствии с приказом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pPr>
        <w:pStyle w:val="Normal"/>
        <w:spacing w:lineRule="auto" w:line="240" w:before="0" w:after="0"/>
        <w:ind w:firstLine="851"/>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В связи с тем, что на участие в закупке </w:t>
      </w:r>
      <w:r>
        <w:rPr>
          <w:rFonts w:eastAsia="Calibri" w:cs="Times New Roman" w:ascii="Times New Roman" w:hAnsi="Times New Roman"/>
          <w:color w:val="000000"/>
          <w:sz w:val="24"/>
          <w:szCs w:val="24"/>
          <w:lang w:eastAsia="en-US"/>
        </w:rPr>
        <w:t xml:space="preserve">на </w:t>
      </w:r>
      <w:r>
        <w:rPr>
          <w:rFonts w:eastAsia="Calibri" w:cs="Times New Roman" w:ascii="Times New Roman" w:hAnsi="Times New Roman"/>
          <w:color w:val="000000"/>
          <w:sz w:val="24"/>
          <w:szCs w:val="24"/>
          <w:lang w:val="en-US" w:eastAsia="en-US"/>
        </w:rPr>
        <w:t>E</w:t>
      </w:r>
      <w:r>
        <w:rPr>
          <w:rFonts w:eastAsia="Calibri" w:cs="Times New Roman" w:ascii="Times New Roman" w:hAnsi="Times New Roman"/>
          <w:color w:val="000000"/>
          <w:sz w:val="24"/>
          <w:szCs w:val="24"/>
          <w:lang w:eastAsia="en-US"/>
        </w:rPr>
        <w:t>АТ «Березка» № 100104218126100207</w:t>
      </w:r>
      <w:r>
        <w:rPr>
          <w:rFonts w:eastAsia="Calibri" w:cs="Times New Roman" w:ascii="Times New Roman" w:hAnsi="Times New Roman"/>
          <w:color w:val="000000"/>
          <w:sz w:val="24"/>
          <w:szCs w:val="24"/>
          <w:lang w:eastAsia="en-US"/>
        </w:rPr>
        <w:t xml:space="preserve">, </w:t>
      </w:r>
      <w:r>
        <w:rPr>
          <w:rFonts w:eastAsia="Calibri" w:cs="Times New Roman" w:ascii="Times New Roman" w:hAnsi="Times New Roman"/>
          <w:sz w:val="24"/>
          <w:szCs w:val="24"/>
          <w:lang w:eastAsia="en-US"/>
        </w:rPr>
        <w:t>не было подано ни одной заявки, при объявлении данной (повторной) закупки в качестве цены единицы планируемого к закупке лекарственного препарата принимается в соответствии с п. 12 приказа Министерства здравоохранения Российской Федерации от 19.12.2019г.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минимальное значение начальной цены единицы лекарственного препарата, следующее после НМЦК, начальной цены единицы лекарственного препарата, на участие в закупке по которой не подано ни одной заявки.</w:t>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vanish/>
          <w:sz w:val="24"/>
          <w:szCs w:val="24"/>
        </w:rPr>
        <w:br/>
      </w: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Расчет НМЦК:</w:t>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t>Расчет НМЦК осуществляется по формуле:</w:t>
      </w:r>
    </w:p>
    <w:p>
      <w:pPr>
        <w:pStyle w:val="Normal"/>
        <w:numPr>
          <w:ilvl w:val="0"/>
          <w:numId w:val="0"/>
        </w:numPr>
        <w:spacing w:lineRule="auto" w:line="240" w:before="0" w:after="0"/>
        <w:jc w:val="both"/>
        <w:outlineLvl w:val="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drawing>
          <wp:inline distT="0" distB="0" distL="0" distR="0">
            <wp:extent cx="1711960" cy="34988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1711960" cy="349885"/>
                    </a:xfrm>
                    <a:prstGeom prst="rect">
                      <a:avLst/>
                    </a:prstGeom>
                  </pic:spPr>
                </pic:pic>
              </a:graphicData>
            </a:graphic>
          </wp:inline>
        </w:drawing>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где:</w:t>
      </w:r>
    </w:p>
    <w:p>
      <w:pPr>
        <w:pStyle w:val="Normal"/>
        <w:spacing w:lineRule="auto" w:line="240" w:before="24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n - количество поставляемых лекарственных препаратов;</w:t>
      </w:r>
    </w:p>
    <w:p>
      <w:pPr>
        <w:pStyle w:val="Normal"/>
        <w:spacing w:lineRule="auto" w:line="240" w:before="24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Цi - цена единицы i-го лекарственного препарата с учетом НДС и оптовой надбавки;</w:t>
      </w:r>
    </w:p>
    <w:p>
      <w:pPr>
        <w:pStyle w:val="Normal"/>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Vi - объем поставки i-го лекарственного препарата.</w:t>
      </w:r>
    </w:p>
    <w:p>
      <w:pPr>
        <w:pStyle w:val="Normal"/>
        <w:spacing w:lineRule="auto" w:line="240" w:before="240" w:after="0"/>
        <w:jc w:val="both"/>
        <w:rPr>
          <w:rFonts w:ascii="Times New Roman" w:hAnsi="Times New Roman" w:eastAsia="Calibri" w:cs="Times New Roman"/>
          <w:b/>
          <w:b/>
          <w:sz w:val="24"/>
          <w:szCs w:val="24"/>
        </w:rPr>
      </w:pPr>
      <w:r>
        <w:rPr>
          <w:rFonts w:eastAsia="Calibri" w:cs="Times New Roman" w:ascii="Times New Roman" w:hAnsi="Times New Roman"/>
          <w:b/>
          <w:bCs/>
          <w:sz w:val="24"/>
          <w:szCs w:val="24"/>
        </w:rPr>
        <w:t>Размер оптовой надбавки определен согласно приказу Комитета тарифного регулирования Волгоградской области  от 14.09.2022г. № 32/2 «</w:t>
      </w:r>
      <w:r>
        <w:rPr>
          <w:rFonts w:eastAsia="Calibri" w:cs="Times New Roman" w:ascii="Times New Roman" w:hAnsi="Times New Roman"/>
          <w:b/>
          <w:sz w:val="24"/>
          <w:szCs w:val="24"/>
        </w:rPr>
        <w:t>Об установлении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на территории Волгоградской области». Размер НДС определен согласно ч.2 ст. 164 Налогового кодекса Российской Федерации.</w:t>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15724" w:type="dxa"/>
        <w:jc w:val="center"/>
        <w:tblInd w:w="0" w:type="dxa"/>
        <w:tblCellMar>
          <w:top w:w="0" w:type="dxa"/>
          <w:left w:w="108" w:type="dxa"/>
          <w:bottom w:w="0" w:type="dxa"/>
          <w:right w:w="108" w:type="dxa"/>
        </w:tblCellMar>
        <w:tblLook w:val="04a0" w:noHBand="0" w:noVBand="1" w:firstColumn="1" w:lastRow="0" w:lastColumn="0" w:firstRow="1"/>
      </w:tblPr>
      <w:tblGrid>
        <w:gridCol w:w="536"/>
        <w:gridCol w:w="5203"/>
        <w:gridCol w:w="1668"/>
        <w:gridCol w:w="1203"/>
        <w:gridCol w:w="1322"/>
        <w:gridCol w:w="2552"/>
        <w:gridCol w:w="1529"/>
        <w:gridCol w:w="1685"/>
        <w:gridCol w:w="24"/>
      </w:tblGrid>
      <w:tr>
        <w:trPr>
          <w:trHeight w:val="1161"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п/п</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bCs/>
              </w:rPr>
              <w:t>МНН закупаемого лекарственного препарата</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Единица измерения</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 xml:space="preserve">Объем </w:t>
            </w:r>
          </w:p>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поставки</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cs="Times New Roman" w:ascii="Times New Roman" w:hAnsi="Times New Roman"/>
              </w:rPr>
              <w:t>Максимальное значение цены лекарственного препарата по данным государственного реестра</w:t>
            </w:r>
            <w:r>
              <w:rPr>
                <w:rFonts w:eastAsia="Calibri" w:cs="Times New Roman" w:ascii="Times New Roman" w:hAnsi="Times New Roman"/>
              </w:rPr>
              <w:t>, руб.</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Минимальная цена за единицу с оптовой надбавкой и НДС, руб.</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Начальная (максимальная) цена, руб.</w:t>
            </w:r>
          </w:p>
        </w:tc>
        <w:tc>
          <w:tcPr>
            <w:tcW w:w="24" w:type="dxa"/>
            <w:tcBorders/>
          </w:tcPr>
          <w:p>
            <w:pPr>
              <w:pStyle w:val="Normal"/>
              <w:widowControl/>
              <w:suppressAutoHyphens w:val="false"/>
              <w:bidi w:val="0"/>
              <w:spacing w:lineRule="auto" w:line="276" w:before="0" w:after="200"/>
              <w:jc w:val="left"/>
              <w:rPr/>
            </w:pPr>
            <w:r>
              <w:rPr/>
            </w:r>
          </w:p>
        </w:tc>
      </w:tr>
      <w:tr>
        <w:trPr>
          <w:trHeight w:val="343"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Изониазид</w:t>
            </w:r>
          </w:p>
          <w:p>
            <w:pPr>
              <w:pStyle w:val="Normal"/>
              <w:spacing w:before="0" w:after="0"/>
              <w:rPr>
                <w:rFonts w:ascii="Times New Roman" w:hAnsi="Times New Roman" w:cs="Times New Roman"/>
              </w:rPr>
            </w:pPr>
            <w:r>
              <w:rPr>
                <w:rFonts w:cs="Times New Roman" w:ascii="Times New Roman" w:hAnsi="Times New Roman"/>
              </w:rPr>
              <w:t>Таблетки  300 мг / 2* таблетки  150мг</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10000</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1,3799</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1,66</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16600,00</w:t>
            </w:r>
          </w:p>
        </w:tc>
        <w:tc>
          <w:tcPr>
            <w:tcW w:w="24" w:type="dxa"/>
            <w:tcBorders/>
          </w:tcPr>
          <w:p>
            <w:pPr>
              <w:pStyle w:val="Normal"/>
              <w:widowControl/>
              <w:suppressAutoHyphens w:val="false"/>
              <w:bidi w:val="0"/>
              <w:spacing w:lineRule="auto" w:line="276" w:before="0" w:after="200"/>
              <w:jc w:val="left"/>
              <w:rPr/>
            </w:pPr>
            <w:r>
              <w:rPr/>
            </w:r>
          </w:p>
        </w:tc>
      </w:tr>
      <w:tr>
        <w:trPr>
          <w:trHeight w:val="343"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Натрия хлорид</w:t>
            </w:r>
          </w:p>
          <w:p>
            <w:pPr>
              <w:pStyle w:val="Normal"/>
              <w:spacing w:before="0" w:after="0"/>
              <w:rPr>
                <w:rFonts w:ascii="Times New Roman" w:hAnsi="Times New Roman" w:cs="Times New Roman"/>
              </w:rPr>
            </w:pPr>
            <w:r>
              <w:rPr>
                <w:rFonts w:cs="Times New Roman" w:ascii="Times New Roman" w:hAnsi="Times New Roman"/>
              </w:rPr>
              <w:t xml:space="preserve">Раствор для инфузий  9 мг/мл. </w:t>
            </w:r>
          </w:p>
          <w:p>
            <w:pPr>
              <w:pStyle w:val="Normal"/>
              <w:spacing w:before="0" w:after="0"/>
              <w:rPr>
                <w:rFonts w:ascii="Times New Roman" w:hAnsi="Times New Roman" w:cs="Times New Roman"/>
              </w:rPr>
            </w:pPr>
            <w:r>
              <w:rPr>
                <w:rFonts w:cs="Times New Roman" w:ascii="Times New Roman" w:hAnsi="Times New Roman"/>
              </w:rPr>
              <w:t>Объем первияной упаковки 250мл.</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250000</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мл</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0,2215</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0,26</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65000,00</w:t>
            </w:r>
          </w:p>
        </w:tc>
        <w:tc>
          <w:tcPr>
            <w:tcW w:w="24" w:type="dxa"/>
            <w:tcBorders/>
          </w:tcPr>
          <w:p>
            <w:pPr>
              <w:pStyle w:val="Normal"/>
              <w:widowControl/>
              <w:suppressAutoHyphens w:val="false"/>
              <w:bidi w:val="0"/>
              <w:spacing w:lineRule="auto" w:line="276" w:before="0" w:after="200"/>
              <w:jc w:val="left"/>
              <w:rPr/>
            </w:pPr>
            <w:r>
              <w:rPr/>
            </w:r>
          </w:p>
        </w:tc>
      </w:tr>
      <w:tr>
        <w:trPr>
          <w:trHeight w:val="343"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Пиридоксин таблетки 10мг</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2500</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4,9090</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5,40</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13500,00</w:t>
            </w:r>
          </w:p>
        </w:tc>
        <w:tc>
          <w:tcPr>
            <w:tcW w:w="24" w:type="dxa"/>
            <w:tcBorders/>
          </w:tcPr>
          <w:p>
            <w:pPr>
              <w:pStyle w:val="Normal"/>
              <w:widowControl/>
              <w:suppressAutoHyphens w:val="false"/>
              <w:bidi w:val="0"/>
              <w:spacing w:lineRule="auto" w:line="276" w:before="0" w:after="200"/>
              <w:jc w:val="left"/>
              <w:rPr/>
            </w:pPr>
            <w:r>
              <w:rPr/>
            </w:r>
          </w:p>
        </w:tc>
      </w:tr>
      <w:tr>
        <w:trPr>
          <w:trHeight w:val="343"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Железа [iii] гидроксид сахарозный комплекс </w:t>
            </w:r>
          </w:p>
          <w:p>
            <w:pPr>
              <w:pStyle w:val="Normal"/>
              <w:spacing w:lineRule="auto" w:line="240" w:before="0" w:after="0"/>
              <w:rPr>
                <w:rFonts w:ascii="Times New Roman" w:hAnsi="Times New Roman" w:cs="Times New Roman"/>
              </w:rPr>
            </w:pPr>
            <w:r>
              <w:rPr>
                <w:rFonts w:eastAsia="Times New Roman" w:cs="Times New Roman" w:ascii="Times New Roman" w:hAnsi="Times New Roman"/>
              </w:rPr>
              <w:t xml:space="preserve">Раствор для внутривенного введения 20 мг/мл </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50</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мл</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104,9000</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126,92</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6346,00</w:t>
            </w:r>
          </w:p>
        </w:tc>
        <w:tc>
          <w:tcPr>
            <w:tcW w:w="24" w:type="dxa"/>
            <w:tcBorders/>
          </w:tcPr>
          <w:p>
            <w:pPr>
              <w:pStyle w:val="Normal"/>
              <w:widowControl/>
              <w:suppressAutoHyphens w:val="false"/>
              <w:bidi w:val="0"/>
              <w:spacing w:lineRule="auto" w:line="276" w:before="0" w:after="200"/>
              <w:jc w:val="left"/>
              <w:rPr/>
            </w:pPr>
            <w:r>
              <w:rPr/>
            </w:r>
          </w:p>
        </w:tc>
      </w:tr>
      <w:tr>
        <w:trPr>
          <w:trHeight w:val="343" w:hRule="atLeast"/>
        </w:trPr>
        <w:tc>
          <w:tcPr>
            <w:tcW w:w="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68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Левофлоксацин</w:t>
            </w:r>
          </w:p>
          <w:p>
            <w:pPr>
              <w:pStyle w:val="Normal"/>
              <w:spacing w:before="0" w:after="0"/>
              <w:rPr>
                <w:rFonts w:ascii="Times New Roman" w:hAnsi="Times New Roman" w:cs="Times New Roman"/>
              </w:rPr>
            </w:pPr>
            <w:r>
              <w:rPr>
                <w:rFonts w:cs="Times New Roman" w:ascii="Times New Roman" w:hAnsi="Times New Roman"/>
              </w:rPr>
              <w:t>Раствор для инфузий  5 мг/мл.</w:t>
            </w:r>
          </w:p>
          <w:p>
            <w:pPr>
              <w:pStyle w:val="Normal"/>
              <w:spacing w:before="0" w:after="0"/>
              <w:rPr>
                <w:rFonts w:ascii="Times New Roman" w:hAnsi="Times New Roman" w:cs="Times New Roman"/>
              </w:rPr>
            </w:pPr>
            <w:r>
              <w:rPr>
                <w:rFonts w:cs="Times New Roman" w:ascii="Times New Roman" w:hAnsi="Times New Roman"/>
              </w:rPr>
              <w:t>Объем первияной упаковки 100 мл.</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5600</w:t>
            </w:r>
          </w:p>
        </w:tc>
        <w:tc>
          <w:tcPr>
            <w:tcW w:w="13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мл</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3,6200</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4,38</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24528,00</w:t>
            </w:r>
          </w:p>
        </w:tc>
        <w:tc>
          <w:tcPr>
            <w:tcW w:w="24" w:type="dxa"/>
            <w:tcBorders/>
          </w:tcPr>
          <w:p>
            <w:pPr>
              <w:pStyle w:val="Normal"/>
              <w:widowControl/>
              <w:suppressAutoHyphens w:val="false"/>
              <w:bidi w:val="0"/>
              <w:spacing w:lineRule="auto" w:line="276" w:before="0" w:after="200"/>
              <w:jc w:val="left"/>
              <w:rPr/>
            </w:pPr>
            <w:r>
              <w:rPr/>
            </w:r>
          </w:p>
        </w:tc>
      </w:tr>
      <w:tr>
        <w:trPr/>
        <w:tc>
          <w:tcPr>
            <w:tcW w:w="1401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Calibri" w:cs="Times New Roman"/>
                <w:b/>
                <w:b/>
                <w:sz w:val="24"/>
                <w:szCs w:val="24"/>
              </w:rPr>
            </w:pPr>
            <w:r>
              <w:rPr>
                <w:rFonts w:eastAsia="Calibri" w:cs="Times New Roman" w:ascii="Times New Roman" w:hAnsi="Times New Roman"/>
                <w:b/>
                <w:sz w:val="24"/>
                <w:szCs w:val="24"/>
              </w:rPr>
              <w:t>Итого:</w:t>
            </w:r>
          </w:p>
        </w:tc>
        <w:tc>
          <w:tcPr>
            <w:tcW w:w="1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125974,00</w:t>
            </w:r>
            <w:bookmarkStart w:id="0" w:name="_GoBack"/>
            <w:bookmarkEnd w:id="0"/>
          </w:p>
        </w:tc>
        <w:tc>
          <w:tcPr>
            <w:tcW w:w="24" w:type="dxa"/>
            <w:tcBorders/>
          </w:tcPr>
          <w:p>
            <w:pPr>
              <w:pStyle w:val="Normal"/>
              <w:widowControl/>
              <w:suppressAutoHyphens w:val="false"/>
              <w:bidi w:val="0"/>
              <w:spacing w:lineRule="auto" w:line="276" w:before="0" w:after="200"/>
              <w:jc w:val="left"/>
              <w:rPr/>
            </w:pPr>
            <w:r>
              <w:rPr/>
            </w:r>
          </w:p>
        </w:tc>
      </w:tr>
      <w:tr>
        <w:trPr>
          <w:trHeight w:val="208"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Наименование заказчика</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ФКУ «Волгоградская ПБСТИН» Минздрава России</w:t>
            </w:r>
          </w:p>
        </w:tc>
      </w:tr>
      <w:tr>
        <w:trPr>
          <w:trHeight w:val="208"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Место нахождения</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269"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Почтовый адрес</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347"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Адрес электронной почты</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vpb</w:t>
            </w:r>
            <w:r>
              <w:rPr>
                <w:rFonts w:eastAsia="Calibri" w:cs="Times New Roman" w:ascii="Times New Roman" w:hAnsi="Times New Roman"/>
                <w:bCs/>
                <w:sz w:val="24"/>
                <w:szCs w:val="24"/>
                <w:lang w:val="en-US"/>
              </w:rPr>
              <w:t>s</w:t>
            </w:r>
            <w:r>
              <w:rPr>
                <w:rFonts w:eastAsia="Calibri" w:cs="Times New Roman" w:ascii="Times New Roman" w:hAnsi="Times New Roman"/>
                <w:bCs/>
                <w:sz w:val="24"/>
                <w:szCs w:val="24"/>
              </w:rPr>
              <w:t>tin@</w:t>
            </w:r>
            <w:r>
              <w:rPr>
                <w:rFonts w:eastAsia="Calibri" w:cs="Times New Roman" w:ascii="Times New Roman" w:hAnsi="Times New Roman"/>
                <w:bCs/>
                <w:sz w:val="24"/>
                <w:szCs w:val="24"/>
                <w:lang w:val="en-US"/>
              </w:rPr>
              <w:t>yandex</w:t>
            </w:r>
            <w:r>
              <w:rPr>
                <w:rFonts w:eastAsia="Calibri" w:cs="Times New Roman" w:ascii="Times New Roman" w:hAnsi="Times New Roman"/>
                <w:bCs/>
                <w:sz w:val="24"/>
                <w:szCs w:val="24"/>
              </w:rPr>
              <w:t>.ru</w:t>
            </w:r>
          </w:p>
        </w:tc>
      </w:tr>
      <w:tr>
        <w:trPr>
          <w:trHeight w:val="282"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Номер контактного телефона</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8 (844 57) 7-03-46</w:t>
            </w:r>
          </w:p>
        </w:tc>
      </w:tr>
      <w:tr>
        <w:trPr>
          <w:trHeight w:val="282"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Дата подготовки обоснования начальной (максимальной) цены контракта</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color w:val="FF0000"/>
                <w:sz w:val="24"/>
                <w:szCs w:val="24"/>
              </w:rPr>
            </w:pPr>
            <w:r>
              <w:rPr>
                <w:rFonts w:eastAsia="Calibri" w:cs="Times New Roman" w:ascii="Times New Roman" w:hAnsi="Times New Roman"/>
                <w:bCs/>
                <w:sz w:val="24"/>
                <w:szCs w:val="24"/>
              </w:rPr>
              <w:t>05.06.2026г.</w:t>
            </w:r>
          </w:p>
        </w:tc>
      </w:tr>
      <w:tr>
        <w:trPr>
          <w:trHeight w:val="208" w:hRule="atLeast"/>
        </w:trPr>
        <w:tc>
          <w:tcPr>
            <w:tcW w:w="57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Ответственное должностное лицо заказчика</w:t>
            </w:r>
          </w:p>
        </w:tc>
        <w:tc>
          <w:tcPr>
            <w:tcW w:w="998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Экономист                              Бондаренко Ю.В.</w:t>
            </w:r>
          </w:p>
        </w:tc>
      </w:tr>
    </w:tbl>
    <w:p>
      <w:pPr>
        <w:pStyle w:val="Normal"/>
        <w:widowControl/>
        <w:suppressAutoHyphens w:val="false"/>
        <w:bidi w:val="0"/>
        <w:spacing w:lineRule="auto" w:line="276" w:before="0" w:after="200"/>
        <w:jc w:val="left"/>
        <w:rPr/>
      </w:pPr>
      <w:r>
        <w:rPr/>
      </w:r>
    </w:p>
    <w:sectPr>
      <w:type w:val="nextPage"/>
      <w:pgSz w:orient="landscape" w:w="16838" w:h="11906"/>
      <w:pgMar w:left="1134" w:right="1134" w:header="0" w:top="851"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ahoma">
    <w:charset w:val="01"/>
    <w:family w:val="swiss"/>
    <w:pitch w:val="default"/>
  </w:font>
  <w:font w:name="PT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1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4fa7"/>
    <w:pPr>
      <w:widowControl/>
      <w:suppressAutoHyphens w:val="fals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Style16"/>
    <w:next w:val="Style17"/>
    <w:qFormat/>
    <w:pPr>
      <w:spacing w:before="240" w:after="120"/>
      <w:outlineLvl w:val="0"/>
    </w:pPr>
    <w:rPr>
      <w:rFonts w:ascii="Liberation Serif" w:hAnsi="Liberation Serif" w:eastAsia="Tahoma" w:cs="Tahoma"/>
      <w:b/>
      <w:bCs/>
      <w:sz w:val="48"/>
      <w:szCs w:val="4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5"/>
    <w:uiPriority w:val="99"/>
    <w:semiHidden/>
    <w:qFormat/>
    <w:rsid w:val="007050d1"/>
    <w:rPr>
      <w:rFonts w:ascii="Tahoma" w:hAnsi="Tahoma" w:cs="Tahoma"/>
      <w:sz w:val="16"/>
      <w:szCs w:val="16"/>
    </w:rPr>
  </w:style>
  <w:style w:type="character" w:styleId="Style14">
    <w:name w:val="Интернет-ссылка"/>
    <w:basedOn w:val="DefaultParagraphFont"/>
    <w:uiPriority w:val="99"/>
    <w:semiHidden/>
    <w:unhideWhenUsed/>
    <w:rsid w:val="00e773f9"/>
    <w:rPr>
      <w:color w:val="0000FF"/>
      <w:u w:val="single"/>
    </w:rPr>
  </w:style>
  <w:style w:type="character" w:styleId="Style15">
    <w:name w:val="Посещённая гиперссылка"/>
    <w:basedOn w:val="DefaultParagraphFont"/>
    <w:uiPriority w:val="99"/>
    <w:semiHidden/>
    <w:unhideWhenUsed/>
    <w:rsid w:val="00487bb8"/>
    <w:rPr>
      <w:color w:val="800080"/>
      <w:u w:val="single"/>
    </w:rPr>
  </w:style>
  <w:style w:type="character" w:styleId="Colorblue" w:customStyle="1">
    <w:name w:val="color_blue"/>
    <w:basedOn w:val="DefaultParagraphFont"/>
    <w:qFormat/>
    <w:rsid w:val="00865226"/>
    <w:rPr/>
  </w:style>
  <w:style w:type="character" w:styleId="Cardmaininfocontent" w:customStyle="1">
    <w:name w:val="cardmaininfo__content"/>
    <w:qFormat/>
    <w:rsid w:val="004e1cd8"/>
    <w:rPr/>
  </w:style>
  <w:style w:type="character" w:styleId="Cardmaininfotitle" w:customStyle="1">
    <w:name w:val="cardmaininfo__title"/>
    <w:qFormat/>
    <w:rsid w:val="004e1cd8"/>
    <w:rPr/>
  </w:style>
  <w:style w:type="paragraph" w:styleId="Style16">
    <w:name w:val="Заголовок"/>
    <w:basedOn w:val="Normal"/>
    <w:next w:val="Style17"/>
    <w:qFormat/>
    <w:pPr>
      <w:keepNext w:val="true"/>
      <w:spacing w:before="240" w:after="120"/>
    </w:pPr>
    <w:rPr>
      <w:rFonts w:ascii="PT Sans" w:hAnsi="PT Sans"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Sans" w:hAnsi="PT Sans" w:cs="Noto Sans Devanagari"/>
    </w:rPr>
  </w:style>
  <w:style w:type="paragraph" w:styleId="Style19">
    <w:name w:val="Caption"/>
    <w:basedOn w:val="Normal"/>
    <w:qFormat/>
    <w:pPr>
      <w:suppressLineNumbers/>
      <w:spacing w:before="120" w:after="120"/>
    </w:pPr>
    <w:rPr>
      <w:rFonts w:ascii="PT Sans" w:hAnsi="PT Sans" w:cs="Noto Sans Devanagari"/>
      <w:i/>
      <w:iCs/>
      <w:sz w:val="24"/>
      <w:szCs w:val="24"/>
    </w:rPr>
  </w:style>
  <w:style w:type="paragraph" w:styleId="Style20">
    <w:name w:val="Указатель"/>
    <w:basedOn w:val="Normal"/>
    <w:qFormat/>
    <w:pPr>
      <w:suppressLineNumbers/>
    </w:pPr>
    <w:rPr>
      <w:rFonts w:ascii="PT Sans" w:hAnsi="PT Sans" w:cs="Noto Sans Devanagari"/>
    </w:rPr>
  </w:style>
  <w:style w:type="paragraph" w:styleId="ListParagraph">
    <w:name w:val="List Paragraph"/>
    <w:basedOn w:val="Normal"/>
    <w:uiPriority w:val="34"/>
    <w:qFormat/>
    <w:rsid w:val="00f9794c"/>
    <w:pPr>
      <w:spacing w:before="0" w:after="200"/>
      <w:ind w:left="720" w:hanging="0"/>
      <w:contextualSpacing/>
    </w:pPr>
    <w:rPr>
      <w:rFonts w:ascii="Calibri" w:hAnsi="Calibri" w:eastAsia="Calibri" w:cs="Times New Roman"/>
    </w:rPr>
  </w:style>
  <w:style w:type="paragraph" w:styleId="BalloonText">
    <w:name w:val="Balloon Text"/>
    <w:basedOn w:val="Normal"/>
    <w:link w:val="a6"/>
    <w:uiPriority w:val="99"/>
    <w:semiHidden/>
    <w:unhideWhenUsed/>
    <w:qFormat/>
    <w:rsid w:val="007050d1"/>
    <w:pPr>
      <w:spacing w:lineRule="auto" w:line="240" w:before="0" w:after="0"/>
    </w:pPr>
    <w:rPr>
      <w:rFonts w:ascii="Tahoma" w:hAnsi="Tahoma" w:cs="Tahoma"/>
      <w:sz w:val="16"/>
      <w:szCs w:val="16"/>
    </w:rPr>
  </w:style>
  <w:style w:type="paragraph" w:styleId="Xl65" w:customStyle="1">
    <w:name w:val="xl65"/>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rPr>
  </w:style>
  <w:style w:type="paragraph" w:styleId="Xl66" w:customStyle="1">
    <w:name w:val="xl66"/>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rPr>
  </w:style>
  <w:style w:type="paragraph" w:styleId="Xl67" w:customStyle="1">
    <w:name w:val="xl67"/>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rPr>
  </w:style>
  <w:style w:type="paragraph" w:styleId="Xl68" w:customStyle="1">
    <w:name w:val="xl68"/>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rPr>
  </w:style>
  <w:style w:type="paragraph" w:styleId="Xl69" w:customStyle="1">
    <w:name w:val="xl69"/>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sz w:val="24"/>
      <w:szCs w:val="24"/>
    </w:rPr>
  </w:style>
  <w:style w:type="paragraph" w:styleId="NormalWeb">
    <w:name w:val="Normal (Web)"/>
    <w:basedOn w:val="Normal"/>
    <w:uiPriority w:val="99"/>
    <w:unhideWhenUsed/>
    <w:qFormat/>
    <w:rsid w:val="00865226"/>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f9794c"/>
    <w:pPr>
      <w:spacing w:after="0" w:line="240" w:lineRule="auto"/>
    </w:pPr>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LibreOffice/6.4.7.2$Linux_X86_64 LibreOffice_project/155c490457025f32143219b3c36f6c1abf1f2442</Application>
  <Pages>2</Pages>
  <Words>422</Words>
  <Characters>2940</Characters>
  <CharactersWithSpaces>3326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2026-02-10T07:36:00Z</dcterms:created>
  <dc:creator>Пригарин</dc:creator>
  <dc:description/>
  <dc:language>ru-RU</dc:language>
  <cp:lastModifiedBy/>
  <cp:lastPrinted>2026-06-09T10:33:52Z</cp:lastPrinted>
  <dcterms:modified xsi:type="dcterms:W3CDTF">2026-06-09T10:33:28Z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