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86" w:rsidRDefault="00BE4486">
      <w:pPr>
        <w:pStyle w:val="Style6"/>
        <w:widowControl/>
        <w:ind w:left="950"/>
        <w:jc w:val="both"/>
      </w:pPr>
    </w:p>
    <w:p w:rsidR="00BE4486" w:rsidRDefault="00BE4486">
      <w:pPr>
        <w:pStyle w:val="Style6"/>
        <w:widowControl/>
        <w:ind w:left="950"/>
        <w:jc w:val="both"/>
      </w:pPr>
    </w:p>
    <w:p w:rsidR="00BE4486" w:rsidRDefault="0034758B">
      <w:pPr>
        <w:jc w:val="center"/>
        <w:rPr>
          <w:b/>
        </w:rPr>
      </w:pPr>
      <w:r>
        <w:rPr>
          <w:b/>
        </w:rPr>
        <w:t xml:space="preserve">ОПИСАНИЕ ОБЪЕКТА ЗАКУПКИ </w:t>
      </w:r>
    </w:p>
    <w:p w:rsidR="00BE4486" w:rsidRDefault="00BE4486">
      <w:pPr>
        <w:pStyle w:val="Style6"/>
        <w:widowControl/>
        <w:ind w:firstLine="851"/>
        <w:jc w:val="center"/>
        <w:rPr>
          <w:rStyle w:val="FontStyle17"/>
          <w:sz w:val="24"/>
          <w:szCs w:val="24"/>
        </w:rPr>
      </w:pPr>
    </w:p>
    <w:p w:rsidR="00BE4486" w:rsidRDefault="00BE4486">
      <w:pPr>
        <w:pStyle w:val="Style5"/>
        <w:widowControl/>
        <w:tabs>
          <w:tab w:val="left" w:pos="284"/>
        </w:tabs>
        <w:jc w:val="both"/>
      </w:pPr>
    </w:p>
    <w:p w:rsidR="00BE4486" w:rsidRDefault="00BE4486">
      <w:pPr>
        <w:pStyle w:val="Style10"/>
        <w:widowControl/>
        <w:tabs>
          <w:tab w:val="left" w:pos="284"/>
          <w:tab w:val="left" w:pos="426"/>
        </w:tabs>
        <w:spacing w:line="240" w:lineRule="auto"/>
        <w:jc w:val="both"/>
      </w:pPr>
    </w:p>
    <w:p w:rsidR="00BE4486" w:rsidRDefault="0034758B">
      <w:pPr>
        <w:pStyle w:val="Style10"/>
        <w:widowControl/>
        <w:numPr>
          <w:ilvl w:val="0"/>
          <w:numId w:val="1"/>
        </w:numPr>
        <w:tabs>
          <w:tab w:val="left" w:pos="284"/>
          <w:tab w:val="left" w:pos="426"/>
        </w:tabs>
        <w:spacing w:line="240" w:lineRule="auto"/>
        <w:jc w:val="both"/>
        <w:rPr>
          <w:b/>
        </w:rPr>
      </w:pPr>
      <w:r>
        <w:rPr>
          <w:b/>
        </w:rPr>
        <w:t>Технические характеристики поставляемого Товара</w:t>
      </w:r>
    </w:p>
    <w:tbl>
      <w:tblPr>
        <w:tblW w:w="147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306"/>
        <w:gridCol w:w="2014"/>
        <w:gridCol w:w="2060"/>
        <w:gridCol w:w="2520"/>
        <w:gridCol w:w="2340"/>
        <w:gridCol w:w="1980"/>
        <w:gridCol w:w="1540"/>
      </w:tblGrid>
      <w:tr w:rsidR="00BE4486">
        <w:trPr>
          <w:trHeight w:val="197"/>
          <w:tblHeader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34758B">
            <w:pPr>
              <w:rPr>
                <w:szCs w:val="22"/>
              </w:rPr>
            </w:pPr>
            <w:r>
              <w:rPr>
                <w:szCs w:val="22"/>
              </w:rPr>
              <w:t>Наименование об</w:t>
            </w:r>
            <w:r>
              <w:rPr>
                <w:szCs w:val="22"/>
              </w:rPr>
              <w:t>ъ</w:t>
            </w:r>
            <w:r>
              <w:rPr>
                <w:szCs w:val="22"/>
              </w:rPr>
              <w:t>екта закупки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rPr>
                <w:szCs w:val="22"/>
              </w:rPr>
            </w:pPr>
          </w:p>
          <w:p w:rsidR="00BE4486" w:rsidRDefault="00BE4486">
            <w:pPr>
              <w:rPr>
                <w:szCs w:val="22"/>
              </w:rPr>
            </w:pPr>
          </w:p>
          <w:p w:rsidR="00BE4486" w:rsidRDefault="00BE4486">
            <w:pPr>
              <w:rPr>
                <w:szCs w:val="22"/>
              </w:rPr>
            </w:pPr>
          </w:p>
          <w:p w:rsidR="00BE4486" w:rsidRDefault="0034758B">
            <w:pPr>
              <w:rPr>
                <w:b/>
                <w:szCs w:val="22"/>
              </w:rPr>
            </w:pPr>
            <w:r>
              <w:rPr>
                <w:szCs w:val="22"/>
              </w:rPr>
              <w:t>Тип характер</w:t>
            </w:r>
            <w:r>
              <w:rPr>
                <w:szCs w:val="22"/>
              </w:rPr>
              <w:t>и</w:t>
            </w:r>
            <w:r>
              <w:rPr>
                <w:szCs w:val="22"/>
              </w:rPr>
              <w:t>стики</w:t>
            </w:r>
            <w:proofErr w:type="gramStart"/>
            <w:r>
              <w:rPr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34758B">
            <w:pPr>
              <w:rPr>
                <w:szCs w:val="22"/>
              </w:rPr>
            </w:pPr>
            <w:r>
              <w:rPr>
                <w:szCs w:val="22"/>
              </w:rPr>
              <w:t>Наименование характеристики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34758B">
            <w:pPr>
              <w:rPr>
                <w:szCs w:val="22"/>
              </w:rPr>
            </w:pPr>
            <w:r>
              <w:rPr>
                <w:szCs w:val="22"/>
              </w:rPr>
              <w:t>Значение характер</w:t>
            </w:r>
            <w:r>
              <w:rPr>
                <w:szCs w:val="22"/>
              </w:rPr>
              <w:t>и</w:t>
            </w:r>
            <w:r>
              <w:rPr>
                <w:szCs w:val="22"/>
              </w:rPr>
              <w:t>стики</w:t>
            </w:r>
            <w:r>
              <w:rPr>
                <w:szCs w:val="22"/>
                <w:vertAlign w:val="superscript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34758B">
            <w:pPr>
              <w:rPr>
                <w:szCs w:val="22"/>
              </w:rPr>
            </w:pPr>
            <w:r>
              <w:rPr>
                <w:szCs w:val="22"/>
              </w:rPr>
              <w:t>Единица измерения характеристики</w:t>
            </w:r>
            <w:proofErr w:type="gramStart"/>
            <w:r>
              <w:rPr>
                <w:szCs w:val="22"/>
                <w:vertAlign w:val="superscript"/>
              </w:rPr>
              <w:t>4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Next/>
              <w:contextualSpacing/>
              <w:rPr>
                <w:b/>
                <w:szCs w:val="22"/>
              </w:rPr>
            </w:pPr>
            <w:r>
              <w:rPr>
                <w:szCs w:val="22"/>
              </w:rPr>
              <w:t>Инструкция по заполнению</w:t>
            </w:r>
            <w:r>
              <w:rPr>
                <w:szCs w:val="22"/>
                <w:vertAlign w:val="superscript"/>
              </w:rPr>
              <w:t>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Next/>
              <w:contextualSpacing/>
              <w:rPr>
                <w:b/>
                <w:szCs w:val="22"/>
              </w:rPr>
            </w:pPr>
            <w:r>
              <w:rPr>
                <w:szCs w:val="22"/>
              </w:rPr>
              <w:t xml:space="preserve">Количество </w:t>
            </w:r>
            <w:r>
              <w:rPr>
                <w:szCs w:val="22"/>
              </w:rPr>
              <w:t>и единица измерения товара</w:t>
            </w:r>
          </w:p>
        </w:tc>
      </w:tr>
      <w:tr w:rsidR="00BE4486">
        <w:trPr>
          <w:cantSplit/>
          <w:trHeight w:val="269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 w:rsidP="0034758B">
            <w:pPr>
              <w:keepLines/>
            </w:pPr>
            <w:r>
              <w:t>Датчик фотонный</w:t>
            </w:r>
            <w:r>
              <w:br/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Тип устройства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 xml:space="preserve">Кремниевый </w:t>
            </w:r>
            <w:proofErr w:type="spellStart"/>
            <w:r>
              <w:t>фотоу</w:t>
            </w:r>
            <w:r>
              <w:t>м</w:t>
            </w:r>
            <w:r>
              <w:t>ножитель</w:t>
            </w:r>
            <w:proofErr w:type="spellEnd"/>
            <w:r>
              <w:t xml:space="preserve"> (</w:t>
            </w:r>
            <w:proofErr w:type="spellStart"/>
            <w:r>
              <w:t>SiPM</w:t>
            </w:r>
            <w:proofErr w:type="spellEnd"/>
            <w:r>
              <w:t>/MPPC)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 xml:space="preserve">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BE4486">
        <w:trPr>
          <w:cantSplit/>
          <w:trHeight w:val="273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Тип корпуса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proofErr w:type="gramStart"/>
            <w:r>
              <w:t>Керамический</w:t>
            </w:r>
            <w:proofErr w:type="gramEnd"/>
            <w:r>
              <w:t xml:space="preserve"> или эквивалентный по </w:t>
            </w:r>
            <w:r>
              <w:t>механической и те</w:t>
            </w:r>
            <w:r>
              <w:t>м</w:t>
            </w:r>
            <w:r>
              <w:t>пературной стойкости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73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Шаг пикселя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более 80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Микрометр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77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Эффективная ф</w:t>
            </w:r>
            <w:r>
              <w:t>о</w:t>
            </w:r>
            <w:r>
              <w:t xml:space="preserve">точувствительная </w:t>
            </w:r>
            <w:r>
              <w:t>область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6,0 × 6,0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Миллиметр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67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Количество пи</w:t>
            </w:r>
            <w:r>
              <w:t>к</w:t>
            </w:r>
            <w:r>
              <w:t>селей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6400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Штука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57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Коэффициент з</w:t>
            </w:r>
            <w:r>
              <w:t>а</w:t>
            </w:r>
            <w:r>
              <w:t>полнения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82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Процент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57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Спектральный диапазон отклика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уже диапазона от 270 до 900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Нанометр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531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Длина волны п</w:t>
            </w:r>
            <w:r>
              <w:t>и</w:t>
            </w:r>
            <w:r>
              <w:t xml:space="preserve">ковой </w:t>
            </w:r>
            <w:r>
              <w:t>чувств</w:t>
            </w:r>
            <w:r>
              <w:t>и</w:t>
            </w:r>
            <w:r>
              <w:t>тельности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440 и не б</w:t>
            </w:r>
            <w:r>
              <w:t>о</w:t>
            </w:r>
            <w:r>
              <w:t>лее 460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Нанометр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69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Эффективность регистрации ф</w:t>
            </w:r>
            <w:r>
              <w:t>о</w:t>
            </w:r>
            <w:r>
              <w:t xml:space="preserve">тонов при λ = </w:t>
            </w:r>
            <w:proofErr w:type="spellStart"/>
            <w:r>
              <w:t>λp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50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Процент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1260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proofErr w:type="spellStart"/>
            <w:r>
              <w:t>Темновой</w:t>
            </w:r>
            <w:proofErr w:type="spellEnd"/>
            <w:r>
              <w:t xml:space="preserve"> счет, максимальное значение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более 6000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Тысяч штук в с</w:t>
            </w:r>
            <w:r>
              <w:t>е</w:t>
            </w:r>
            <w:r>
              <w:t>кунду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695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Емкость выводов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более 1280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Пикофарад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848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Усиление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4,0 × 10⁶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563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Напряжение пр</w:t>
            </w:r>
            <w:r>
              <w:t>о</w:t>
            </w:r>
            <w:r>
              <w:t>боя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48 и не б</w:t>
            </w:r>
            <w:r>
              <w:t>о</w:t>
            </w:r>
            <w:r>
              <w:t>лее 58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Вольт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556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 xml:space="preserve">Вероятность </w:t>
            </w:r>
            <w:r>
              <w:t>п</w:t>
            </w:r>
            <w:r>
              <w:t>е</w:t>
            </w:r>
            <w:r>
              <w:t>рекрестной п</w:t>
            </w:r>
            <w:r>
              <w:t>о</w:t>
            </w:r>
            <w:r>
              <w:t>мехи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более 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Процент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67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Рекомендуемое рабочее перен</w:t>
            </w:r>
            <w:r>
              <w:t>а</w:t>
            </w:r>
            <w:r>
              <w:t>пряжение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более 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Вольт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72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 xml:space="preserve">Температурный </w:t>
            </w:r>
            <w:r>
              <w:t>коэффициент р</w:t>
            </w:r>
            <w:r>
              <w:t>а</w:t>
            </w:r>
            <w:r>
              <w:t>бочего напряж</w:t>
            </w:r>
            <w:r>
              <w:t>е</w:t>
            </w:r>
            <w:r>
              <w:t>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более 54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мВ/°C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75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Рабочая темпер</w:t>
            </w:r>
            <w:r>
              <w:t>а</w:t>
            </w:r>
            <w:r>
              <w:t>тура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Диапазон не уже, чем от -20 до +60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Градус Цельсия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549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Температура хранения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Диапазон не уже, чем от -20 до +80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Градус Цельсия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564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Габаритные ра</w:t>
            </w:r>
            <w:r>
              <w:t>з</w:t>
            </w:r>
            <w:r>
              <w:t>меры корпуса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более 10,5 × 9,3 × 2,2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Миллиметр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 xml:space="preserve">вает конкретное </w:t>
            </w:r>
            <w:r>
              <w:t>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558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Возможность р</w:t>
            </w:r>
            <w:r>
              <w:t>а</w:t>
            </w:r>
            <w:r>
              <w:t>боты при ко</w:t>
            </w:r>
            <w:r>
              <w:t>м</w:t>
            </w:r>
            <w:r>
              <w:t>натной темпер</w:t>
            </w:r>
            <w:r>
              <w:t>а</w:t>
            </w:r>
            <w:r>
              <w:t>туре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Должна быть обесп</w:t>
            </w:r>
            <w:r>
              <w:t>е</w:t>
            </w:r>
            <w:r>
              <w:t>чена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553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Устойчивость к воздействию магнитных полей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Должна быть обесп</w:t>
            </w:r>
            <w:r>
              <w:t>е</w:t>
            </w:r>
            <w:r>
              <w:t>чена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848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34758B" w:rsidP="0034758B">
            <w:pPr>
              <w:keepLines/>
            </w:pPr>
            <w:r>
              <w:t>Модуль MPPC</w:t>
            </w:r>
            <w:r>
              <w:br/>
            </w:r>
            <w:bookmarkStart w:id="0" w:name="_GoBack"/>
            <w:bookmarkEnd w:id="0"/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Тип устройства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Оптический измер</w:t>
            </w:r>
            <w:r>
              <w:t>и</w:t>
            </w:r>
            <w:r>
              <w:t>тельный MPPC-модуль с аналоговым выходом или эквив</w:t>
            </w:r>
            <w:r>
              <w:t>а</w:t>
            </w:r>
            <w:r>
              <w:t>лент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BE4486">
        <w:trPr>
          <w:cantSplit/>
          <w:trHeight w:val="846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Состав модуля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MPPC, усилитель сигнала, высоковол</w:t>
            </w:r>
            <w:r>
              <w:t>ь</w:t>
            </w:r>
            <w:r>
              <w:t>тный источник пит</w:t>
            </w:r>
            <w:r>
              <w:t>а</w:t>
            </w:r>
            <w:r>
              <w:t>ния и схема темпер</w:t>
            </w:r>
            <w:r>
              <w:t>а</w:t>
            </w:r>
            <w:r>
              <w:t>турной компенсации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407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Тип выходного сигнала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Аналоговый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 xml:space="preserve">вает </w:t>
            </w:r>
            <w:r>
              <w:t>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412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Количество кан</w:t>
            </w:r>
            <w:r>
              <w:t>а</w:t>
            </w:r>
            <w:r>
              <w:t>лов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Штука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70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Охлаждение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Работа без внешнего охлаждения должна быть обеспечена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 xml:space="preserve">вает </w:t>
            </w:r>
            <w:r>
              <w:t>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70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Эффективная ф</w:t>
            </w:r>
            <w:r>
              <w:t>о</w:t>
            </w:r>
            <w:r>
              <w:t>точувствительная область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3 × 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Миллиметр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71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Шаг пикселя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45 и не б</w:t>
            </w:r>
            <w:r>
              <w:t>о</w:t>
            </w:r>
            <w:r>
              <w:t>лее 55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Микрометр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 xml:space="preserve">вает </w:t>
            </w:r>
            <w:r>
              <w:t>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321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Количество пи</w:t>
            </w:r>
            <w:r>
              <w:t>к</w:t>
            </w:r>
            <w:r>
              <w:t>селей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3600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Штука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71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Спектральный диапазон отклика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уже диапазона от 270 до 900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Нанометр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 xml:space="preserve">вает </w:t>
            </w:r>
            <w:r>
              <w:t>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71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Длина волны п</w:t>
            </w:r>
            <w:r>
              <w:t>и</w:t>
            </w:r>
            <w:r>
              <w:t>ковой чувств</w:t>
            </w:r>
            <w:r>
              <w:t>и</w:t>
            </w:r>
            <w:r>
              <w:t>тельности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480 и не б</w:t>
            </w:r>
            <w:r>
              <w:t>о</w:t>
            </w:r>
            <w:r>
              <w:t>лее 520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Нанометр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69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Температурная стабильность в</w:t>
            </w:r>
            <w:r>
              <w:t>ы</w:t>
            </w:r>
            <w:r>
              <w:t>ходного напр</w:t>
            </w:r>
            <w:r>
              <w:t>я</w:t>
            </w:r>
            <w:r>
              <w:t>жения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Отклонение не более 5 по абсолютной в</w:t>
            </w:r>
            <w:r>
              <w:t>е</w:t>
            </w:r>
            <w:r>
              <w:t>личине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Процент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73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Фотоэлектрич</w:t>
            </w:r>
            <w:r>
              <w:t>е</w:t>
            </w:r>
            <w:r>
              <w:t>ская чувств</w:t>
            </w:r>
            <w:r>
              <w:t>и</w:t>
            </w:r>
            <w:r>
              <w:t>тельность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0,7 × 10⁹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Вольт/Ватт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73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Частота среза верхней полосы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3,5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Мегагерц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77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Нижняя граница полосы пропу</w:t>
            </w:r>
            <w:r>
              <w:t>с</w:t>
            </w:r>
            <w:r>
              <w:t>кания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Должна включать п</w:t>
            </w:r>
            <w:r>
              <w:t>о</w:t>
            </w:r>
            <w:r>
              <w:t>стоянную составл</w:t>
            </w:r>
            <w:r>
              <w:t>я</w:t>
            </w:r>
            <w:r>
              <w:t>ющую (DC)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</w:t>
            </w:r>
            <w:r>
              <w:t>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67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Время нараст</w:t>
            </w:r>
            <w:r>
              <w:t>а</w:t>
            </w:r>
            <w:r>
              <w:t>ния выходного сигнала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более 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Наносекунда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57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Эквивалентная шумовая мо</w:t>
            </w:r>
            <w:r>
              <w:t>щ</w:t>
            </w:r>
            <w:r>
              <w:t>ность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более 2,0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proofErr w:type="spellStart"/>
            <w:r>
              <w:t>фВт</w:t>
            </w:r>
            <w:proofErr w:type="spellEnd"/>
            <w:r>
              <w:t>/Гц^1/2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 xml:space="preserve">вает конкретное </w:t>
            </w:r>
            <w:r>
              <w:t>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57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Предел обнар</w:t>
            </w:r>
            <w:r>
              <w:t>у</w:t>
            </w:r>
            <w:r>
              <w:t>жения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более 4,5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proofErr w:type="spellStart"/>
            <w:r>
              <w:t>пВт</w:t>
            </w:r>
            <w:proofErr w:type="spellEnd"/>
            <w:r>
              <w:t xml:space="preserve"> </w:t>
            </w:r>
            <w:proofErr w:type="spellStart"/>
            <w:r>
              <w:t>rms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531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Максимальное выходное напр</w:t>
            </w:r>
            <w:r>
              <w:t>я</w:t>
            </w:r>
            <w:r>
              <w:t>жение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менее 4,7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Вольт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 xml:space="preserve">вает конкретное значение </w:t>
            </w:r>
            <w:r>
              <w:t>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69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Диапазон напр</w:t>
            </w:r>
            <w:r>
              <w:t>я</w:t>
            </w:r>
            <w:r>
              <w:t>жения питания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Должен включать ±(4,75-5,25)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Вольт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1260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Потребляемый ток по шине +</w:t>
            </w:r>
            <w:proofErr w:type="spellStart"/>
            <w:r>
              <w:t>Vs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более 250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Миллиампер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 xml:space="preserve">вает конкретное </w:t>
            </w:r>
            <w:r>
              <w:t>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695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Потребляемый ток по шине -</w:t>
            </w:r>
            <w:proofErr w:type="spellStart"/>
            <w:r>
              <w:t>Vs</w:t>
            </w:r>
            <w:proofErr w:type="spellEnd"/>
            <w:r>
              <w:t>, по абсолютной величине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более 40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Миллиампер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848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Рабочая темпер</w:t>
            </w:r>
            <w:r>
              <w:t>а</w:t>
            </w:r>
            <w:r>
              <w:t>тура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Диапазон не уже, чем от -20 до +60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 xml:space="preserve">Градус </w:t>
            </w:r>
            <w:r>
              <w:t>Цельсия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563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Температура хранения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Диапазон не уже, чем от -20 до +80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Градус Цельсия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556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Габаритные ра</w:t>
            </w:r>
            <w:r>
              <w:t>з</w:t>
            </w:r>
            <w:r>
              <w:t>меры модуля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 xml:space="preserve">Не </w:t>
            </w:r>
            <w:r>
              <w:t>более 36,5 × 22,5 × 10,5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Миллиметр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67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Масса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Не более 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Грамм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  <w:tr w:rsidR="00BE4486">
        <w:trPr>
          <w:cantSplit/>
          <w:trHeight w:val="272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486" w:rsidRDefault="00BE4486">
            <w:pPr>
              <w:keepLines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Количественная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Комплектность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кабель питания и р</w:t>
            </w:r>
            <w:r>
              <w:t>у</w:t>
            </w:r>
            <w:r>
              <w:t xml:space="preserve">ководство по </w:t>
            </w:r>
            <w:r>
              <w:t>экспл</w:t>
            </w:r>
            <w:r>
              <w:t>у</w:t>
            </w:r>
            <w:r>
              <w:t>атации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34758B">
            <w:pPr>
              <w:keepLines/>
            </w:pPr>
            <w:r>
              <w:t>Участник указ</w:t>
            </w:r>
            <w:r>
              <w:t>ы</w:t>
            </w:r>
            <w:r>
              <w:t>вает конкретное значение хара</w:t>
            </w:r>
            <w:r>
              <w:t>к</w:t>
            </w:r>
            <w:r>
              <w:t>теристики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86" w:rsidRDefault="00BE4486">
            <w:pPr>
              <w:keepLines/>
            </w:pPr>
          </w:p>
        </w:tc>
      </w:tr>
    </w:tbl>
    <w:p w:rsidR="00BE4486" w:rsidRDefault="00BE4486">
      <w:pPr>
        <w:pStyle w:val="Style10"/>
        <w:widowControl/>
        <w:tabs>
          <w:tab w:val="left" w:pos="284"/>
          <w:tab w:val="left" w:pos="426"/>
        </w:tabs>
        <w:spacing w:line="240" w:lineRule="auto"/>
        <w:jc w:val="both"/>
        <w:rPr>
          <w:b/>
        </w:rPr>
      </w:pPr>
    </w:p>
    <w:sectPr w:rsidR="00BE44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23811"/>
      <w:pgMar w:top="842" w:right="1102" w:bottom="1440" w:left="1276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4758B">
      <w:r>
        <w:separator/>
      </w:r>
    </w:p>
  </w:endnote>
  <w:endnote w:type="continuationSeparator" w:id="0">
    <w:p w:rsidR="00000000" w:rsidRDefault="0034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oto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86" w:rsidRDefault="00BE4486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86" w:rsidRDefault="00BE4486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86" w:rsidRDefault="00BE4486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4758B">
      <w:r>
        <w:separator/>
      </w:r>
    </w:p>
  </w:footnote>
  <w:footnote w:type="continuationSeparator" w:id="0">
    <w:p w:rsidR="00000000" w:rsidRDefault="00347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86" w:rsidRDefault="00BE4486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86" w:rsidRDefault="00BE4486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86" w:rsidRDefault="00BE4486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3064"/>
    <w:multiLevelType w:val="multilevel"/>
    <w:tmpl w:val="2F66BB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A6849D0"/>
    <w:multiLevelType w:val="multilevel"/>
    <w:tmpl w:val="C49E8CF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86"/>
    <w:rsid w:val="0034758B"/>
    <w:rsid w:val="00BE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ans" w:hAnsi="Times New Roman" w:cs="Noto Sans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 w:val="0"/>
    </w:pPr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spacing w:before="240" w:after="60"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FootnoteTextChar">
    <w:name w:val="Footnote Text Char"/>
    <w:basedOn w:val="a0"/>
    <w:uiPriority w:val="99"/>
    <w:semiHidden/>
    <w:qFormat/>
    <w:rPr>
      <w:sz w:val="20"/>
      <w:szCs w:val="20"/>
    </w:rPr>
  </w:style>
  <w:style w:type="character" w:customStyle="1" w:styleId="af">
    <w:name w:val="Текст концевой сноски Знак"/>
    <w:basedOn w:val="a0"/>
    <w:link w:val="af0"/>
    <w:uiPriority w:val="99"/>
    <w:semiHidden/>
    <w:qFormat/>
    <w:rPr>
      <w:sz w:val="20"/>
      <w:szCs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f1">
    <w:name w:val="endnote reference"/>
    <w:rPr>
      <w:vertAlign w:val="superscript"/>
    </w:rPr>
  </w:style>
  <w:style w:type="character" w:styleId="af2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3">
    <w:name w:val="Placeholder Text"/>
    <w:basedOn w:val="a0"/>
    <w:uiPriority w:val="99"/>
    <w:semiHidden/>
    <w:qFormat/>
    <w:rPr>
      <w:color w:val="666666"/>
    </w:rPr>
  </w:style>
  <w:style w:type="character" w:customStyle="1" w:styleId="FontStyle14">
    <w:name w:val="Font Style14"/>
    <w:uiPriority w:val="99"/>
    <w:qFormat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">
    <w:name w:val="Font Style15"/>
    <w:uiPriority w:val="99"/>
    <w:qFormat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6">
    <w:name w:val="Font Style16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af4">
    <w:name w:val="Верхний колонтитул Знак"/>
    <w:link w:val="af5"/>
    <w:uiPriority w:val="99"/>
    <w:qFormat/>
    <w:rPr>
      <w:rFonts w:cs="Times New Roman"/>
      <w:sz w:val="24"/>
      <w:szCs w:val="24"/>
    </w:rPr>
  </w:style>
  <w:style w:type="character" w:customStyle="1" w:styleId="af6">
    <w:name w:val="Нижний колонтитул Знак"/>
    <w:link w:val="af7"/>
    <w:uiPriority w:val="99"/>
    <w:qFormat/>
    <w:rPr>
      <w:rFonts w:cs="Times New Roman"/>
      <w:sz w:val="24"/>
      <w:szCs w:val="24"/>
    </w:rPr>
  </w:style>
  <w:style w:type="character" w:customStyle="1" w:styleId="af8">
    <w:name w:val="Абзац списка Знак"/>
    <w:link w:val="af9"/>
    <w:uiPriority w:val="99"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FontStyle28">
    <w:name w:val="Font Style28"/>
    <w:uiPriority w:val="99"/>
    <w:qFormat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7">
    <w:name w:val="Font Style27"/>
    <w:uiPriority w:val="99"/>
    <w:qFormat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11">
    <w:name w:val="Текст сноски Знак1"/>
    <w:link w:val="afa"/>
    <w:qFormat/>
    <w:rPr>
      <w:rFonts w:ascii="Arial" w:hAnsi="Arial" w:cs="Arial"/>
      <w:sz w:val="18"/>
      <w:szCs w:val="18"/>
      <w:lang w:eastAsia="zh-CN"/>
    </w:rPr>
  </w:style>
  <w:style w:type="character" w:customStyle="1" w:styleId="afb">
    <w:name w:val="Текст сноски Знак"/>
    <w:uiPriority w:val="99"/>
    <w:semiHidden/>
    <w:qFormat/>
  </w:style>
  <w:style w:type="character" w:customStyle="1" w:styleId="FootnoteCharactersuser">
    <w:name w:val="Footnote Characters (user)"/>
    <w:uiPriority w:val="99"/>
    <w:unhideWhenUsed/>
    <w:qFormat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c">
    <w:name w:val="footnote reference"/>
    <w:rPr>
      <w:vertAlign w:val="superscript"/>
    </w:rPr>
  </w:style>
  <w:style w:type="character" w:customStyle="1" w:styleId="Style1">
    <w:name w:val="Style1 Знак"/>
    <w:link w:val="Style10"/>
    <w:qFormat/>
    <w:rPr>
      <w:sz w:val="24"/>
      <w:szCs w:val="24"/>
    </w:rPr>
  </w:style>
  <w:style w:type="character" w:styleId="afd">
    <w:name w:val="Hyperlink"/>
    <w:link w:val="TableGridLight"/>
    <w:unhideWhenUsed/>
    <w:rPr>
      <w:color w:val="0000FF"/>
      <w:u w:val="single"/>
    </w:rPr>
  </w:style>
  <w:style w:type="character" w:customStyle="1" w:styleId="10">
    <w:name w:val="Заголовок 1 Знак"/>
    <w:link w:val="1"/>
    <w:uiPriority w:val="9"/>
    <w:qFormat/>
    <w:rPr>
      <w:b/>
      <w:sz w:val="36"/>
    </w:rPr>
  </w:style>
  <w:style w:type="character" w:customStyle="1" w:styleId="chars-valuevalue-min-val">
    <w:name w:val="chars-value__value-min-val"/>
    <w:qFormat/>
  </w:style>
  <w:style w:type="character" w:customStyle="1" w:styleId="chars-valuevalue-max-val">
    <w:name w:val="chars-value__value-max-val"/>
    <w:qFormat/>
  </w:style>
  <w:style w:type="character" w:customStyle="1" w:styleId="ktru-propertycaption">
    <w:name w:val="ktru-property__caption"/>
    <w:qFormat/>
  </w:style>
  <w:style w:type="character" w:customStyle="1" w:styleId="afe">
    <w:name w:val="Текст выноски Знак"/>
    <w:link w:val="aff"/>
    <w:uiPriority w:val="99"/>
    <w:semiHidden/>
    <w:qFormat/>
    <w:rPr>
      <w:rFonts w:ascii="Tahoma" w:hAnsi="Tahoma" w:cs="Tahoma"/>
      <w:sz w:val="16"/>
      <w:szCs w:val="16"/>
    </w:rPr>
  </w:style>
  <w:style w:type="character" w:styleId="aff0">
    <w:name w:val="Strong"/>
    <w:uiPriority w:val="22"/>
    <w:qFormat/>
    <w:rPr>
      <w:b/>
      <w:bCs/>
    </w:rPr>
  </w:style>
  <w:style w:type="paragraph" w:customStyle="1" w:styleId="Heading">
    <w:name w:val="Heading"/>
    <w:basedOn w:val="a"/>
    <w:next w:val="aff1"/>
    <w:qFormat/>
    <w:pPr>
      <w:keepNext/>
      <w:spacing w:before="240" w:after="120"/>
    </w:pPr>
    <w:rPr>
      <w:rFonts w:ascii="Liberation Sans" w:eastAsia="Noto Sans" w:hAnsi="Liberation Sans" w:cs="Noto Sans Devanagari"/>
      <w:sz w:val="28"/>
      <w:szCs w:val="28"/>
    </w:rPr>
  </w:style>
  <w:style w:type="paragraph" w:styleId="aff1">
    <w:name w:val="Body Text"/>
    <w:basedOn w:val="a"/>
    <w:pPr>
      <w:spacing w:after="140" w:line="276" w:lineRule="auto"/>
    </w:pPr>
  </w:style>
  <w:style w:type="paragraph" w:styleId="aff2">
    <w:name w:val="List"/>
    <w:basedOn w:val="aff1"/>
    <w:rPr>
      <w:rFonts w:cs="Noto Sans Devanagari"/>
    </w:rPr>
  </w:style>
  <w:style w:type="paragraph" w:styleId="aff3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4">
    <w:name w:val="Title"/>
    <w:basedOn w:val="a"/>
    <w:next w:val="a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f4">
    <w:name w:val="No Spacing"/>
    <w:basedOn w:val="a"/>
    <w:uiPriority w:val="1"/>
    <w:qFormat/>
  </w:style>
  <w:style w:type="paragraph" w:styleId="af0">
    <w:name w:val="endnote text"/>
    <w:basedOn w:val="a"/>
    <w:link w:val="af"/>
    <w:uiPriority w:val="99"/>
    <w:semiHidden/>
    <w:unhideWhenUsed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5">
    <w:name w:val="index heading"/>
    <w:basedOn w:val="Heading"/>
  </w:style>
  <w:style w:type="paragraph" w:styleId="aff6">
    <w:name w:val="TOC Heading"/>
    <w:uiPriority w:val="39"/>
    <w:unhideWhenUsed/>
    <w:qFormat/>
  </w:style>
  <w:style w:type="paragraph" w:styleId="aff7">
    <w:name w:val="table of figures"/>
    <w:basedOn w:val="a"/>
    <w:next w:val="a"/>
    <w:uiPriority w:val="99"/>
    <w:unhideWhenUsed/>
  </w:style>
  <w:style w:type="paragraph" w:customStyle="1" w:styleId="Style10">
    <w:name w:val="Style1"/>
    <w:basedOn w:val="a"/>
    <w:link w:val="Style1"/>
    <w:qFormat/>
    <w:pPr>
      <w:spacing w:line="228" w:lineRule="exact"/>
      <w:jc w:val="right"/>
    </w:pPr>
  </w:style>
  <w:style w:type="paragraph" w:customStyle="1" w:styleId="Style2">
    <w:name w:val="Style2"/>
    <w:basedOn w:val="a"/>
    <w:uiPriority w:val="99"/>
    <w:qFormat/>
    <w:pPr>
      <w:spacing w:line="290" w:lineRule="exact"/>
      <w:jc w:val="center"/>
    </w:pPr>
  </w:style>
  <w:style w:type="paragraph" w:customStyle="1" w:styleId="Style3">
    <w:name w:val="Style3"/>
    <w:basedOn w:val="a"/>
    <w:uiPriority w:val="99"/>
    <w:qFormat/>
    <w:pPr>
      <w:spacing w:line="293" w:lineRule="exact"/>
      <w:jc w:val="both"/>
    </w:pPr>
  </w:style>
  <w:style w:type="paragraph" w:customStyle="1" w:styleId="Style4">
    <w:name w:val="Style4"/>
    <w:basedOn w:val="a"/>
    <w:qFormat/>
    <w:pPr>
      <w:spacing w:line="277" w:lineRule="exact"/>
      <w:ind w:firstLine="408"/>
      <w:jc w:val="both"/>
    </w:pPr>
  </w:style>
  <w:style w:type="paragraph" w:customStyle="1" w:styleId="Style5">
    <w:name w:val="Style5"/>
    <w:basedOn w:val="a"/>
    <w:uiPriority w:val="99"/>
    <w:qFormat/>
  </w:style>
  <w:style w:type="paragraph" w:customStyle="1" w:styleId="Style6">
    <w:name w:val="Style6"/>
    <w:basedOn w:val="a"/>
    <w:uiPriority w:val="99"/>
    <w:qFormat/>
  </w:style>
  <w:style w:type="paragraph" w:customStyle="1" w:styleId="Style7">
    <w:name w:val="Style7"/>
    <w:basedOn w:val="a"/>
    <w:uiPriority w:val="99"/>
    <w:qFormat/>
    <w:pPr>
      <w:spacing w:line="317" w:lineRule="exact"/>
      <w:ind w:firstLine="149"/>
    </w:pPr>
  </w:style>
  <w:style w:type="paragraph" w:customStyle="1" w:styleId="Style8">
    <w:name w:val="Style8"/>
    <w:basedOn w:val="a"/>
    <w:uiPriority w:val="99"/>
    <w:qFormat/>
    <w:pPr>
      <w:spacing w:line="312" w:lineRule="exact"/>
    </w:pPr>
  </w:style>
  <w:style w:type="paragraph" w:customStyle="1" w:styleId="Style9">
    <w:name w:val="Style9"/>
    <w:basedOn w:val="a"/>
    <w:uiPriority w:val="99"/>
    <w:qFormat/>
    <w:pPr>
      <w:spacing w:line="317" w:lineRule="exact"/>
      <w:jc w:val="center"/>
    </w:pPr>
  </w:style>
  <w:style w:type="paragraph" w:customStyle="1" w:styleId="Style100">
    <w:name w:val="Style10"/>
    <w:basedOn w:val="a"/>
    <w:uiPriority w:val="99"/>
    <w:qFormat/>
    <w:pPr>
      <w:spacing w:line="317" w:lineRule="exact"/>
      <w:ind w:firstLine="456"/>
    </w:pPr>
  </w:style>
  <w:style w:type="paragraph" w:customStyle="1" w:styleId="Style11">
    <w:name w:val="Style11"/>
    <w:basedOn w:val="a"/>
    <w:uiPriority w:val="99"/>
    <w:qFormat/>
  </w:style>
  <w:style w:type="paragraph" w:customStyle="1" w:styleId="Style12">
    <w:name w:val="Style12"/>
    <w:basedOn w:val="a"/>
    <w:uiPriority w:val="99"/>
    <w:qFormat/>
    <w:pPr>
      <w:spacing w:line="518" w:lineRule="exact"/>
    </w:pPr>
  </w:style>
  <w:style w:type="paragraph" w:customStyle="1" w:styleId="HeaderandFooter">
    <w:name w:val="Header and Footer"/>
    <w:basedOn w:val="a"/>
    <w:qFormat/>
  </w:style>
  <w:style w:type="paragraph" w:styleId="af5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paragraph" w:styleId="af9">
    <w:name w:val="List Paragraph"/>
    <w:basedOn w:val="a"/>
    <w:link w:val="af8"/>
    <w:uiPriority w:val="34"/>
    <w:qFormat/>
    <w:pPr>
      <w:widowControl/>
      <w:spacing w:beforeAutospacing="1" w:afterAutospacing="1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fa">
    <w:name w:val="footnote text"/>
    <w:basedOn w:val="a"/>
    <w:link w:val="11"/>
    <w:unhideWhenUsed/>
    <w:qFormat/>
    <w:pPr>
      <w:widowControl/>
      <w:spacing w:after="60"/>
      <w:ind w:left="-426"/>
      <w:jc w:val="both"/>
    </w:pPr>
    <w:rPr>
      <w:rFonts w:ascii="Arial" w:hAnsi="Arial" w:cs="Arial"/>
      <w:sz w:val="18"/>
      <w:szCs w:val="18"/>
      <w:lang w:eastAsia="zh-CN"/>
    </w:rPr>
  </w:style>
  <w:style w:type="paragraph" w:customStyle="1" w:styleId="13">
    <w:name w:val="Обычный1"/>
    <w:uiPriority w:val="99"/>
    <w:qFormat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Times New Roman"/>
      <w:color w:val="000000"/>
    </w:rPr>
  </w:style>
  <w:style w:type="paragraph" w:customStyle="1" w:styleId="14">
    <w:name w:val="Гиперссылка1"/>
    <w:basedOn w:val="a"/>
    <w:qFormat/>
    <w:rPr>
      <w:color w:val="0000FF"/>
      <w:sz w:val="20"/>
      <w:szCs w:val="20"/>
      <w:u w:val="single"/>
    </w:rPr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customStyle="1" w:styleId="TableGridLight">
    <w:name w:val="Table Grid Light"/>
    <w:basedOn w:val="a1"/>
    <w:link w:val="afd"/>
    <w:uiPriority w:val="59"/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nil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nil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nil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nil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nil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nil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nil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F81BD" w:themeColor="accent1"/>
        <w:bottom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oto Sans" w:hAnsi="Times New Roman" w:cs="Noto Sans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 w:val="0"/>
    </w:pPr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spacing w:before="240" w:after="60"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FootnoteTextChar">
    <w:name w:val="Footnote Text Char"/>
    <w:basedOn w:val="a0"/>
    <w:uiPriority w:val="99"/>
    <w:semiHidden/>
    <w:qFormat/>
    <w:rPr>
      <w:sz w:val="20"/>
      <w:szCs w:val="20"/>
    </w:rPr>
  </w:style>
  <w:style w:type="character" w:customStyle="1" w:styleId="af">
    <w:name w:val="Текст концевой сноски Знак"/>
    <w:basedOn w:val="a0"/>
    <w:link w:val="af0"/>
    <w:uiPriority w:val="99"/>
    <w:semiHidden/>
    <w:qFormat/>
    <w:rPr>
      <w:sz w:val="20"/>
      <w:szCs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f1">
    <w:name w:val="endnote reference"/>
    <w:rPr>
      <w:vertAlign w:val="superscript"/>
    </w:rPr>
  </w:style>
  <w:style w:type="character" w:styleId="af2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3">
    <w:name w:val="Placeholder Text"/>
    <w:basedOn w:val="a0"/>
    <w:uiPriority w:val="99"/>
    <w:semiHidden/>
    <w:qFormat/>
    <w:rPr>
      <w:color w:val="666666"/>
    </w:rPr>
  </w:style>
  <w:style w:type="character" w:customStyle="1" w:styleId="FontStyle14">
    <w:name w:val="Font Style14"/>
    <w:uiPriority w:val="99"/>
    <w:qFormat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">
    <w:name w:val="Font Style15"/>
    <w:uiPriority w:val="99"/>
    <w:qFormat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6">
    <w:name w:val="Font Style16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af4">
    <w:name w:val="Верхний колонтитул Знак"/>
    <w:link w:val="af5"/>
    <w:uiPriority w:val="99"/>
    <w:qFormat/>
    <w:rPr>
      <w:rFonts w:cs="Times New Roman"/>
      <w:sz w:val="24"/>
      <w:szCs w:val="24"/>
    </w:rPr>
  </w:style>
  <w:style w:type="character" w:customStyle="1" w:styleId="af6">
    <w:name w:val="Нижний колонтитул Знак"/>
    <w:link w:val="af7"/>
    <w:uiPriority w:val="99"/>
    <w:qFormat/>
    <w:rPr>
      <w:rFonts w:cs="Times New Roman"/>
      <w:sz w:val="24"/>
      <w:szCs w:val="24"/>
    </w:rPr>
  </w:style>
  <w:style w:type="character" w:customStyle="1" w:styleId="af8">
    <w:name w:val="Абзац списка Знак"/>
    <w:link w:val="af9"/>
    <w:uiPriority w:val="99"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FontStyle28">
    <w:name w:val="Font Style28"/>
    <w:uiPriority w:val="99"/>
    <w:qFormat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7">
    <w:name w:val="Font Style27"/>
    <w:uiPriority w:val="99"/>
    <w:qFormat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11">
    <w:name w:val="Текст сноски Знак1"/>
    <w:link w:val="afa"/>
    <w:qFormat/>
    <w:rPr>
      <w:rFonts w:ascii="Arial" w:hAnsi="Arial" w:cs="Arial"/>
      <w:sz w:val="18"/>
      <w:szCs w:val="18"/>
      <w:lang w:eastAsia="zh-CN"/>
    </w:rPr>
  </w:style>
  <w:style w:type="character" w:customStyle="1" w:styleId="afb">
    <w:name w:val="Текст сноски Знак"/>
    <w:uiPriority w:val="99"/>
    <w:semiHidden/>
    <w:qFormat/>
  </w:style>
  <w:style w:type="character" w:customStyle="1" w:styleId="FootnoteCharactersuser">
    <w:name w:val="Footnote Characters (user)"/>
    <w:uiPriority w:val="99"/>
    <w:unhideWhenUsed/>
    <w:qFormat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c">
    <w:name w:val="footnote reference"/>
    <w:rPr>
      <w:vertAlign w:val="superscript"/>
    </w:rPr>
  </w:style>
  <w:style w:type="character" w:customStyle="1" w:styleId="Style1">
    <w:name w:val="Style1 Знак"/>
    <w:link w:val="Style10"/>
    <w:qFormat/>
    <w:rPr>
      <w:sz w:val="24"/>
      <w:szCs w:val="24"/>
    </w:rPr>
  </w:style>
  <w:style w:type="character" w:styleId="afd">
    <w:name w:val="Hyperlink"/>
    <w:link w:val="TableGridLight"/>
    <w:unhideWhenUsed/>
    <w:rPr>
      <w:color w:val="0000FF"/>
      <w:u w:val="single"/>
    </w:rPr>
  </w:style>
  <w:style w:type="character" w:customStyle="1" w:styleId="10">
    <w:name w:val="Заголовок 1 Знак"/>
    <w:link w:val="1"/>
    <w:uiPriority w:val="9"/>
    <w:qFormat/>
    <w:rPr>
      <w:b/>
      <w:sz w:val="36"/>
    </w:rPr>
  </w:style>
  <w:style w:type="character" w:customStyle="1" w:styleId="chars-valuevalue-min-val">
    <w:name w:val="chars-value__value-min-val"/>
    <w:qFormat/>
  </w:style>
  <w:style w:type="character" w:customStyle="1" w:styleId="chars-valuevalue-max-val">
    <w:name w:val="chars-value__value-max-val"/>
    <w:qFormat/>
  </w:style>
  <w:style w:type="character" w:customStyle="1" w:styleId="ktru-propertycaption">
    <w:name w:val="ktru-property__caption"/>
    <w:qFormat/>
  </w:style>
  <w:style w:type="character" w:customStyle="1" w:styleId="afe">
    <w:name w:val="Текст выноски Знак"/>
    <w:link w:val="aff"/>
    <w:uiPriority w:val="99"/>
    <w:semiHidden/>
    <w:qFormat/>
    <w:rPr>
      <w:rFonts w:ascii="Tahoma" w:hAnsi="Tahoma" w:cs="Tahoma"/>
      <w:sz w:val="16"/>
      <w:szCs w:val="16"/>
    </w:rPr>
  </w:style>
  <w:style w:type="character" w:styleId="aff0">
    <w:name w:val="Strong"/>
    <w:uiPriority w:val="22"/>
    <w:qFormat/>
    <w:rPr>
      <w:b/>
      <w:bCs/>
    </w:rPr>
  </w:style>
  <w:style w:type="paragraph" w:customStyle="1" w:styleId="Heading">
    <w:name w:val="Heading"/>
    <w:basedOn w:val="a"/>
    <w:next w:val="aff1"/>
    <w:qFormat/>
    <w:pPr>
      <w:keepNext/>
      <w:spacing w:before="240" w:after="120"/>
    </w:pPr>
    <w:rPr>
      <w:rFonts w:ascii="Liberation Sans" w:eastAsia="Noto Sans" w:hAnsi="Liberation Sans" w:cs="Noto Sans Devanagari"/>
      <w:sz w:val="28"/>
      <w:szCs w:val="28"/>
    </w:rPr>
  </w:style>
  <w:style w:type="paragraph" w:styleId="aff1">
    <w:name w:val="Body Text"/>
    <w:basedOn w:val="a"/>
    <w:pPr>
      <w:spacing w:after="140" w:line="276" w:lineRule="auto"/>
    </w:pPr>
  </w:style>
  <w:style w:type="paragraph" w:styleId="aff2">
    <w:name w:val="List"/>
    <w:basedOn w:val="aff1"/>
    <w:rPr>
      <w:rFonts w:cs="Noto Sans Devanagari"/>
    </w:rPr>
  </w:style>
  <w:style w:type="paragraph" w:styleId="aff3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4">
    <w:name w:val="Title"/>
    <w:basedOn w:val="a"/>
    <w:next w:val="a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f4">
    <w:name w:val="No Spacing"/>
    <w:basedOn w:val="a"/>
    <w:uiPriority w:val="1"/>
    <w:qFormat/>
  </w:style>
  <w:style w:type="paragraph" w:styleId="af0">
    <w:name w:val="endnote text"/>
    <w:basedOn w:val="a"/>
    <w:link w:val="af"/>
    <w:uiPriority w:val="99"/>
    <w:semiHidden/>
    <w:unhideWhenUsed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5">
    <w:name w:val="index heading"/>
    <w:basedOn w:val="Heading"/>
  </w:style>
  <w:style w:type="paragraph" w:styleId="aff6">
    <w:name w:val="TOC Heading"/>
    <w:uiPriority w:val="39"/>
    <w:unhideWhenUsed/>
    <w:qFormat/>
  </w:style>
  <w:style w:type="paragraph" w:styleId="aff7">
    <w:name w:val="table of figures"/>
    <w:basedOn w:val="a"/>
    <w:next w:val="a"/>
    <w:uiPriority w:val="99"/>
    <w:unhideWhenUsed/>
  </w:style>
  <w:style w:type="paragraph" w:customStyle="1" w:styleId="Style10">
    <w:name w:val="Style1"/>
    <w:basedOn w:val="a"/>
    <w:link w:val="Style1"/>
    <w:qFormat/>
    <w:pPr>
      <w:spacing w:line="228" w:lineRule="exact"/>
      <w:jc w:val="right"/>
    </w:pPr>
  </w:style>
  <w:style w:type="paragraph" w:customStyle="1" w:styleId="Style2">
    <w:name w:val="Style2"/>
    <w:basedOn w:val="a"/>
    <w:uiPriority w:val="99"/>
    <w:qFormat/>
    <w:pPr>
      <w:spacing w:line="290" w:lineRule="exact"/>
      <w:jc w:val="center"/>
    </w:pPr>
  </w:style>
  <w:style w:type="paragraph" w:customStyle="1" w:styleId="Style3">
    <w:name w:val="Style3"/>
    <w:basedOn w:val="a"/>
    <w:uiPriority w:val="99"/>
    <w:qFormat/>
    <w:pPr>
      <w:spacing w:line="293" w:lineRule="exact"/>
      <w:jc w:val="both"/>
    </w:pPr>
  </w:style>
  <w:style w:type="paragraph" w:customStyle="1" w:styleId="Style4">
    <w:name w:val="Style4"/>
    <w:basedOn w:val="a"/>
    <w:qFormat/>
    <w:pPr>
      <w:spacing w:line="277" w:lineRule="exact"/>
      <w:ind w:firstLine="408"/>
      <w:jc w:val="both"/>
    </w:pPr>
  </w:style>
  <w:style w:type="paragraph" w:customStyle="1" w:styleId="Style5">
    <w:name w:val="Style5"/>
    <w:basedOn w:val="a"/>
    <w:uiPriority w:val="99"/>
    <w:qFormat/>
  </w:style>
  <w:style w:type="paragraph" w:customStyle="1" w:styleId="Style6">
    <w:name w:val="Style6"/>
    <w:basedOn w:val="a"/>
    <w:uiPriority w:val="99"/>
    <w:qFormat/>
  </w:style>
  <w:style w:type="paragraph" w:customStyle="1" w:styleId="Style7">
    <w:name w:val="Style7"/>
    <w:basedOn w:val="a"/>
    <w:uiPriority w:val="99"/>
    <w:qFormat/>
    <w:pPr>
      <w:spacing w:line="317" w:lineRule="exact"/>
      <w:ind w:firstLine="149"/>
    </w:pPr>
  </w:style>
  <w:style w:type="paragraph" w:customStyle="1" w:styleId="Style8">
    <w:name w:val="Style8"/>
    <w:basedOn w:val="a"/>
    <w:uiPriority w:val="99"/>
    <w:qFormat/>
    <w:pPr>
      <w:spacing w:line="312" w:lineRule="exact"/>
    </w:pPr>
  </w:style>
  <w:style w:type="paragraph" w:customStyle="1" w:styleId="Style9">
    <w:name w:val="Style9"/>
    <w:basedOn w:val="a"/>
    <w:uiPriority w:val="99"/>
    <w:qFormat/>
    <w:pPr>
      <w:spacing w:line="317" w:lineRule="exact"/>
      <w:jc w:val="center"/>
    </w:pPr>
  </w:style>
  <w:style w:type="paragraph" w:customStyle="1" w:styleId="Style100">
    <w:name w:val="Style10"/>
    <w:basedOn w:val="a"/>
    <w:uiPriority w:val="99"/>
    <w:qFormat/>
    <w:pPr>
      <w:spacing w:line="317" w:lineRule="exact"/>
      <w:ind w:firstLine="456"/>
    </w:pPr>
  </w:style>
  <w:style w:type="paragraph" w:customStyle="1" w:styleId="Style11">
    <w:name w:val="Style11"/>
    <w:basedOn w:val="a"/>
    <w:uiPriority w:val="99"/>
    <w:qFormat/>
  </w:style>
  <w:style w:type="paragraph" w:customStyle="1" w:styleId="Style12">
    <w:name w:val="Style12"/>
    <w:basedOn w:val="a"/>
    <w:uiPriority w:val="99"/>
    <w:qFormat/>
    <w:pPr>
      <w:spacing w:line="518" w:lineRule="exact"/>
    </w:pPr>
  </w:style>
  <w:style w:type="paragraph" w:customStyle="1" w:styleId="HeaderandFooter">
    <w:name w:val="Header and Footer"/>
    <w:basedOn w:val="a"/>
    <w:qFormat/>
  </w:style>
  <w:style w:type="paragraph" w:styleId="af5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paragraph" w:styleId="af9">
    <w:name w:val="List Paragraph"/>
    <w:basedOn w:val="a"/>
    <w:link w:val="af8"/>
    <w:uiPriority w:val="34"/>
    <w:qFormat/>
    <w:pPr>
      <w:widowControl/>
      <w:spacing w:beforeAutospacing="1" w:afterAutospacing="1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fa">
    <w:name w:val="footnote text"/>
    <w:basedOn w:val="a"/>
    <w:link w:val="11"/>
    <w:unhideWhenUsed/>
    <w:qFormat/>
    <w:pPr>
      <w:widowControl/>
      <w:spacing w:after="60"/>
      <w:ind w:left="-426"/>
      <w:jc w:val="both"/>
    </w:pPr>
    <w:rPr>
      <w:rFonts w:ascii="Arial" w:hAnsi="Arial" w:cs="Arial"/>
      <w:sz w:val="18"/>
      <w:szCs w:val="18"/>
      <w:lang w:eastAsia="zh-CN"/>
    </w:rPr>
  </w:style>
  <w:style w:type="paragraph" w:customStyle="1" w:styleId="13">
    <w:name w:val="Обычный1"/>
    <w:uiPriority w:val="99"/>
    <w:qFormat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Times New Roman"/>
      <w:color w:val="000000"/>
    </w:rPr>
  </w:style>
  <w:style w:type="paragraph" w:customStyle="1" w:styleId="14">
    <w:name w:val="Гиперссылка1"/>
    <w:basedOn w:val="a"/>
    <w:qFormat/>
    <w:rPr>
      <w:color w:val="0000FF"/>
      <w:sz w:val="20"/>
      <w:szCs w:val="20"/>
      <w:u w:val="single"/>
    </w:rPr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customStyle="1" w:styleId="TableGridLight">
    <w:name w:val="Table Grid Light"/>
    <w:basedOn w:val="a1"/>
    <w:link w:val="afd"/>
    <w:uiPriority w:val="59"/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nil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nil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nil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nil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nil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nil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nil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left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left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F81BD" w:themeColor="accent1"/>
        <w:bottom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4F81BD" w:themeColor="accent1"/>
      </w:tblBorders>
      <w:tblCellMar>
        <w:left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D99695" w:themeColor="accent2" w:themeTint="97"/>
      </w:tblBorders>
      <w:tblCellMar>
        <w:left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C3D69B" w:themeColor="accent3" w:themeTint="98"/>
      </w:tblBorders>
      <w:tblCellMar>
        <w:left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B2A1C6" w:themeColor="accent4" w:themeTint="9A"/>
      </w:tblBorders>
      <w:tblCellMar>
        <w:left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92CCDC" w:themeColor="accent5" w:themeTint="9A"/>
      </w:tblBorders>
      <w:tblCellMar>
        <w:left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FAC090" w:themeColor="accent6" w:themeTint="98"/>
      </w:tblBorders>
      <w:tblCellMar>
        <w:left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978</Words>
  <Characters>5580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 оказание услуг по установке, настройке и продлению лицензий имеющихся копий автоматизированных справочных правовых систем «Консультант Плюс» в районных (городских) судах Республики Татарстан, Казанского военного гарнизонного суда</vt:lpstr>
    </vt:vector>
  </TitlesOfParts>
  <Company/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оказание услуг по установке, настройке и продлению лицензий имеющихся копий автоматизированных справочных правовых систем «Консультант Плюс» в районных (городских) судах Республики Татарстан, Казанского военного гарнизонного суда</dc:title>
  <dc:creator>Сергей А. Павличенко</dc:creator>
  <cp:lastModifiedBy>Сучков М.С.</cp:lastModifiedBy>
  <cp:revision>2</cp:revision>
  <dcterms:created xsi:type="dcterms:W3CDTF">2026-07-22T07:20:00Z</dcterms:created>
  <dcterms:modified xsi:type="dcterms:W3CDTF">2026-07-22T07:20:00Z</dcterms:modified>
  <dc:language>en-US</dc:language>
</cp:coreProperties>
</file>