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ТЕХНИЧЕСКАЯ ЧАСТЬ</w:t>
      </w: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СВЕДЕНИЯ ОБ ОБЪЕКТЕ ЗАКУПКИ</w:t>
      </w:r>
      <w:r>
        <w:rPr>
          <w:rFonts w:ascii="Times New Roman" w:hAnsi="Times New Roman"/>
          <w:b/>
          <w:bCs/>
          <w:color w:val="ff0000"/>
          <w:sz w:val="20"/>
          <w:szCs w:val="20"/>
        </w:rPr>
      </w:r>
      <w:r>
        <w:rPr>
          <w:rFonts w:ascii="Times New Roman" w:hAnsi="Times New Roman"/>
          <w:b/>
          <w:bCs/>
          <w:color w:val="ff0000"/>
          <w:sz w:val="20"/>
          <w:szCs w:val="2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/>
          <w:b/>
          <w:bCs/>
          <w:color w:val="ff0000"/>
          <w:sz w:val="20"/>
          <w:szCs w:val="20"/>
        </w:rPr>
      </w:r>
      <w:r>
        <w:rPr>
          <w:rFonts w:ascii="Times New Roman" w:hAnsi="Times New Roman"/>
          <w:b/>
          <w:bCs/>
          <w:color w:val="ff0000"/>
          <w:sz w:val="20"/>
          <w:szCs w:val="20"/>
        </w:rPr>
      </w:r>
      <w:r>
        <w:rPr>
          <w:rFonts w:ascii="Times New Roman" w:hAnsi="Times New Roman"/>
          <w:b/>
          <w:bCs/>
          <w:color w:val="ff0000"/>
          <w:sz w:val="20"/>
          <w:szCs w:val="20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</w:r>
      <w:r>
        <w:rPr>
          <w:rFonts w:ascii="Times New Roman" w:hAnsi="Times New Roman" w:cs="Times New Roman"/>
          <w:b/>
          <w:bCs/>
          <w:color w:val="000000"/>
        </w:rPr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pBdr/>
        <w:spacing w:after="0" w:line="240" w:lineRule="auto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1. </w:t>
      </w:r>
      <w:r>
        <w:rPr>
          <w:rFonts w:ascii="Times New Roman" w:hAnsi="Times New Roman"/>
          <w:lang w:eastAsia="ru-RU"/>
        </w:rPr>
        <w:t xml:space="preserve">Общие требования к условиям закупки: поставляемый товар должен соответствовать техническим требованиям настоящей части. В этих случаях продукция считается соответствующей требованиям: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1.1.</w:t>
      </w:r>
      <w:r>
        <w:rPr>
          <w:rFonts w:ascii="Times New Roman" w:hAnsi="Times New Roman"/>
          <w:lang w:eastAsia="ru-RU"/>
        </w:rPr>
        <w:t xml:space="preserve"> Товар, поставка которого предусмотрена требованиям настоящего технического задания, должен быть разрешен к применению на территории Российской Федерации.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1.2. Поставляемый</w:t>
      </w:r>
      <w:r>
        <w:rPr>
          <w:rFonts w:ascii="Times New Roman" w:hAnsi="Times New Roman"/>
          <w:lang w:eastAsia="ru-RU"/>
        </w:rPr>
        <w:t xml:space="preserve"> товар должен быть новым, ранее не использованным, не подвергнутый восстановлению, в </w:t>
      </w:r>
      <w:r>
        <w:rPr>
          <w:rFonts w:ascii="Times New Roman" w:hAnsi="Times New Roman"/>
          <w:lang w:eastAsia="ru-RU"/>
        </w:rPr>
        <w:t xml:space="preserve">том числе в качестве выставочного образца и свободным от прав третьих лиц.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1.3. Поставляемый товар должен быть упакован в заводских условиях. Упаковка каждой единицы товара должна быть выполнена в соответствии с техническими условиями производителя и соотв</w:t>
      </w:r>
      <w:r>
        <w:rPr>
          <w:rFonts w:ascii="Times New Roman" w:hAnsi="Times New Roman"/>
          <w:lang w:eastAsia="ru-RU"/>
        </w:rPr>
        <w:t xml:space="preserve">етствовать требованиям ГОСТ. Упаковка товара должна иметь информацию об изделии, фирме изготовителе, стране происхождения (производства), каталожный номер (если предусмотрен производителем), номер и серию партии, дату изготовления и срок годности. Информац</w:t>
      </w:r>
      <w:r>
        <w:rPr>
          <w:rFonts w:ascii="Times New Roman" w:hAnsi="Times New Roman"/>
          <w:lang w:eastAsia="ru-RU"/>
        </w:rPr>
        <w:t xml:space="preserve">ия о продукции, содержащаяся на упаковке должна быть на русском языке, либо содержать перевод на русский язык. Если это предусмотрено нормативами и стандартами, принятыми для соответствующего вида продукции на территории Российской Федерации, упаковка тако</w:t>
      </w:r>
      <w:r>
        <w:rPr>
          <w:rFonts w:ascii="Times New Roman" w:hAnsi="Times New Roman"/>
          <w:lang w:eastAsia="ru-RU"/>
        </w:rPr>
        <w:t xml:space="preserve">й продукции должна содержать инструкцию по эксплуатации (применению, использованию) на русском языке. Товар должен поставляться в не нарушенной (не поврежденной) упаковке изготовителя.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1.4. Товар должен соответствовать современным нормам качества и функцио</w:t>
      </w:r>
      <w:r>
        <w:rPr>
          <w:rFonts w:ascii="Times New Roman" w:hAnsi="Times New Roman"/>
          <w:lang w:eastAsia="ru-RU"/>
        </w:rPr>
        <w:t xml:space="preserve">нальности. Участник обязан гарантировать качество и годность продукции к эксплуатации, при использовании, в целях, для которых предназначен данный товар. Сроки годности, гарантии каждого вида товара должны соответствовать, указанным в настоящем техническом</w:t>
      </w:r>
      <w:r>
        <w:rPr>
          <w:rFonts w:ascii="Times New Roman" w:hAnsi="Times New Roman"/>
          <w:lang w:eastAsia="ru-RU"/>
        </w:rPr>
        <w:t xml:space="preserve"> задании.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1.5. Товар должен соответствовать его функциональному назначению. Внешний вид товара, его целостность, дизайн, стиль, производственное исполнение должны удовлетворять эстетические потребности человека.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1.6. Товар должен быть безопасными для окру</w:t>
      </w:r>
      <w:r>
        <w:rPr>
          <w:rFonts w:ascii="Times New Roman" w:hAnsi="Times New Roman"/>
          <w:lang w:eastAsia="ru-RU"/>
        </w:rPr>
        <w:t xml:space="preserve">жающей среды и человека. Гигиенические характеристики товара могут быть подтверждено по желанию Участника при поставке товара копиями документов: сертификатами качества товара, декларациями соответствия, отказными письмами или иными документами на усмотрен</w:t>
      </w:r>
      <w:r>
        <w:rPr>
          <w:rFonts w:ascii="Times New Roman" w:hAnsi="Times New Roman"/>
          <w:lang w:eastAsia="ru-RU"/>
        </w:rPr>
        <w:t xml:space="preserve">ие участника (документы не являются обязательными).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1.7. На поверхностях товара недопустимо наличие царапин, сколов, потертостей, вмятин.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1.8. Требования</w:t>
      </w:r>
      <w:r>
        <w:rPr>
          <w:rFonts w:ascii="Times New Roman" w:hAnsi="Times New Roman"/>
        </w:rPr>
        <w:t xml:space="preserve"> к функциональным, техническим, качественным и эксплуатационным характеристикам, требования к безопасно</w:t>
      </w:r>
      <w:r>
        <w:rPr>
          <w:rFonts w:ascii="Times New Roman" w:hAnsi="Times New Roman"/>
        </w:rPr>
        <w:t xml:space="preserve">сти товаров и их количество предусмотрены настоящей технической частью.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/>
        <w:contextualSpacing w:val="true"/>
        <w:jc w:val="both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Место поставки: </w:t>
      </w:r>
      <w:r>
        <w:rPr>
          <w:rFonts w:ascii="Times New Roman" w:hAnsi="Times New Roman"/>
        </w:rPr>
        <w:t xml:space="preserve">г. Хабаровск, ул. Муравьева Амурского 35</w:t>
      </w:r>
      <w:r>
        <w:rPr>
          <w:rFonts w:ascii="Times New Roman" w:hAnsi="Times New Roman"/>
          <w:color w:val="000000"/>
        </w:rPr>
        <w:t xml:space="preserve">; цокольный этаж (Кафедра нормальной и топографической анатомии с курсом оперативной хирургии)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Bdr/>
        <w:spacing w:line="240" w:lineRule="auto"/>
        <w:ind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Срок поставки</w:t>
      </w:r>
      <w:r>
        <w:rPr>
          <w:rFonts w:ascii="Times New Roman" w:hAnsi="Times New Roman"/>
        </w:rPr>
        <w:t xml:space="preserve">: В течение 30 (тридцати) дней после подписания Контракта.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/>
        <w:contextualSpacing w:val="true"/>
        <w:outlineLvl w:val="0"/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 xml:space="preserve">Количество к поставке:</w:t>
      </w:r>
      <w:r>
        <w:rPr>
          <w:rFonts w:ascii="Times New Roman" w:hAnsi="Times New Roman"/>
          <w:b/>
          <w:shd w:val="clear" w:color="auto" w:fill="ffffff"/>
        </w:rPr>
      </w:r>
      <w:r>
        <w:rPr>
          <w:rFonts w:ascii="Times New Roman" w:hAnsi="Times New Roman"/>
          <w:b/>
          <w:shd w:val="clear" w:color="auto" w:fill="ffffff"/>
        </w:rPr>
      </w:r>
    </w:p>
    <w:p>
      <w:pPr>
        <w:pBdr/>
        <w:spacing w:after="0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Ind w:w="108" w:type="dxa"/>
        <w:tblW w:w="4926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703"/>
        <w:gridCol w:w="3298"/>
        <w:gridCol w:w="1572"/>
        <w:gridCol w:w="975"/>
        <w:gridCol w:w="1532"/>
        <w:gridCol w:w="2444"/>
      </w:tblGrid>
      <w:tr>
        <w:trPr>
          <w:trHeight w:val="276"/>
        </w:trPr>
        <w:tc>
          <w:tcPr>
            <w:tcBorders/>
            <w:tcW w:w="334" w:type="pct"/>
            <w:vAlign w:val="center"/>
            <w:textDirection w:val="lrTb"/>
            <w:noWrap w:val="false"/>
          </w:tcPr>
          <w:p>
            <w:pPr>
              <w:pBdr/>
              <w:spacing w:before="240" w:line="240" w:lineRule="auto"/>
              <w:ind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п/п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/>
            <w:tcW w:w="1567" w:type="pct"/>
            <w:vAlign w:val="center"/>
            <w:textDirection w:val="lrTb"/>
            <w:noWrap w:val="false"/>
          </w:tcPr>
          <w:p>
            <w:pPr>
              <w:pBdr/>
              <w:spacing w:before="240" w:line="240" w:lineRule="auto"/>
              <w:ind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товара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/>
            <w:tcW w:w="747" w:type="pct"/>
            <w:vAlign w:val="center"/>
            <w:textDirection w:val="lrTb"/>
            <w:noWrap w:val="false"/>
          </w:tcPr>
          <w:p>
            <w:pPr>
              <w:pBdr/>
              <w:spacing w:before="240" w:line="240" w:lineRule="auto"/>
              <w:ind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Ед.изм.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/>
            <w:tcW w:w="463" w:type="pct"/>
            <w:vAlign w:val="center"/>
            <w:textDirection w:val="lrTb"/>
            <w:noWrap w:val="false"/>
          </w:tcPr>
          <w:p>
            <w:pPr>
              <w:pBdr/>
              <w:spacing w:before="240" w:line="240" w:lineRule="auto"/>
              <w:ind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Кол-во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/>
            <w:tcW w:w="728" w:type="pct"/>
            <w:vAlign w:val="center"/>
            <w:textDirection w:val="lrTb"/>
            <w:noWrap w:val="false"/>
          </w:tcPr>
          <w:p>
            <w:pPr>
              <w:pBdr/>
              <w:spacing w:before="240" w:line="240" w:lineRule="auto"/>
              <w:ind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ОКПД 2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/>
            <w:tcW w:w="1161" w:type="pct"/>
            <w:vAlign w:val="center"/>
            <w:textDirection w:val="lrTb"/>
            <w:noWrap w:val="false"/>
          </w:tcPr>
          <w:p>
            <w:pPr>
              <w:pBdr/>
              <w:spacing w:before="240" w:line="240" w:lineRule="auto"/>
              <w:ind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КТРУ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rPr>
          <w:trHeight w:val="723"/>
        </w:trPr>
        <w:tc>
          <w:tcPr>
            <w:tcBorders/>
            <w:tcW w:w="33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1567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Формалин технический</w:t>
            </w:r>
            <w:r>
              <w:rPr>
                <w:rFonts w:ascii="Times New Roman" w:hAnsi="Times New Roman"/>
                <w:bCs/>
              </w:rPr>
            </w:r>
            <w:r>
              <w:rPr>
                <w:rFonts w:ascii="Times New Roman" w:hAnsi="Times New Roman"/>
                <w:bCs/>
              </w:rPr>
            </w:r>
          </w:p>
        </w:tc>
        <w:tc>
          <w:tcPr>
            <w:shd w:val="clear" w:color="ffffff" w:fill="ffffff"/>
            <w:tcBorders/>
            <w:tcW w:w="747" w:type="pct"/>
            <w:vAlign w:val="center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кг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463" w:type="pct"/>
            <w:vAlign w:val="center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3003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72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20.14.61.110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1161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-------------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Bdr/>
        <w:spacing w:after="0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contextualSpacing w:val="true"/>
        <w:jc w:val="center"/>
        <w:rPr>
          <w:rFonts w:ascii="Times New Roman" w:hAnsi="Times New Roman" w:eastAsia="Times New Roman"/>
          <w:b/>
          <w:bCs/>
        </w:rPr>
      </w:pPr>
      <w:r>
        <w:rPr>
          <w:rFonts w:ascii="Times New Roman" w:hAnsi="Times New Roman" w:eastAsia="Times New Roman"/>
          <w:b/>
          <w:bCs/>
          <w:lang w:eastAsia="ru-RU"/>
        </w:rPr>
        <w:t xml:space="preserve">Функциональные, технические и качественные характеристики, эксплуатационные характеристики товара.</w:t>
      </w:r>
      <w:r>
        <w:rPr>
          <w:rFonts w:ascii="Times New Roman" w:hAnsi="Times New Roman" w:eastAsia="Times New Roman"/>
          <w:b/>
          <w:bCs/>
        </w:rPr>
      </w:r>
      <w:r>
        <w:rPr>
          <w:rFonts w:ascii="Times New Roman" w:hAnsi="Times New Roman" w:eastAsia="Times New Roman"/>
          <w:b/>
          <w:bCs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eastAsia="Times New Roman"/>
          <w:b/>
          <w:bCs/>
        </w:rPr>
      </w:pPr>
      <w:r>
        <w:rPr>
          <w:rFonts w:ascii="Times New Roman" w:hAnsi="Times New Roman" w:eastAsia="Times New Roman"/>
          <w:b/>
          <w:bCs/>
          <w:lang w:eastAsia="ru-RU"/>
        </w:rPr>
        <w:t xml:space="preserve">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</w:t>
      </w:r>
      <w:r>
        <w:rPr>
          <w:rFonts w:ascii="Times New Roman" w:hAnsi="Times New Roman" w:eastAsia="Times New Roman"/>
          <w:b/>
          <w:bCs/>
          <w:lang w:eastAsia="ru-RU"/>
        </w:rPr>
        <w:t xml:space="preserve">также значения показателей, которые не могут изменяться</w:t>
      </w:r>
      <w:r>
        <w:rPr>
          <w:rFonts w:ascii="Times New Roman" w:hAnsi="Times New Roman" w:eastAsia="Times New Roman"/>
          <w:b/>
          <w:bCs/>
        </w:rPr>
      </w:r>
      <w:r>
        <w:rPr>
          <w:rFonts w:ascii="Times New Roman" w:hAnsi="Times New Roman" w:eastAsia="Times New Roman"/>
          <w:b/>
          <w:bCs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eastAsia="Times New Roman"/>
          <w:b/>
          <w:bCs/>
          <w:sz w:val="20"/>
          <w:szCs w:val="20"/>
        </w:rPr>
      </w:pPr>
      <w:r>
        <w:rPr>
          <w:rFonts w:ascii="Times New Roman" w:hAnsi="Times New Roman" w:eastAsia="Times New Roman"/>
          <w:b/>
          <w:bCs/>
          <w:sz w:val="20"/>
          <w:szCs w:val="20"/>
        </w:rPr>
      </w:r>
      <w:r>
        <w:rPr>
          <w:rFonts w:ascii="Times New Roman" w:hAnsi="Times New Roman" w:eastAsia="Times New Roman"/>
          <w:b/>
          <w:bCs/>
          <w:sz w:val="20"/>
          <w:szCs w:val="20"/>
        </w:rPr>
      </w:r>
      <w:r>
        <w:rPr>
          <w:rFonts w:ascii="Times New Roman" w:hAnsi="Times New Roman" w:eastAsia="Times New Roman"/>
          <w:b/>
          <w:bCs/>
          <w:sz w:val="20"/>
          <w:szCs w:val="20"/>
        </w:rPr>
      </w:r>
    </w:p>
    <w:tbl>
      <w:tblPr>
        <w:tblStyle w:val="907"/>
        <w:tblInd w:w="238" w:type="dxa"/>
        <w:tblW w:w="10346" w:type="dxa"/>
        <w:tblBorders/>
        <w:tblLayout w:type="fixed"/>
        <w:tblLook w:val="04A0" w:firstRow="1" w:lastRow="0" w:firstColumn="1" w:lastColumn="0" w:noHBand="0" w:noVBand="1"/>
      </w:tblPr>
      <w:tblGrid>
        <w:gridCol w:w="566"/>
        <w:gridCol w:w="4218"/>
        <w:gridCol w:w="2728"/>
        <w:gridCol w:w="2834"/>
      </w:tblGrid>
      <w:tr>
        <w:trPr/>
        <w:tc>
          <w:tcPr>
            <w:tcBorders/>
            <w:tcW w:w="5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         п/п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42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Наименование, характеристики, параметры товара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27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Требуемое значение, величина параметра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28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Обоснование включение дополнительной информации и сведений о товаре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rPr>
          <w:trHeight w:val="296"/>
        </w:trPr>
        <w:tc>
          <w:tcPr>
            <w:tcBorders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/>
            <w:tcW w:w="42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Формалин технический 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/>
            <w:tcW w:w="272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/>
            <w:tcW w:w="28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/>
        <w:tc>
          <w:tcPr>
            <w:tcBorders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/>
            <w:tcW w:w="421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Наименование в соответствии с техническим паспортом и/или руководством по эксплуатации 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/или этикеткой производителя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/>
            <w:tcW w:w="272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не установлено, указывается поставщиком в заявке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/>
            <w:tcW w:w="28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/>
        <w:tc>
          <w:tcPr>
            <w:tcBorders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2.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/>
            <w:tcW w:w="421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Товарный знак 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/>
            <w:tcW w:w="272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не установлен, указывается поставщиком в заявке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при наличии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/>
            <w:tcW w:w="28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/>
        <w:tc>
          <w:tcPr>
            <w:tcBorders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/>
            <w:tcW w:w="421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Страна происхождения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/>
            <w:tcW w:w="272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не установлена, указывается поставщиком в заявке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/>
            <w:tcW w:w="28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/>
        <w:tc>
          <w:tcPr>
            <w:tcBorders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/>
            <w:tcW w:w="421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Назначение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Borders/>
            <w:tcW w:w="272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hd w:val="clear" w:color="auto" w:fill="ffffff"/>
              </w:rPr>
              <w:t xml:space="preserve">для фиксации биологических, гистологических анатомических материалов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8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/>
        <w:tc>
          <w:tcPr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4218" w:type="dxa"/>
            <w:vAlign w:val="center"/>
            <w:textDirection w:val="lrTb"/>
            <w:noWrap w:val="false"/>
          </w:tcPr>
          <w:p>
            <w:pPr>
              <w:pStyle w:val="922"/>
              <w:pBdr/>
              <w:spacing/>
              <w:ind/>
              <w:rPr>
                <w:rFonts w:ascii="Times New Roman" w:hAnsi="Times New Roman"/>
                <w:color w:val="1b0d0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Марка </w:t>
            </w:r>
            <w:r>
              <w:rPr>
                <w:rFonts w:ascii="Times New Roman" w:hAnsi="Times New Roman"/>
                <w:color w:val="1b0d0e"/>
              </w:rPr>
            </w:r>
            <w:r>
              <w:rPr>
                <w:rFonts w:ascii="Times New Roman" w:hAnsi="Times New Roman"/>
                <w:color w:val="1b0d0e"/>
              </w:rPr>
            </w:r>
          </w:p>
        </w:tc>
        <w:tc>
          <w:tcPr>
            <w:tcBorders/>
            <w:tcW w:w="27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hd w:val="clear" w:color="auto" w:fill="ffffff"/>
              </w:rPr>
              <w:t xml:space="preserve">ФМ (стабилизированный метанолом)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834" w:type="dxa"/>
            <w:vAlign w:val="center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center"/>
              <w:rPr>
                <w:rFonts w:ascii="Times New Roman" w:hAnsi="Times New Roman"/>
                <w:color w:val="1b0d0e"/>
              </w:rPr>
            </w:pPr>
            <w:r>
              <w:rPr>
                <w:rFonts w:ascii="Times New Roman" w:hAnsi="Times New Roman"/>
              </w:rPr>
              <w:t xml:space="preserve">согласно</w:t>
            </w:r>
            <w:r>
              <w:rPr>
                <w:rFonts w:ascii="Times New Roman" w:hAnsi="Times New Roman"/>
                <w:color w:val="1b0d0e"/>
              </w:rPr>
              <w:t xml:space="preserve"> ГОСТ 1625-2016</w:t>
            </w:r>
            <w:r>
              <w:rPr>
                <w:rFonts w:ascii="Times New Roman" w:hAnsi="Times New Roman"/>
                <w:color w:val="1b0d0e"/>
              </w:rPr>
            </w:r>
            <w:r>
              <w:rPr>
                <w:rFonts w:ascii="Times New Roman" w:hAnsi="Times New Roman"/>
                <w:color w:val="1b0d0e"/>
              </w:rPr>
            </w:r>
          </w:p>
          <w:p>
            <w:pPr>
              <w:pStyle w:val="922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b0d0e"/>
              </w:rPr>
              <w:t xml:space="preserve">Формалин технический. Технические условия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53"/>
        </w:trPr>
        <w:tc>
          <w:tcPr>
            <w:tcBorders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4218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rPr>
                <w:rFonts w:ascii="Times New Roman" w:hAnsi="Times New Roman"/>
                <w:color w:val="1b0d0e"/>
              </w:rPr>
            </w:pPr>
            <w:r>
              <w:rPr>
                <w:rFonts w:ascii="Times New Roman" w:hAnsi="Times New Roman"/>
              </w:rPr>
              <w:t xml:space="preserve">Внешний вид </w:t>
            </w:r>
            <w:r>
              <w:rPr>
                <w:rFonts w:ascii="Times New Roman" w:hAnsi="Times New Roman"/>
                <w:color w:val="1b0d0e"/>
              </w:rPr>
            </w:r>
            <w:r>
              <w:rPr>
                <w:rFonts w:ascii="Times New Roman" w:hAnsi="Times New Roman"/>
                <w:color w:val="1b0d0e"/>
              </w:rPr>
            </w:r>
          </w:p>
        </w:tc>
        <w:tc>
          <w:tcPr>
            <w:tcBorders/>
            <w:tcW w:w="272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Бесцветная прозрачная жидкость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834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center"/>
              <w:rPr>
                <w:rFonts w:ascii="Times New Roman" w:hAnsi="Times New Roman"/>
                <w:color w:val="1b0d0e"/>
              </w:rPr>
            </w:pPr>
            <w:r>
              <w:rPr>
                <w:rFonts w:ascii="Times New Roman" w:hAnsi="Times New Roman"/>
              </w:rPr>
              <w:t xml:space="preserve">согласно</w:t>
            </w:r>
            <w:r>
              <w:rPr>
                <w:rFonts w:ascii="Times New Roman" w:hAnsi="Times New Roman"/>
                <w:color w:val="1b0d0e"/>
              </w:rPr>
              <w:t xml:space="preserve"> ГОСТ 1625-2016</w:t>
            </w:r>
            <w:r>
              <w:rPr>
                <w:rFonts w:ascii="Times New Roman" w:hAnsi="Times New Roman"/>
                <w:color w:val="1b0d0e"/>
              </w:rPr>
            </w:r>
            <w:r>
              <w:rPr>
                <w:rFonts w:ascii="Times New Roman" w:hAnsi="Times New Roman"/>
                <w:color w:val="1b0d0e"/>
              </w:rPr>
            </w:r>
          </w:p>
          <w:p>
            <w:pPr>
              <w:pStyle w:val="922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b0d0e"/>
              </w:rPr>
              <w:t xml:space="preserve">Формалин технический. Технические условия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53"/>
        </w:trPr>
        <w:tc>
          <w:tcPr>
            <w:tcBorders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4218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rPr>
                <w:rFonts w:ascii="Times New Roman" w:hAnsi="Times New Roman"/>
                <w:color w:val="1b0d0e"/>
              </w:rPr>
            </w:pPr>
            <w:r>
              <w:rPr>
                <w:rFonts w:ascii="Times New Roman" w:hAnsi="Times New Roman"/>
              </w:rPr>
              <w:t xml:space="preserve">Сорт </w:t>
            </w:r>
            <w:r>
              <w:rPr>
                <w:rFonts w:ascii="Times New Roman" w:hAnsi="Times New Roman"/>
                <w:color w:val="1b0d0e"/>
              </w:rPr>
            </w:r>
            <w:r>
              <w:rPr>
                <w:rFonts w:ascii="Times New Roman" w:hAnsi="Times New Roman"/>
                <w:color w:val="1b0d0e"/>
              </w:rPr>
            </w:r>
          </w:p>
        </w:tc>
        <w:tc>
          <w:tcPr>
            <w:tcBorders/>
            <w:tcW w:w="272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Высший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834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center"/>
              <w:rPr>
                <w:rFonts w:ascii="Times New Roman" w:hAnsi="Times New Roman"/>
                <w:color w:val="1b0d0e"/>
              </w:rPr>
            </w:pPr>
            <w:r>
              <w:rPr>
                <w:rFonts w:ascii="Times New Roman" w:hAnsi="Times New Roman"/>
              </w:rPr>
              <w:t xml:space="preserve">согласно</w:t>
            </w:r>
            <w:r>
              <w:rPr>
                <w:rFonts w:ascii="Times New Roman" w:hAnsi="Times New Roman"/>
                <w:color w:val="1b0d0e"/>
              </w:rPr>
              <w:t xml:space="preserve"> ГОСТ 1625-2016</w:t>
            </w:r>
            <w:r>
              <w:rPr>
                <w:rFonts w:ascii="Times New Roman" w:hAnsi="Times New Roman"/>
                <w:color w:val="1b0d0e"/>
              </w:rPr>
            </w:r>
            <w:r>
              <w:rPr>
                <w:rFonts w:ascii="Times New Roman" w:hAnsi="Times New Roman"/>
                <w:color w:val="1b0d0e"/>
              </w:rPr>
            </w:r>
          </w:p>
          <w:p>
            <w:pPr>
              <w:pStyle w:val="922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b0d0e"/>
              </w:rPr>
              <w:t xml:space="preserve">Формалин технический. Технические условия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53"/>
        </w:trPr>
        <w:tc>
          <w:tcPr>
            <w:tcBorders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4218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Массовая доля  формальдегида, %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2728" w:type="dxa"/>
            <w:vAlign w:val="center"/>
            <w:vMerge w:val="restart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≥ 36,9 и ≤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37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834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center"/>
              <w:rPr>
                <w:rFonts w:ascii="Times New Roman" w:hAnsi="Times New Roman"/>
                <w:color w:val="1b0d0e"/>
              </w:rPr>
            </w:pPr>
            <w:r>
              <w:rPr>
                <w:rFonts w:ascii="Times New Roman" w:hAnsi="Times New Roman"/>
              </w:rPr>
              <w:t xml:space="preserve">согласно</w:t>
            </w:r>
            <w:r>
              <w:rPr>
                <w:rFonts w:ascii="Times New Roman" w:hAnsi="Times New Roman"/>
                <w:color w:val="1b0d0e"/>
              </w:rPr>
              <w:t xml:space="preserve"> ГОСТ 1625-2016</w:t>
            </w:r>
            <w:r>
              <w:rPr>
                <w:rFonts w:ascii="Times New Roman" w:hAnsi="Times New Roman"/>
                <w:color w:val="1b0d0e"/>
              </w:rPr>
            </w:r>
            <w:r>
              <w:rPr>
                <w:rFonts w:ascii="Times New Roman" w:hAnsi="Times New Roman"/>
                <w:color w:val="1b0d0e"/>
              </w:rPr>
            </w:r>
          </w:p>
          <w:p>
            <w:pPr>
              <w:pStyle w:val="922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b0d0e"/>
              </w:rPr>
              <w:t xml:space="preserve">Формалин технический. Технические условия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53"/>
        </w:trPr>
        <w:tc>
          <w:tcPr>
            <w:tcBorders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4218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rPr>
                <w:rFonts w:ascii="Times New Roman" w:hAnsi="Times New Roman"/>
                <w:color w:val="1b0d0e"/>
              </w:rPr>
            </w:pPr>
            <w:r>
              <w:rPr>
                <w:rFonts w:ascii="Times New Roman" w:hAnsi="Times New Roman"/>
              </w:rPr>
              <w:t xml:space="preserve">Массовая доля метанола, % </w:t>
            </w:r>
            <w:r>
              <w:rPr>
                <w:rFonts w:ascii="Times New Roman" w:hAnsi="Times New Roman"/>
                <w:color w:val="1b0d0e"/>
              </w:rPr>
            </w:r>
            <w:r>
              <w:rPr>
                <w:rFonts w:ascii="Times New Roman" w:hAnsi="Times New Roman"/>
                <w:color w:val="1b0d0e"/>
              </w:rPr>
            </w:r>
          </w:p>
        </w:tc>
        <w:tc>
          <w:tcPr>
            <w:tcBorders/>
            <w:tcW w:w="2728" w:type="dxa"/>
            <w:vAlign w:val="center"/>
            <w:vMerge w:val="restart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≥ 4 и ≤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834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center"/>
              <w:rPr>
                <w:rFonts w:ascii="Times New Roman" w:hAnsi="Times New Roman"/>
                <w:color w:val="1b0d0e"/>
              </w:rPr>
            </w:pPr>
            <w:r>
              <w:rPr>
                <w:rFonts w:ascii="Times New Roman" w:hAnsi="Times New Roman"/>
              </w:rPr>
              <w:t xml:space="preserve">согласно ГОСТ 1625-2016</w:t>
            </w:r>
            <w:r>
              <w:rPr>
                <w:rFonts w:ascii="Times New Roman" w:hAnsi="Times New Roman"/>
                <w:color w:val="1b0d0e"/>
              </w:rPr>
            </w:r>
            <w:r>
              <w:rPr>
                <w:rFonts w:ascii="Times New Roman" w:hAnsi="Times New Roman"/>
                <w:color w:val="1b0d0e"/>
              </w:rPr>
            </w:r>
          </w:p>
          <w:p>
            <w:pPr>
              <w:pStyle w:val="922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b0d0e"/>
              </w:rPr>
              <w:t xml:space="preserve">Формалин технический. Технические условия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53"/>
        </w:trPr>
        <w:tc>
          <w:tcPr>
            <w:tcBorders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4218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 xml:space="preserve">Упаковка</w:t>
            </w: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</w:p>
        </w:tc>
        <w:tc>
          <w:tcPr>
            <w:tcBorders/>
            <w:tcW w:w="272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Полимерная канистра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834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согласно </w:t>
            </w:r>
            <w:r>
              <w:rPr>
                <w:rFonts w:ascii="Times New Roman" w:hAnsi="Times New Roman"/>
              </w:rPr>
              <w:t xml:space="preserve">ГОСТ 34264-2017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922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Упаковка транспортная полимерная. Общие технические условия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53"/>
        </w:trPr>
        <w:tc>
          <w:tcPr>
            <w:tcBorders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4218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 xml:space="preserve">Объем, кг</w:t>
            </w: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</w:p>
        </w:tc>
        <w:tc>
          <w:tcPr>
            <w:tcBorders/>
            <w:tcW w:w="272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834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соблюдения условий хранения, рационального и безопасного использования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eastAsia="Times New Roman"/>
          <w:b/>
          <w:bCs/>
          <w:sz w:val="20"/>
          <w:szCs w:val="20"/>
        </w:rPr>
      </w:pPr>
      <w:r>
        <w:rPr>
          <w:rFonts w:ascii="Times New Roman" w:hAnsi="Times New Roman" w:eastAsia="Times New Roman"/>
          <w:b/>
          <w:bCs/>
          <w:sz w:val="20"/>
          <w:szCs w:val="20"/>
        </w:rPr>
      </w:r>
      <w:r>
        <w:rPr>
          <w:rFonts w:ascii="Times New Roman" w:hAnsi="Times New Roman" w:eastAsia="Times New Roman"/>
          <w:b/>
          <w:bCs/>
          <w:sz w:val="20"/>
          <w:szCs w:val="20"/>
        </w:rPr>
      </w:r>
      <w:r>
        <w:rPr>
          <w:rFonts w:ascii="Times New Roman" w:hAnsi="Times New Roman" w:eastAsia="Times New Roman"/>
          <w:b/>
          <w:bCs/>
          <w:sz w:val="20"/>
          <w:szCs w:val="20"/>
        </w:rPr>
      </w:r>
    </w:p>
    <w:p>
      <w:pPr>
        <w:pBdr/>
        <w:spacing w:after="0" w:line="240" w:lineRule="auto"/>
        <w:ind/>
        <w:contextualSpacing w:val="true"/>
        <w:rPr>
          <w:rFonts w:ascii="Times New Roman" w:hAnsi="Times New Roman" w:eastAsia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bCs/>
          <w:sz w:val="20"/>
          <w:szCs w:val="20"/>
          <w:lang w:eastAsia="ru-RU"/>
        </w:rPr>
      </w:r>
      <w:r>
        <w:rPr>
          <w:rFonts w:ascii="Times New Roman" w:hAnsi="Times New Roman" w:eastAsia="Times New Roman"/>
          <w:b/>
          <w:bCs/>
          <w:sz w:val="20"/>
          <w:szCs w:val="20"/>
          <w:lang w:eastAsia="ru-RU"/>
        </w:rPr>
      </w:r>
      <w:r>
        <w:rPr>
          <w:rFonts w:ascii="Times New Roman" w:hAnsi="Times New Roman" w:eastAsia="Times New Roman"/>
          <w:b/>
          <w:bCs/>
          <w:sz w:val="20"/>
          <w:szCs w:val="20"/>
          <w:lang w:eastAsia="ru-RU"/>
        </w:rPr>
      </w:r>
    </w:p>
    <w:p>
      <w:pPr>
        <w:pStyle w:val="921"/>
        <w:pBdr/>
        <w:spacing/>
        <w:ind w:firstLine="708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Требования к упаковке, маркировке, этикеткам, подтверждению соответствия, процессам и методам производства в соответствии с требованиями технических регламентов, стандартов, технических условий</w:t>
      </w:r>
      <w:r>
        <w:rPr>
          <w:rFonts w:eastAsia="Batang" w:cs="Times New Roman"/>
          <w:sz w:val="22"/>
          <w:szCs w:val="22"/>
          <w:lang w:eastAsia="ko-KR"/>
        </w:rPr>
        <w:t xml:space="preserve">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922"/>
        <w:pBdr/>
        <w:spacing/>
        <w:ind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Безопасность Товара должна соответствовать требованиям технич</w:t>
      </w:r>
      <w:r>
        <w:rPr>
          <w:rFonts w:ascii="Times New Roman" w:hAnsi="Times New Roman" w:eastAsia="Calibri"/>
        </w:rPr>
        <w:t xml:space="preserve">еских регламентов, </w:t>
      </w:r>
      <w:r>
        <w:rPr>
          <w:rFonts w:ascii="Times New Roman" w:hAnsi="Times New Roman"/>
          <w:color w:val="1b0d0e"/>
        </w:rPr>
        <w:t xml:space="preserve">ГОСТ 1625-2016 (Формалин технический. Технические условия)</w:t>
      </w:r>
      <w:r>
        <w:rPr>
          <w:rFonts w:ascii="Times New Roman" w:hAnsi="Times New Roman" w:eastAsia="Calibri"/>
        </w:rPr>
        <w:t xml:space="preserve"> действующих на территории Российской Федерации.</w:t>
      </w:r>
      <w:r>
        <w:rPr>
          <w:rFonts w:ascii="Times New Roman" w:hAnsi="Times New Roman" w:eastAsia="Calibri"/>
        </w:rPr>
      </w:r>
      <w:r>
        <w:rPr>
          <w:rFonts w:ascii="Times New Roman" w:hAnsi="Times New Roman" w:eastAsia="Calibri"/>
        </w:rPr>
      </w:r>
    </w:p>
    <w:p>
      <w:pPr>
        <w:pStyle w:val="922"/>
        <w:pBdr/>
        <w:spacing/>
        <w:ind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Технический формалин марки ФМ транспортируют всеми видами транспорта в соответствии с правилами перевозки опасных грузов, действую</w:t>
      </w:r>
      <w:r>
        <w:rPr>
          <w:rFonts w:ascii="Times New Roman" w:hAnsi="Times New Roman" w:eastAsia="Calibri"/>
        </w:rPr>
        <w:t xml:space="preserve">щими на данном виде транспорта. Продукт марки ФМ хранят при температуре от 10 гр С до 25 гр.С.</w:t>
      </w:r>
      <w:r>
        <w:rPr>
          <w:rFonts w:ascii="Times New Roman" w:hAnsi="Times New Roman" w:eastAsia="Calibri"/>
        </w:rPr>
      </w:r>
      <w:r>
        <w:rPr>
          <w:rFonts w:ascii="Times New Roman" w:hAnsi="Times New Roman" w:eastAsia="Calibri"/>
        </w:rPr>
      </w:r>
    </w:p>
    <w:p>
      <w:pPr>
        <w:pStyle w:val="922"/>
        <w:pBdr/>
        <w:spacing/>
        <w:ind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Гарантийный срок хранения технического формалина марки ФМ -  не менее трех месяцев со дня изготовления.</w:t>
      </w:r>
      <w:r>
        <w:rPr>
          <w:rFonts w:ascii="Times New Roman" w:hAnsi="Times New Roman" w:eastAsia="Calibri"/>
        </w:rPr>
      </w:r>
      <w:r>
        <w:rPr>
          <w:rFonts w:ascii="Times New Roman" w:hAnsi="Times New Roman" w:eastAsia="Calibri"/>
        </w:rPr>
      </w:r>
    </w:p>
    <w:p>
      <w:pPr>
        <w:pStyle w:val="922"/>
        <w:pBdr/>
        <w:spacing/>
        <w:ind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Транспортная маркировка – по ГОСТ 14192 с нанесением мани</w:t>
      </w:r>
      <w:r>
        <w:rPr>
          <w:rFonts w:ascii="Times New Roman" w:hAnsi="Times New Roman" w:eastAsia="Calibri"/>
        </w:rPr>
        <w:t xml:space="preserve">пуляционного знака «Герметичная упаковка».</w:t>
      </w:r>
      <w:r>
        <w:rPr>
          <w:rFonts w:ascii="Times New Roman" w:hAnsi="Times New Roman" w:eastAsia="Calibri"/>
        </w:rPr>
      </w:r>
      <w:r>
        <w:rPr>
          <w:rFonts w:ascii="Times New Roman" w:hAnsi="Times New Roman" w:eastAsia="Calibri"/>
        </w:rPr>
      </w:r>
    </w:p>
    <w:p>
      <w:pPr>
        <w:pStyle w:val="922"/>
        <w:pBdr/>
        <w:spacing/>
        <w:ind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Товар должен поставляться в упаковке, обеспечивающей защиту Товара от внешних воздействующих факторов (в т.ч. климатических, механических) при транспортировании, хранении и погрузочно-разгрузочных работах.</w:t>
      </w:r>
      <w:r>
        <w:rPr>
          <w:rFonts w:ascii="Times New Roman" w:hAnsi="Times New Roman" w:eastAsia="Calibri"/>
        </w:rPr>
      </w:r>
      <w:r>
        <w:rPr>
          <w:rFonts w:ascii="Times New Roman" w:hAnsi="Times New Roman" w:eastAsia="Calibri"/>
        </w:rPr>
      </w:r>
    </w:p>
    <w:p>
      <w:pPr>
        <w:pStyle w:val="922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 w:eastAsia="Calibri"/>
        </w:rPr>
        <w:t xml:space="preserve">Маркиро</w:t>
      </w:r>
      <w:r>
        <w:rPr>
          <w:rFonts w:ascii="Times New Roman" w:hAnsi="Times New Roman" w:eastAsia="Calibri"/>
        </w:rPr>
        <w:t xml:space="preserve">вка Товара и тары (упаковки) Товара, должна содержать информацию о наименовании Товара, наименовании изготовителя, адресе изготовителя, дате изготовления Товара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22"/>
        <w:pBdr/>
        <w:spacing/>
        <w:ind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  <w:lang w:eastAsia="zh-CN"/>
        </w:rPr>
        <w:t xml:space="preserve">Прослеживание товара в системе «Честный знак»: Маркировка товара согласно действующему законод</w:t>
      </w:r>
      <w:r>
        <w:rPr>
          <w:rFonts w:ascii="Times New Roman" w:hAnsi="Times New Roman" w:eastAsia="Calibri"/>
          <w:lang w:eastAsia="zh-CN"/>
        </w:rPr>
        <w:t xml:space="preserve">ательству Российской Федерации.</w:t>
      </w:r>
      <w:r>
        <w:rPr>
          <w:rFonts w:ascii="Times New Roman" w:hAnsi="Times New Roman" w:eastAsia="Calibri"/>
        </w:rPr>
      </w:r>
      <w:r>
        <w:rPr>
          <w:rFonts w:ascii="Times New Roman" w:hAnsi="Times New Roman" w:eastAsia="Calibri"/>
        </w:rPr>
      </w:r>
    </w:p>
    <w:p>
      <w:pPr>
        <w:pBdr/>
        <w:spacing w:line="240" w:lineRule="auto"/>
        <w:ind/>
        <w:contextualSpacing w:val="true"/>
        <w:rPr>
          <w:rFonts w:ascii="Times New Roman" w:hAnsi="Times New Roman" w:eastAsia="Batang, 바탕"/>
          <w:b/>
          <w:lang w:eastAsia="ko-KR"/>
        </w:rPr>
      </w:pPr>
      <w:r>
        <w:rPr>
          <w:rFonts w:ascii="Times New Roman" w:hAnsi="Times New Roman" w:eastAsia="Batang, 바탕"/>
          <w:b/>
          <w:lang w:eastAsia="ko-KR"/>
        </w:rPr>
        <w:t xml:space="preserve">Требования к году (месяцу) изготовления Товара</w:t>
      </w:r>
      <w:r>
        <w:rPr>
          <w:rFonts w:ascii="Times New Roman" w:hAnsi="Times New Roman" w:eastAsia="Batang, 바탕"/>
          <w:b/>
          <w:lang w:eastAsia="ko-KR"/>
        </w:rPr>
      </w:r>
      <w:r>
        <w:rPr>
          <w:rFonts w:ascii="Times New Roman" w:hAnsi="Times New Roman" w:eastAsia="Batang, 바탕"/>
          <w:b/>
          <w:lang w:eastAsia="ko-KR"/>
        </w:rPr>
      </w:r>
    </w:p>
    <w:p>
      <w:pPr>
        <w:pStyle w:val="878"/>
        <w:pBdr/>
        <w:spacing/>
        <w:ind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Товар должен быть изготовлен не ранее  10 дней с даты  заключения Контракта. </w:t>
      </w:r>
      <w:r>
        <w:rPr>
          <w:rFonts w:ascii="Times New Roman" w:hAnsi="Times New Roman"/>
          <w:lang w:eastAsia="zh-CN"/>
        </w:rPr>
      </w:r>
      <w:r>
        <w:rPr>
          <w:rFonts w:ascii="Times New Roman" w:hAnsi="Times New Roman"/>
          <w:lang w:eastAsia="zh-CN"/>
        </w:rPr>
      </w:r>
    </w:p>
    <w:p>
      <w:pPr>
        <w:pBdr/>
        <w:spacing w:after="0" w:line="240" w:lineRule="auto"/>
        <w:ind/>
        <w:contextualSpacing w:val="true"/>
        <w:rPr>
          <w:rFonts w:ascii="Times New Roman" w:hAnsi="Times New Roman" w:eastAsia="Times New Roman"/>
          <w:sz w:val="20"/>
          <w:szCs w:val="20"/>
          <w:lang w:eastAsia="zh-CN"/>
        </w:rPr>
      </w:pPr>
      <w:r>
        <w:rPr>
          <w:rFonts w:ascii="Times New Roman" w:hAnsi="Times New Roman" w:eastAsia="Times New Roman"/>
          <w:sz w:val="20"/>
          <w:szCs w:val="20"/>
          <w:lang w:eastAsia="zh-CN"/>
        </w:rPr>
      </w:r>
      <w:r>
        <w:rPr>
          <w:rFonts w:ascii="Times New Roman" w:hAnsi="Times New Roman" w:eastAsia="Times New Roman"/>
          <w:sz w:val="20"/>
          <w:szCs w:val="20"/>
          <w:lang w:eastAsia="zh-CN"/>
        </w:rPr>
      </w:r>
      <w:r>
        <w:rPr>
          <w:rFonts w:ascii="Times New Roman" w:hAnsi="Times New Roman" w:eastAsia="Times New Roman"/>
          <w:sz w:val="20"/>
          <w:szCs w:val="20"/>
          <w:lang w:eastAsia="zh-CN"/>
        </w:rPr>
      </w:r>
    </w:p>
    <w:tbl>
      <w:tblPr>
        <w:jc w:val="center"/>
        <w:tblW w:w="4961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764"/>
        <w:gridCol w:w="8008"/>
        <w:gridCol w:w="1827"/>
      </w:tblGrid>
      <w:tr>
        <w:trPr>
          <w:jc w:val="center"/>
          <w:trHeight w:val="20"/>
        </w:trPr>
        <w:tc>
          <w:tcPr>
            <w:gridSpan w:val="3"/>
            <w:shd w:val="clear" w:color="ffffff" w:fill="ffffff"/>
            <w:tcBorders/>
            <w:tcW w:w="10599" w:type="dxa"/>
            <w:vAlign w:val="center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1.Требования к документам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ffffff" w:fill="ffffff"/>
            <w:tcBorders/>
            <w:tcW w:w="764" w:type="dxa"/>
            <w:vAlign w:val="center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1.1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shd w:val="clear" w:color="ffffff" w:fill="ffffff"/>
            <w:tcBorders/>
            <w:tcW w:w="8008" w:type="dxa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  <w:lang w:eastAsia="ar-SA"/>
              </w:rPr>
              <w:t xml:space="preserve">Копия сертификата соответствия на Товар</w:t>
            </w:r>
            <w:r>
              <w:rPr>
                <w:rFonts w:ascii="Times New Roman" w:hAnsi="Times New Roman" w:eastAsia="Calibri"/>
                <w:lang w:eastAsia="ar-SA"/>
              </w:rPr>
              <w:t xml:space="preserve"> и/или копия Декларации о соответствии для Товара, по которому наличие данного документа является обязательным в соответствии с требованиями, установленными в Российской Федерации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shd w:val="clear" w:color="ffffff" w:fill="ffffff"/>
            <w:tcBorders/>
            <w:tcW w:w="1827" w:type="dxa"/>
            <w:vAlign w:val="center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Наличие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rPr>
          <w:jc w:val="center"/>
          <w:trHeight w:val="253"/>
        </w:trPr>
        <w:tc>
          <w:tcPr>
            <w:shd w:val="clear" w:color="ffffff" w:fill="ffffff"/>
            <w:tcBorders/>
            <w:tcW w:w="764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1.2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shd w:val="clear" w:color="ffffff" w:fill="ffffff"/>
            <w:tcBorders/>
            <w:tcW w:w="8008" w:type="dxa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  <w:lang w:eastAsia="ar-SA"/>
              </w:rPr>
              <w:t xml:space="preserve">Паспорт или инструкция по монтажу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shd w:val="clear" w:color="ffffff" w:fill="ffffff"/>
            <w:tcBorders/>
            <w:tcW w:w="1827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Наличие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rPr>
          <w:jc w:val="center"/>
          <w:trHeight w:val="253"/>
        </w:trPr>
        <w:tc>
          <w:tcPr>
            <w:shd w:val="clear" w:color="ffffff" w:fill="ffffff"/>
            <w:tcBorders/>
            <w:tcW w:w="764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1.3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shd w:val="clear" w:color="ffffff" w:fill="ffffff"/>
            <w:tcBorders/>
            <w:tcW w:w="8008" w:type="dxa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  <w:lang w:eastAsia="ar-SA"/>
              </w:rPr>
              <w:t xml:space="preserve">Гарантийный талон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shd w:val="clear" w:color="ffffff" w:fill="ffffff"/>
            <w:tcBorders/>
            <w:tcW w:w="1827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Наличие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rPr>
          <w:jc w:val="center"/>
          <w:trHeight w:val="20"/>
        </w:trPr>
        <w:tc>
          <w:tcPr>
            <w:gridSpan w:val="3"/>
            <w:shd w:val="clear" w:color="ffffff" w:fill="ffffff"/>
            <w:tcBorders/>
            <w:tcW w:w="10599" w:type="dxa"/>
            <w:vAlign w:val="center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2. Требования к упаковке и маркировке 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ffffff" w:fill="ffffff"/>
            <w:tcBorders/>
            <w:tcW w:w="764" w:type="dxa"/>
            <w:vAlign w:val="center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2.1.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shd w:val="clear" w:color="ffffff" w:fill="ffffff"/>
            <w:tcBorders/>
            <w:tcW w:w="8008" w:type="dxa"/>
            <w:vAlign w:val="center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Маркировка наименования изделия на упаковке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  <w:tc>
          <w:tcPr>
            <w:shd w:val="clear" w:color="ffffff" w:fill="ffffff"/>
            <w:tcBorders/>
            <w:tcW w:w="1827" w:type="dxa"/>
            <w:vAlign w:val="center"/>
            <w:textDirection w:val="lrTb"/>
            <w:noWrap w:val="false"/>
          </w:tcPr>
          <w:p>
            <w:pPr>
              <w:pStyle w:val="922"/>
              <w:pBdr/>
              <w:spacing/>
              <w:ind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Наличие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</w:tbl>
    <w:p>
      <w:pPr>
        <w:pBdr/>
        <w:spacing w:after="0" w:line="240" w:lineRule="auto"/>
        <w:ind/>
        <w:contextualSpacing w:val="true"/>
        <w:rPr>
          <w:rFonts w:ascii="Times New Roman" w:hAnsi="Times New Roman" w:eastAsia="Times New Roman"/>
          <w:sz w:val="20"/>
          <w:szCs w:val="20"/>
          <w:lang w:eastAsia="zh-CN"/>
        </w:rPr>
      </w:pPr>
      <w:r>
        <w:rPr>
          <w:rFonts w:ascii="Times New Roman" w:hAnsi="Times New Roman" w:eastAsia="Times New Roman"/>
          <w:sz w:val="20"/>
          <w:szCs w:val="20"/>
          <w:lang w:eastAsia="zh-CN"/>
        </w:rPr>
      </w:r>
      <w:r>
        <w:rPr>
          <w:rFonts w:ascii="Times New Roman" w:hAnsi="Times New Roman" w:eastAsia="Times New Roman"/>
          <w:sz w:val="20"/>
          <w:szCs w:val="20"/>
          <w:lang w:eastAsia="zh-CN"/>
        </w:rPr>
      </w:r>
      <w:r>
        <w:rPr>
          <w:rFonts w:ascii="Times New Roman" w:hAnsi="Times New Roman" w:eastAsia="Times New Roman"/>
          <w:sz w:val="20"/>
          <w:szCs w:val="20"/>
          <w:lang w:eastAsia="zh-CN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sz w:val="20"/>
          <w:szCs w:val="20"/>
          <w:lang w:eastAsia="zh-CN"/>
        </w:rPr>
      </w:pPr>
      <w:r>
        <w:rPr>
          <w:rFonts w:ascii="Times New Roman" w:hAnsi="Times New Roman" w:eastAsia="Times New Roman"/>
          <w:sz w:val="20"/>
          <w:szCs w:val="20"/>
          <w:lang w:eastAsia="zh-CN"/>
        </w:rPr>
      </w:r>
      <w:r>
        <w:rPr>
          <w:rFonts w:ascii="Times New Roman" w:hAnsi="Times New Roman" w:eastAsia="Times New Roman"/>
          <w:sz w:val="20"/>
          <w:szCs w:val="20"/>
          <w:lang w:eastAsia="zh-CN"/>
        </w:rPr>
      </w:r>
      <w:r>
        <w:rPr>
          <w:rFonts w:ascii="Times New Roman" w:hAnsi="Times New Roman" w:eastAsia="Times New Roman"/>
          <w:sz w:val="20"/>
          <w:szCs w:val="20"/>
          <w:lang w:eastAsia="zh-CN"/>
        </w:rPr>
      </w:r>
    </w:p>
    <w:p>
      <w:pPr>
        <w:pBdr/>
        <w:spacing w:after="0"/>
        <w:ind w:firstLine="284" w:left="-284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Примечание: </w:t>
      </w:r>
      <w:r>
        <w:rPr>
          <w:rFonts w:ascii="Times New Roman" w:hAnsi="Times New Roman"/>
          <w:b/>
          <w:sz w:val="18"/>
          <w:szCs w:val="18"/>
        </w:rPr>
      </w:r>
      <w:r>
        <w:rPr>
          <w:rFonts w:ascii="Times New Roman" w:hAnsi="Times New Roman"/>
          <w:b/>
          <w:sz w:val="18"/>
          <w:szCs w:val="18"/>
        </w:rPr>
      </w:r>
    </w:p>
    <w:p>
      <w:pPr>
        <w:pBdr/>
        <w:spacing w:after="0" w:line="240" w:lineRule="exact"/>
        <w:ind w:firstLine="426"/>
        <w:jc w:val="both"/>
        <w:rPr>
          <w:rFonts w:ascii="Times New Roman" w:hAnsi="Times New Roman"/>
          <w:sz w:val="16"/>
          <w:szCs w:val="16"/>
        </w:rPr>
      </w:pPr>
      <w:r/>
      <w:bookmarkStart w:id="0" w:name="_GoBack"/>
      <w:r>
        <w:rPr>
          <w:rFonts w:ascii="Times New Roman" w:hAnsi="Times New Roman"/>
          <w:sz w:val="16"/>
          <w:szCs w:val="16"/>
        </w:rPr>
        <w:t xml:space="preserve">Во всех случаях, когда в Технической части или в приложениях</w:t>
      </w:r>
      <w:r>
        <w:rPr>
          <w:rFonts w:ascii="Times New Roman" w:hAnsi="Times New Roman"/>
          <w:sz w:val="16"/>
          <w:szCs w:val="16"/>
        </w:rPr>
        <w:t xml:space="preserve">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</w:t>
      </w:r>
      <w:r>
        <w:rPr>
          <w:rFonts w:ascii="Times New Roman" w:hAnsi="Times New Roman"/>
          <w:sz w:val="16"/>
          <w:szCs w:val="16"/>
        </w:rPr>
        <w:t xml:space="preserve">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</w:t>
      </w:r>
      <w:r>
        <w:rPr>
          <w:rFonts w:ascii="Times New Roman" w:hAnsi="Times New Roman"/>
          <w:sz w:val="16"/>
          <w:szCs w:val="16"/>
        </w:rPr>
        <w:t xml:space="preserve">иворечащей действующим к такому моменту нормативным актам.</w:t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pBdr/>
        <w:spacing/>
        <w:ind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</w:r>
      <w:bookmarkEnd w:id="0"/>
      <w:r>
        <w:rPr>
          <w:rFonts w:ascii="Times New Roman" w:hAnsi="Times New Roman"/>
          <w:b/>
          <w:bCs/>
          <w:sz w:val="16"/>
          <w:szCs w:val="16"/>
        </w:rPr>
      </w:r>
      <w:r>
        <w:rPr>
          <w:rFonts w:ascii="Times New Roman" w:hAnsi="Times New Roman"/>
          <w:b/>
          <w:bCs/>
          <w:sz w:val="16"/>
          <w:szCs w:val="16"/>
        </w:rPr>
      </w:r>
    </w:p>
    <w:p>
      <w:pPr>
        <w:pBdr/>
        <w:spacing/>
        <w:ind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sectPr>
      <w:footnotePr/>
      <w:endnotePr/>
      <w:type w:val="nextPage"/>
      <w:pgSz w:h="16838" w:orient="portrait" w:w="11906"/>
      <w:pgMar w:top="720" w:right="720" w:bottom="720" w:left="720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ohit Hindi">
    <w:panose1 w:val="02020603050405020304"/>
  </w:font>
  <w:font w:name="Batang">
    <w:panose1 w:val="02000506000000020000"/>
  </w:font>
  <w:font w:name="Calibri">
    <w:panose1 w:val="020F0502020204030204"/>
  </w:font>
  <w:font w:name="Arial">
    <w:panose1 w:val="020B0604020202020204"/>
  </w:font>
  <w:font w:name="Batang, 바탕">
    <w:panose1 w:val="020206030504050203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F455E"/>
    <w:lvl w:ilvl="0">
      <w:isLgl w:val="false"/>
      <w:lvlJc w:val="left"/>
      <w:lvlText w:val="%1-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16643156"/>
    <w:lvl w:ilvl="0">
      <w:isLgl w:val="false"/>
      <w:lvlJc w:val="left"/>
      <w:lvlText w:val="%1-"/>
      <w:numFmt w:val="decimal"/>
      <w:pPr>
        <w:pBdr/>
        <w:spacing/>
        <w:ind w:hanging="360" w:left="64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64C77F29"/>
    <w:lvl w:ilvl="0">
      <w:isLgl w:val="false"/>
      <w:lvlJc w:val="left"/>
      <w:lvlText w:val="%1-"/>
      <w:numFmt w:val="decimal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3">
    <w:nsid w:val="792F40E5"/>
    <w:lvl w:ilvl="0">
      <w:isLgl w:val="false"/>
      <w:lvlJc w:val="left"/>
      <w:lvlText w:val="%1-"/>
      <w:numFmt w:val="decimal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9" w:default="1">
    <w:name w:val="Normal"/>
    <w:qFormat/>
    <w:pPr>
      <w:pBdr/>
      <w:spacing/>
      <w:ind/>
    </w:pPr>
  </w:style>
  <w:style w:type="paragraph" w:styleId="710">
    <w:name w:val="Heading 1"/>
    <w:basedOn w:val="709"/>
    <w:next w:val="709"/>
    <w:link w:val="916"/>
    <w:uiPriority w:val="99"/>
    <w:qFormat/>
    <w:pPr>
      <w:keepNext w:val="true"/>
      <w:framePr w:h="1085" w:hAnchor="page" w:vAnchor="page" w:w="3962" w:wrap="auto" w:x="6982" w:y="1265"/>
      <w:pBdr/>
      <w:spacing w:after="0" w:line="240" w:lineRule="exact"/>
      <w:ind w:hanging="216" w:left="216"/>
      <w:outlineLvl w:val="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711">
    <w:name w:val="Heading 2"/>
    <w:basedOn w:val="709"/>
    <w:next w:val="709"/>
    <w:link w:val="86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12">
    <w:name w:val="Heading 3"/>
    <w:basedOn w:val="709"/>
    <w:next w:val="709"/>
    <w:link w:val="86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13">
    <w:name w:val="Heading 4"/>
    <w:basedOn w:val="709"/>
    <w:next w:val="709"/>
    <w:link w:val="86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14">
    <w:name w:val="Heading 5"/>
    <w:basedOn w:val="709"/>
    <w:next w:val="709"/>
    <w:link w:val="86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15">
    <w:name w:val="Heading 6"/>
    <w:basedOn w:val="709"/>
    <w:next w:val="709"/>
    <w:link w:val="86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16">
    <w:name w:val="Heading 7"/>
    <w:basedOn w:val="709"/>
    <w:next w:val="709"/>
    <w:link w:val="86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17">
    <w:name w:val="Heading 8"/>
    <w:basedOn w:val="709"/>
    <w:next w:val="709"/>
    <w:link w:val="86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18">
    <w:name w:val="Heading 9"/>
    <w:basedOn w:val="709"/>
    <w:next w:val="709"/>
    <w:link w:val="86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19" w:default="1">
    <w:name w:val="Default Paragraph Font"/>
    <w:uiPriority w:val="1"/>
    <w:semiHidden/>
    <w:unhideWhenUsed/>
    <w:pPr>
      <w:pBdr/>
      <w:spacing/>
      <w:ind/>
    </w:pPr>
  </w:style>
  <w:style w:type="table" w:styleId="72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1" w:default="1">
    <w:name w:val="No List"/>
    <w:uiPriority w:val="99"/>
    <w:semiHidden/>
    <w:unhideWhenUsed/>
    <w:pPr>
      <w:pBdr/>
      <w:spacing/>
      <w:ind/>
    </w:pPr>
  </w:style>
  <w:style w:type="character" w:styleId="722" w:customStyle="1">
    <w:name w:val="Heading 2 Char"/>
    <w:basedOn w:val="71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23" w:customStyle="1">
    <w:name w:val="Heading 3 Char"/>
    <w:basedOn w:val="71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24" w:customStyle="1">
    <w:name w:val="Heading 4 Char"/>
    <w:basedOn w:val="719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25" w:customStyle="1">
    <w:name w:val="Heading 5 Char"/>
    <w:basedOn w:val="71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26" w:customStyle="1">
    <w:name w:val="Heading 6 Char"/>
    <w:basedOn w:val="71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7" w:customStyle="1">
    <w:name w:val="Heading 7 Char"/>
    <w:basedOn w:val="71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8" w:customStyle="1">
    <w:name w:val="Heading 8 Char"/>
    <w:basedOn w:val="71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9" w:customStyle="1">
    <w:name w:val="Heading 9 Char"/>
    <w:basedOn w:val="71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0" w:customStyle="1">
    <w:name w:val="Quote Char"/>
    <w:basedOn w:val="71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1" w:customStyle="1">
    <w:name w:val="Intense Quote Char"/>
    <w:basedOn w:val="719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32" w:customStyle="1">
    <w:name w:val="Header Char"/>
    <w:basedOn w:val="719"/>
    <w:uiPriority w:val="99"/>
    <w:pPr>
      <w:pBdr/>
      <w:spacing/>
      <w:ind/>
    </w:pPr>
  </w:style>
  <w:style w:type="character" w:styleId="733" w:customStyle="1">
    <w:name w:val="Footer Char"/>
    <w:basedOn w:val="719"/>
    <w:uiPriority w:val="99"/>
    <w:pPr>
      <w:pBdr/>
      <w:spacing/>
      <w:ind/>
    </w:pPr>
  </w:style>
  <w:style w:type="character" w:styleId="734" w:customStyle="1">
    <w:name w:val="Footnote Text Char"/>
    <w:basedOn w:val="719"/>
    <w:uiPriority w:val="99"/>
    <w:semiHidden/>
    <w:pPr>
      <w:pBdr/>
      <w:spacing/>
      <w:ind/>
    </w:pPr>
    <w:rPr>
      <w:sz w:val="20"/>
      <w:szCs w:val="20"/>
    </w:rPr>
  </w:style>
  <w:style w:type="character" w:styleId="735" w:customStyle="1">
    <w:name w:val="Endnote Text Char"/>
    <w:basedOn w:val="719"/>
    <w:uiPriority w:val="99"/>
    <w:semiHidden/>
    <w:pPr>
      <w:pBdr/>
      <w:spacing/>
      <w:ind/>
    </w:pPr>
    <w:rPr>
      <w:sz w:val="20"/>
      <w:szCs w:val="20"/>
    </w:rPr>
  </w:style>
  <w:style w:type="table" w:styleId="736" w:customStyle="1">
    <w:name w:val="Table Grid Light"/>
    <w:basedOn w:val="72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1"/>
    <w:basedOn w:val="72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2"/>
    <w:basedOn w:val="72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1 Light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1 Light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1 Light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1 Light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1 Light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1 Light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2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2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2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2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2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2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3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3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3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3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3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3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"/>
    <w:basedOn w:val="7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4 - Accent 1"/>
    <w:basedOn w:val="7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4 - Accent 2"/>
    <w:basedOn w:val="7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4 - Accent 3"/>
    <w:basedOn w:val="7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4 - Accent 4"/>
    <w:basedOn w:val="7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4 - Accent 5"/>
    <w:basedOn w:val="7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4 - Accent 6"/>
    <w:basedOn w:val="7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5 Dark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5 Dark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5 Dark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5 Dark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5 Dark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5 Dark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6 Colorful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6 Colorful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6 Colorful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6 Colorful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6 Colorful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6 Colorful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7 Colorful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7 Colorful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7 Colorful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7 Colorful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7 Colorful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7 Colorful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1 Light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1 Light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1 Light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1 Light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1 Light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1 Light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2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2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2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2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2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2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3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3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3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3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3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3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4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4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4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4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4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4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5 Dark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5 Dark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5 Dark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5 Dark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5 Dark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5 Dark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6 Colorful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6 Colorful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6 Colorful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6 Colorful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6 Colorful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6 Colorful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7 Colorful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7 Colorful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7 Colorful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7 Colorful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7 Colorful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7 Colorful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ned - Accent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ned - Accent 1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ned - Accent 2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ned - Accent 3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ned - Accent 4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ned - Accent 5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ned - Accent 6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&amp; Lined - Accent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&amp; Lined - Accent 1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&amp; Lined - Accent 2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 &amp; Lined - Accent 3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&amp; Lined - Accent 4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&amp; Lined - Accent 5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&amp; Lined - Accent 6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1" w:customStyle="1">
    <w:name w:val="Heading 1 Char"/>
    <w:basedOn w:val="71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62" w:customStyle="1">
    <w:name w:val="Заголовок 2 Знак"/>
    <w:basedOn w:val="719"/>
    <w:link w:val="71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63" w:customStyle="1">
    <w:name w:val="Заголовок 3 Знак"/>
    <w:basedOn w:val="719"/>
    <w:link w:val="71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64" w:customStyle="1">
    <w:name w:val="Заголовок 4 Знак"/>
    <w:basedOn w:val="719"/>
    <w:link w:val="71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65" w:customStyle="1">
    <w:name w:val="Заголовок 5 Знак"/>
    <w:basedOn w:val="719"/>
    <w:link w:val="71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66" w:customStyle="1">
    <w:name w:val="Заголовок 6 Знак"/>
    <w:basedOn w:val="719"/>
    <w:link w:val="71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7" w:customStyle="1">
    <w:name w:val="Заголовок 7 Знак"/>
    <w:basedOn w:val="719"/>
    <w:link w:val="71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8" w:customStyle="1">
    <w:name w:val="Заголовок 8 Знак"/>
    <w:basedOn w:val="719"/>
    <w:link w:val="71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9" w:customStyle="1">
    <w:name w:val="Заголовок 9 Знак"/>
    <w:basedOn w:val="719"/>
    <w:link w:val="71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0" w:customStyle="1">
    <w:name w:val="Title Char"/>
    <w:basedOn w:val="71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71" w:customStyle="1">
    <w:name w:val="Subtitle Char"/>
    <w:basedOn w:val="71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2">
    <w:name w:val="Quote"/>
    <w:basedOn w:val="709"/>
    <w:next w:val="709"/>
    <w:link w:val="87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3" w:customStyle="1">
    <w:name w:val="Цитата 2 Знак"/>
    <w:basedOn w:val="719"/>
    <w:link w:val="87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4">
    <w:name w:val="Intense Emphasis"/>
    <w:basedOn w:val="719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75">
    <w:name w:val="Intense Quote"/>
    <w:basedOn w:val="709"/>
    <w:next w:val="709"/>
    <w:link w:val="876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76" w:customStyle="1">
    <w:name w:val="Выделенная цитата Знак"/>
    <w:basedOn w:val="719"/>
    <w:link w:val="875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77">
    <w:name w:val="Intense Reference"/>
    <w:basedOn w:val="719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78">
    <w:name w:val="No Spacing"/>
    <w:basedOn w:val="709"/>
    <w:uiPriority w:val="1"/>
    <w:qFormat/>
    <w:pPr>
      <w:pBdr/>
      <w:spacing w:after="0" w:line="240" w:lineRule="auto"/>
      <w:ind/>
    </w:pPr>
  </w:style>
  <w:style w:type="character" w:styleId="879">
    <w:name w:val="Subtle Emphasis"/>
    <w:basedOn w:val="71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0">
    <w:name w:val="Strong"/>
    <w:basedOn w:val="719"/>
    <w:uiPriority w:val="22"/>
    <w:qFormat/>
    <w:pPr>
      <w:pBdr/>
      <w:spacing/>
      <w:ind/>
    </w:pPr>
    <w:rPr>
      <w:b/>
      <w:bCs/>
    </w:rPr>
  </w:style>
  <w:style w:type="character" w:styleId="881">
    <w:name w:val="Subtle Reference"/>
    <w:basedOn w:val="71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2">
    <w:name w:val="Book Title"/>
    <w:basedOn w:val="71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3">
    <w:name w:val="Header"/>
    <w:basedOn w:val="709"/>
    <w:link w:val="88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4" w:customStyle="1">
    <w:name w:val="Верхний колонтитул Знак"/>
    <w:basedOn w:val="719"/>
    <w:link w:val="883"/>
    <w:uiPriority w:val="99"/>
    <w:pPr>
      <w:pBdr/>
      <w:spacing/>
      <w:ind/>
    </w:pPr>
  </w:style>
  <w:style w:type="paragraph" w:styleId="885">
    <w:name w:val="Footer"/>
    <w:basedOn w:val="709"/>
    <w:link w:val="88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6" w:customStyle="1">
    <w:name w:val="Нижний колонтитул Знак"/>
    <w:basedOn w:val="719"/>
    <w:link w:val="885"/>
    <w:uiPriority w:val="99"/>
    <w:pPr>
      <w:pBdr/>
      <w:spacing/>
      <w:ind/>
    </w:pPr>
  </w:style>
  <w:style w:type="paragraph" w:styleId="887">
    <w:name w:val="Caption"/>
    <w:basedOn w:val="709"/>
    <w:next w:val="709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888">
    <w:name w:val="footnote text"/>
    <w:basedOn w:val="709"/>
    <w:link w:val="88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9" w:customStyle="1">
    <w:name w:val="Текст сноски Знак"/>
    <w:basedOn w:val="719"/>
    <w:link w:val="888"/>
    <w:uiPriority w:val="99"/>
    <w:semiHidden/>
    <w:pPr>
      <w:pBdr/>
      <w:spacing/>
      <w:ind/>
    </w:pPr>
    <w:rPr>
      <w:sz w:val="20"/>
      <w:szCs w:val="20"/>
    </w:rPr>
  </w:style>
  <w:style w:type="character" w:styleId="890">
    <w:name w:val="footnote reference"/>
    <w:basedOn w:val="719"/>
    <w:uiPriority w:val="99"/>
    <w:semiHidden/>
    <w:unhideWhenUsed/>
    <w:pPr>
      <w:pBdr/>
      <w:spacing/>
      <w:ind/>
    </w:pPr>
    <w:rPr>
      <w:vertAlign w:val="superscript"/>
    </w:rPr>
  </w:style>
  <w:style w:type="paragraph" w:styleId="891">
    <w:name w:val="endnote text"/>
    <w:basedOn w:val="709"/>
    <w:link w:val="89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2" w:customStyle="1">
    <w:name w:val="Текст концевой сноски Знак"/>
    <w:basedOn w:val="719"/>
    <w:link w:val="891"/>
    <w:uiPriority w:val="99"/>
    <w:semiHidden/>
    <w:pPr>
      <w:pBdr/>
      <w:spacing/>
      <w:ind/>
    </w:pPr>
    <w:rPr>
      <w:sz w:val="20"/>
      <w:szCs w:val="20"/>
    </w:rPr>
  </w:style>
  <w:style w:type="character" w:styleId="893">
    <w:name w:val="endnote reference"/>
    <w:basedOn w:val="719"/>
    <w:uiPriority w:val="99"/>
    <w:semiHidden/>
    <w:unhideWhenUsed/>
    <w:pPr>
      <w:pBdr/>
      <w:spacing/>
      <w:ind/>
    </w:pPr>
    <w:rPr>
      <w:vertAlign w:val="superscript"/>
    </w:rPr>
  </w:style>
  <w:style w:type="character" w:styleId="894">
    <w:name w:val="FollowedHyperlink"/>
    <w:basedOn w:val="719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95">
    <w:name w:val="toc 1"/>
    <w:basedOn w:val="709"/>
    <w:next w:val="709"/>
    <w:uiPriority w:val="39"/>
    <w:unhideWhenUsed/>
    <w:pPr>
      <w:pBdr/>
      <w:spacing w:after="100"/>
      <w:ind/>
    </w:pPr>
  </w:style>
  <w:style w:type="paragraph" w:styleId="896">
    <w:name w:val="toc 2"/>
    <w:basedOn w:val="709"/>
    <w:next w:val="709"/>
    <w:uiPriority w:val="39"/>
    <w:unhideWhenUsed/>
    <w:pPr>
      <w:pBdr/>
      <w:spacing w:after="100"/>
      <w:ind w:left="220"/>
    </w:pPr>
  </w:style>
  <w:style w:type="paragraph" w:styleId="897">
    <w:name w:val="toc 3"/>
    <w:basedOn w:val="709"/>
    <w:next w:val="709"/>
    <w:uiPriority w:val="39"/>
    <w:unhideWhenUsed/>
    <w:pPr>
      <w:pBdr/>
      <w:spacing w:after="100"/>
      <w:ind w:left="440"/>
    </w:pPr>
  </w:style>
  <w:style w:type="paragraph" w:styleId="898">
    <w:name w:val="toc 4"/>
    <w:basedOn w:val="709"/>
    <w:next w:val="709"/>
    <w:uiPriority w:val="39"/>
    <w:unhideWhenUsed/>
    <w:pPr>
      <w:pBdr/>
      <w:spacing w:after="100"/>
      <w:ind w:left="660"/>
    </w:pPr>
  </w:style>
  <w:style w:type="paragraph" w:styleId="899">
    <w:name w:val="toc 5"/>
    <w:basedOn w:val="709"/>
    <w:next w:val="709"/>
    <w:uiPriority w:val="39"/>
    <w:unhideWhenUsed/>
    <w:pPr>
      <w:pBdr/>
      <w:spacing w:after="100"/>
      <w:ind w:left="880"/>
    </w:pPr>
  </w:style>
  <w:style w:type="paragraph" w:styleId="900">
    <w:name w:val="toc 6"/>
    <w:basedOn w:val="709"/>
    <w:next w:val="709"/>
    <w:uiPriority w:val="39"/>
    <w:unhideWhenUsed/>
    <w:pPr>
      <w:pBdr/>
      <w:spacing w:after="100"/>
      <w:ind w:left="1100"/>
    </w:pPr>
  </w:style>
  <w:style w:type="paragraph" w:styleId="901">
    <w:name w:val="toc 7"/>
    <w:basedOn w:val="709"/>
    <w:next w:val="709"/>
    <w:uiPriority w:val="39"/>
    <w:unhideWhenUsed/>
    <w:pPr>
      <w:pBdr/>
      <w:spacing w:after="100"/>
      <w:ind w:left="1320"/>
    </w:pPr>
  </w:style>
  <w:style w:type="paragraph" w:styleId="902">
    <w:name w:val="toc 8"/>
    <w:basedOn w:val="709"/>
    <w:next w:val="709"/>
    <w:uiPriority w:val="39"/>
    <w:unhideWhenUsed/>
    <w:pPr>
      <w:pBdr/>
      <w:spacing w:after="100"/>
      <w:ind w:left="1540"/>
    </w:pPr>
  </w:style>
  <w:style w:type="paragraph" w:styleId="903">
    <w:name w:val="toc 9"/>
    <w:basedOn w:val="709"/>
    <w:next w:val="709"/>
    <w:uiPriority w:val="39"/>
    <w:unhideWhenUsed/>
    <w:pPr>
      <w:pBdr/>
      <w:spacing w:after="100"/>
      <w:ind w:left="1760"/>
    </w:pPr>
  </w:style>
  <w:style w:type="character" w:styleId="904">
    <w:name w:val="Placeholder Text"/>
    <w:basedOn w:val="719"/>
    <w:uiPriority w:val="99"/>
    <w:semiHidden/>
    <w:pPr>
      <w:pBdr/>
      <w:spacing/>
      <w:ind/>
    </w:pPr>
    <w:rPr>
      <w:color w:val="666666"/>
    </w:rPr>
  </w:style>
  <w:style w:type="paragraph" w:styleId="905">
    <w:name w:val="TOC Heading"/>
    <w:uiPriority w:val="39"/>
    <w:unhideWhenUsed/>
    <w:pPr>
      <w:pBdr/>
      <w:spacing/>
      <w:ind/>
    </w:pPr>
  </w:style>
  <w:style w:type="paragraph" w:styleId="906">
    <w:name w:val="table of figures"/>
    <w:basedOn w:val="709"/>
    <w:next w:val="709"/>
    <w:uiPriority w:val="99"/>
    <w:unhideWhenUsed/>
    <w:pPr>
      <w:pBdr/>
      <w:spacing w:after="0"/>
      <w:ind/>
    </w:pPr>
  </w:style>
  <w:style w:type="table" w:styleId="907">
    <w:name w:val="Table Grid"/>
    <w:basedOn w:val="720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8">
    <w:name w:val="Title"/>
    <w:basedOn w:val="709"/>
    <w:link w:val="909"/>
    <w:uiPriority w:val="99"/>
    <w:qFormat/>
    <w:pPr>
      <w:pBdr/>
      <w:spacing w:after="0" w:line="240" w:lineRule="auto"/>
      <w:ind w:left="-900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909" w:customStyle="1">
    <w:name w:val="Заголовок Знак"/>
    <w:basedOn w:val="719"/>
    <w:link w:val="908"/>
    <w:uiPriority w:val="99"/>
    <w:pPr>
      <w:pBdr/>
      <w:spacing/>
      <w:ind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910">
    <w:name w:val="Body Text"/>
    <w:basedOn w:val="709"/>
    <w:link w:val="911"/>
    <w:uiPriority w:val="99"/>
    <w:pPr>
      <w:pBdr/>
      <w:spacing w:after="0" w:line="240" w:lineRule="auto"/>
      <w:ind/>
      <w:jc w:val="center"/>
    </w:pPr>
    <w:rPr>
      <w:rFonts w:ascii="Times New Roman" w:hAnsi="Times New Roman" w:eastAsia="Times New Roman" w:cs="Times New Roman"/>
      <w:szCs w:val="20"/>
      <w:lang w:val="en-US" w:eastAsia="ru-RU"/>
    </w:rPr>
  </w:style>
  <w:style w:type="character" w:styleId="911" w:customStyle="1">
    <w:name w:val="Основной текст Знак"/>
    <w:basedOn w:val="719"/>
    <w:link w:val="910"/>
    <w:uiPriority w:val="99"/>
    <w:pPr>
      <w:pBdr/>
      <w:spacing/>
      <w:ind/>
    </w:pPr>
    <w:rPr>
      <w:rFonts w:ascii="Times New Roman" w:hAnsi="Times New Roman" w:eastAsia="Times New Roman" w:cs="Times New Roman"/>
      <w:szCs w:val="20"/>
      <w:lang w:val="en-US" w:eastAsia="ru-RU"/>
    </w:rPr>
  </w:style>
  <w:style w:type="paragraph" w:styleId="912">
    <w:name w:val="Subtitle"/>
    <w:basedOn w:val="709"/>
    <w:link w:val="913"/>
    <w:uiPriority w:val="99"/>
    <w:qFormat/>
    <w:pPr>
      <w:pBdr/>
      <w:tabs>
        <w:tab w:val="left" w:leader="none" w:pos="6804"/>
      </w:tabs>
      <w:spacing w:after="0" w:line="240" w:lineRule="auto"/>
      <w:ind/>
    </w:pPr>
    <w:rPr>
      <w:rFonts w:ascii="Times New Roman" w:hAnsi="Times New Roman" w:eastAsia="Times New Roman" w:cs="Times New Roman"/>
      <w:b/>
      <w:color w:val="000000"/>
      <w:sz w:val="16"/>
      <w:szCs w:val="20"/>
      <w:lang w:eastAsia="ru-RU"/>
    </w:rPr>
  </w:style>
  <w:style w:type="character" w:styleId="913" w:customStyle="1">
    <w:name w:val="Подзаголовок Знак"/>
    <w:basedOn w:val="719"/>
    <w:link w:val="912"/>
    <w:uiPriority w:val="99"/>
    <w:pPr>
      <w:pBdr/>
      <w:spacing/>
      <w:ind/>
    </w:pPr>
    <w:rPr>
      <w:rFonts w:ascii="Times New Roman" w:hAnsi="Times New Roman" w:eastAsia="Times New Roman" w:cs="Times New Roman"/>
      <w:b/>
      <w:color w:val="000000"/>
      <w:sz w:val="16"/>
      <w:szCs w:val="20"/>
      <w:lang w:eastAsia="ru-RU"/>
    </w:rPr>
  </w:style>
  <w:style w:type="paragraph" w:styleId="914" w:customStyle="1">
    <w:name w:val="ConsPlusNormal"/>
    <w:link w:val="915"/>
    <w:qFormat/>
    <w:pPr>
      <w:widowControl w:val="false"/>
      <w:pBdr/>
      <w:spacing w:after="0" w:line="240" w:lineRule="auto"/>
      <w:ind w:firstLine="720"/>
    </w:pPr>
    <w:rPr>
      <w:rFonts w:ascii="Arial" w:hAnsi="Arial" w:eastAsia="Calibri" w:cs="Times New Roman"/>
      <w:lang w:eastAsia="ru-RU"/>
    </w:rPr>
  </w:style>
  <w:style w:type="character" w:styleId="915" w:customStyle="1">
    <w:name w:val="ConsPlusNormal Знак"/>
    <w:link w:val="914"/>
    <w:pPr>
      <w:pBdr/>
      <w:spacing/>
      <w:ind/>
    </w:pPr>
    <w:rPr>
      <w:rFonts w:ascii="Arial" w:hAnsi="Arial" w:eastAsia="Calibri" w:cs="Times New Roman"/>
      <w:lang w:eastAsia="ru-RU"/>
    </w:rPr>
  </w:style>
  <w:style w:type="character" w:styleId="916" w:customStyle="1">
    <w:name w:val="Заголовок 1 Знак"/>
    <w:basedOn w:val="719"/>
    <w:link w:val="710"/>
    <w:uiPriority w:val="99"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17">
    <w:name w:val="List Paragraph"/>
    <w:basedOn w:val="709"/>
    <w:uiPriority w:val="34"/>
    <w:qFormat/>
    <w:pPr>
      <w:pBdr/>
      <w:spacing/>
      <w:ind w:left="720"/>
      <w:contextualSpacing w:val="true"/>
    </w:pPr>
  </w:style>
  <w:style w:type="character" w:styleId="918">
    <w:name w:val="Emphasis"/>
    <w:basedOn w:val="719"/>
    <w:uiPriority w:val="20"/>
    <w:qFormat/>
    <w:pPr>
      <w:pBdr/>
      <w:spacing/>
      <w:ind/>
    </w:pPr>
    <w:rPr>
      <w:i/>
      <w:iCs/>
    </w:rPr>
  </w:style>
  <w:style w:type="character" w:styleId="919">
    <w:name w:val="Hyperlink"/>
    <w:uiPriority w:val="99"/>
    <w:pPr>
      <w:pBdr/>
      <w:spacing/>
      <w:ind/>
    </w:pPr>
    <w:rPr>
      <w:rFonts w:cs="Times New Roman"/>
      <w:color w:val="0563c1"/>
      <w:u w:val="single"/>
    </w:rPr>
  </w:style>
  <w:style w:type="character" w:styleId="920" w:customStyle="1">
    <w:name w:val="lots-wrap-content__body__val"/>
    <w:basedOn w:val="719"/>
    <w:pPr>
      <w:pBdr/>
      <w:spacing/>
      <w:ind/>
    </w:pPr>
  </w:style>
  <w:style w:type="paragraph" w:styleId="921" w:customStyle="1">
    <w:name w:val="Обычный1"/>
    <w:qFormat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line="240" w:lineRule="auto"/>
      <w:ind/>
    </w:pPr>
    <w:rPr>
      <w:rFonts w:ascii="Times New Roman" w:hAnsi="Times New Roman" w:eastAsia="Times New Roman" w:cs="Lohit Hindi"/>
      <w:color w:val="00000a"/>
      <w:sz w:val="24"/>
      <w:szCs w:val="24"/>
      <w:lang w:eastAsia="zh-CN" w:bidi="hi-IN"/>
    </w:rPr>
  </w:style>
  <w:style w:type="paragraph" w:styleId="922" w:customStyle="1">
    <w:name w:val="Без интервала1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Calibri" w:hAnsi="Calibri" w:eastAsia="Times New Roman" w:cs="Times New Roman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98B90-C66C-42DE-A83A-2F6CB41A7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revision>111</cp:revision>
  <dcterms:created xsi:type="dcterms:W3CDTF">2025-02-10T02:34:00Z</dcterms:created>
  <dcterms:modified xsi:type="dcterms:W3CDTF">2026-07-27T00:05:36Z</dcterms:modified>
</cp:coreProperties>
</file>