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single"/>
        </w:rPr>
        <w:t xml:space="preserve">О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single"/>
        </w:rPr>
        <w:t xml:space="preserve">писание объекта закупки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Bdr/>
        <w:spacing w:after="0"/>
        <w:ind w:right="0" w:firstLine="709" w:left="0"/>
        <w:jc w:val="both"/>
        <w:rPr>
          <w:rFonts w:ascii="PT Astra Serif" w:hAnsi="PT Astra Serif" w:cs="PT Astra Serif"/>
          <w:b w:val="0"/>
          <w:bCs w:val="0"/>
          <w:i w:val="0"/>
          <w:strike w:val="0"/>
          <w:color w:val="000000"/>
          <w:sz w:val="28"/>
          <w:szCs w:val="28"/>
          <w:highlight w:val="none"/>
          <w:u w:val="none"/>
        </w:rPr>
      </w:pPr>
      <w:r>
        <w:rPr>
          <w:rFonts w:ascii="PT Astra Serif" w:hAnsi="PT Astra Serif" w:eastAsia="PT Astra Serif" w:cs="PT Astra Serif"/>
          <w:b/>
          <w:bCs/>
          <w:i w:val="0"/>
          <w:strike w:val="0"/>
          <w:color w:val="000000"/>
          <w:sz w:val="28"/>
          <w:szCs w:val="28"/>
          <w:u w:val="none"/>
        </w:rPr>
        <w:t xml:space="preserve">Заказчик: 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</w:rPr>
        <w:t xml:space="preserve">Главное управление Министерства юстиции Российской Федерации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  <w:lang w:val="undefined"/>
        </w:rPr>
        <w:t xml:space="preserve">++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</w:rPr>
        <w:t xml:space="preserve"> по Свердловской области</w:t>
      </w:r>
      <w:r>
        <w:rPr>
          <w:rFonts w:ascii="PT Astra Serif" w:hAnsi="PT Astra Serif" w:cs="PT Astra Serif"/>
          <w:b w:val="0"/>
          <w:bCs w:val="0"/>
          <w:i w:val="0"/>
          <w:strike w:val="0"/>
          <w:color w:val="000000"/>
          <w:sz w:val="28"/>
          <w:szCs w:val="28"/>
          <w:highlight w:val="none"/>
          <w:u w:val="none"/>
        </w:rPr>
        <w:t xml:space="preserve">.</w:t>
      </w:r>
      <w:r>
        <w:rPr>
          <w:rFonts w:ascii="PT Astra Serif" w:hAnsi="PT Astra Serif" w:cs="PT Astra Serif"/>
          <w:b w:val="0"/>
          <w:bCs w:val="0"/>
          <w:i w:val="0"/>
          <w:strike w:val="0"/>
          <w:color w:val="000000"/>
          <w:sz w:val="28"/>
          <w:szCs w:val="28"/>
          <w:highlight w:val="none"/>
          <w:u w:val="none"/>
        </w:rPr>
      </w:r>
      <w:r>
        <w:rPr>
          <w:rFonts w:ascii="PT Astra Serif" w:hAnsi="PT Astra Serif" w:cs="PT Astra Serif"/>
          <w:b w:val="0"/>
          <w:bCs w:val="0"/>
          <w:i w:val="0"/>
          <w:strike w:val="0"/>
          <w:color w:val="000000"/>
          <w:sz w:val="28"/>
          <w:szCs w:val="28"/>
          <w:highlight w:val="none"/>
          <w:u w:val="none"/>
        </w:rPr>
      </w:r>
    </w:p>
    <w:p>
      <w:pPr>
        <w:pBdr/>
        <w:spacing w:after="0"/>
        <w:ind w:right="0" w:firstLine="709" w:left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/>
          <w:i w:val="0"/>
          <w:strike w:val="0"/>
          <w:color w:val="000000"/>
          <w:sz w:val="28"/>
          <w:szCs w:val="28"/>
          <w:u w:val="none"/>
        </w:rPr>
        <w:t xml:space="preserve">Наименование закупки: 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</w:rPr>
        <w:t xml:space="preserve">Оказание услуг по предоставлению во временное пользование и замене грязезащитных ворсовых ковровых покрытий для нужд Главного управления Министерства юстиции Российской Федерации по Свердловской области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Bdr/>
        <w:spacing w:after="0"/>
        <w:ind w:right="0" w:firstLine="709" w:left="0"/>
        <w:jc w:val="both"/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</w:pPr>
      <w:r>
        <w:rPr>
          <w:rFonts w:ascii="PT Astra Serif" w:hAnsi="PT Astra Serif" w:eastAsia="PT Astra Serif" w:cs="PT Astra Serif"/>
          <w:b/>
          <w:i w:val="0"/>
          <w:strike w:val="0"/>
          <w:color w:val="000000"/>
          <w:sz w:val="28"/>
          <w:szCs w:val="28"/>
          <w:u w:val="none"/>
        </w:rPr>
        <w:t xml:space="preserve">Место оказания услуг: </w:t>
      </w:r>
      <w:r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  <w:t xml:space="preserve">620000, Свердловская область, г. Екатеринбург, </w:t>
      </w:r>
      <w:r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  <w:t xml:space="preserve">ул. Пуш</w:t>
      </w:r>
      <w:r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  <w:t xml:space="preserve">к</w:t>
      </w:r>
      <w:r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  <w:t xml:space="preserve">ина</w:t>
      </w:r>
      <w:r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  <w:t xml:space="preserve">стр. 24</w:t>
      </w:r>
      <w:r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</w:r>
    </w:p>
    <w:p>
      <w:pPr>
        <w:pBdr/>
        <w:spacing w:after="0"/>
        <w:ind w:right="0" w:firstLine="709" w:left="0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b/>
          <w:i w:val="0"/>
          <w:strike w:val="0"/>
          <w:color w:val="000000"/>
          <w:sz w:val="28"/>
          <w:szCs w:val="28"/>
          <w:highlight w:val="white"/>
          <w:u w:val="none"/>
        </w:rPr>
        <w:t xml:space="preserve">Срок оказания услуг: 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highlight w:val="white"/>
          <w:u w:val="none"/>
        </w:rPr>
        <w:t xml:space="preserve">с 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highlight w:val="white"/>
          <w:u w:val="none"/>
        </w:rPr>
        <w:t xml:space="preserve">01.09.2026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highlight w:val="white"/>
          <w:u w:val="none"/>
        </w:rPr>
        <w:t xml:space="preserve"> г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highlight w:val="white"/>
          <w:u w:val="none"/>
        </w:rPr>
        <w:t xml:space="preserve">.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highlight w:val="white"/>
          <w:u w:val="none"/>
        </w:rPr>
        <w:t xml:space="preserve"> по 31.12.2026 г. 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(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1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8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 замен).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>
        <w:rPr>
          <w:rFonts w:ascii="PT Astra Serif" w:hAnsi="PT Astra Serif" w:cs="PT Astra Serif"/>
          <w:sz w:val="28"/>
          <w:szCs w:val="28"/>
          <w:highlight w:val="white"/>
        </w:rPr>
      </w:r>
    </w:p>
    <w:p>
      <w:pPr>
        <w:pBdr/>
        <w:spacing w:after="0"/>
        <w:ind w:right="0" w:firstLine="709" w:left="0"/>
        <w:jc w:val="both"/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</w:pPr>
      <w:r>
        <w:rPr>
          <w:rFonts w:ascii="PT Astra Serif" w:hAnsi="PT Astra Serif" w:eastAsia="PT Astra Serif" w:cs="PT Astra Serif"/>
          <w:b/>
          <w:i w:val="0"/>
          <w:strike w:val="0"/>
          <w:color w:val="000000"/>
          <w:sz w:val="28"/>
          <w:szCs w:val="28"/>
          <w:u w:val="none"/>
        </w:rPr>
        <w:t xml:space="preserve">Требования, предъявляемые к оказываемым услугам:</w:t>
      </w:r>
      <w:r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</w:r>
    </w:p>
    <w:p>
      <w:pPr>
        <w:pBdr/>
        <w:spacing w:after="0"/>
        <w:ind w:right="0" w:firstLine="709" w:left="0"/>
        <w:jc w:val="both"/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</w:pP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</w:rPr>
        <w:t xml:space="preserve">1. Замена ковровых покрытий производится 1 раз в неделю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</w:rPr>
        <w:t xml:space="preserve"> по будням 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</w:rPr>
        <w:t xml:space="preserve">по графику, согласованному с Заказчиком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</w:rPr>
        <w:t xml:space="preserve">, 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</w:rPr>
        <w:t xml:space="preserve">при этом грязные ковровые покрытия вывозятся Исполнителем с места укладки.</w:t>
      </w:r>
      <w:r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</w:r>
    </w:p>
    <w:p>
      <w:pPr>
        <w:pBdr/>
        <w:spacing w:after="0"/>
        <w:ind w:right="0" w:firstLine="709" w:left="0"/>
        <w:jc w:val="both"/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</w:pP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</w:rPr>
        <w:t xml:space="preserve">2. В случае, если день предоставления чистых ковровых покрытий п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</w:rPr>
        <w:t xml:space="preserve">риходится </w:t>
        <w:br/>
        <w:t xml:space="preserve">на праздничный день, то ковровые покрытия в этот день не предоставляются, переносится на следующий рабочий день.</w:t>
      </w:r>
      <w:r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</w:r>
    </w:p>
    <w:p>
      <w:pPr>
        <w:pBdr/>
        <w:spacing w:after="0"/>
        <w:ind w:right="0" w:firstLine="709" w:left="0"/>
        <w:jc w:val="both"/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</w:pP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</w:rPr>
        <w:t xml:space="preserve">3. Исполнитель своими силами и за свой счет предоставляет чистые ковровые покрытия (погружает, доставляет, разгружает), размещает их 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</w:rPr>
        <w:t xml:space="preserve">на первом этаже при входе в Главное управление (2 входа). </w:t>
      </w:r>
      <w:r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u w:val="none"/>
        </w:rPr>
      </w:r>
    </w:p>
    <w:p>
      <w:pPr>
        <w:pBdr/>
        <w:spacing w:after="0"/>
        <w:ind w:right="0" w:firstLine="709" w:left="0"/>
        <w:jc w:val="both"/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highlight w:val="none"/>
          <w:u w:val="none"/>
        </w:rPr>
      </w:pP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</w:rPr>
        <w:t xml:space="preserve">4. Исполнитель предоставляет ковровые покрытия в чистом виде (без следов грязи, без пятен). Ковры должны быть сухими, без внешних дефектов (механических повреждений, дыр, деформации), без запаха.</w:t>
      </w:r>
      <w:r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highlight w:val="none"/>
          <w:u w:val="none"/>
        </w:rPr>
      </w:r>
      <w:r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8"/>
          <w:szCs w:val="28"/>
          <w:highlight w:val="none"/>
          <w:u w:val="none"/>
        </w:rPr>
      </w:r>
    </w:p>
    <w:p>
      <w:pPr>
        <w:pBdr/>
        <w:spacing w:after="0"/>
        <w:ind w:right="0" w:firstLine="709" w:left="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</w:rPr>
        <w:t xml:space="preserve">5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</w:rPr>
        <w:t xml:space="preserve">. Во время размещения (укладки) ковровых покрытий Исполнитель обеспечивает беспрепятственный доступ работникам и посетителям в помещения Заказчика.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Bdr/>
        <w:spacing w:after="0"/>
        <w:ind w:right="0" w:firstLine="709" w:left="0"/>
        <w:jc w:val="both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6.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Требования к ковровым покрытиям:</w:t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tbl>
      <w:tblPr>
        <w:tblStyle w:val="697"/>
        <w:tblW w:w="0" w:type="auto"/>
        <w:tblBorders/>
        <w:tblLook w:val="04A0" w:firstRow="1" w:lastRow="0" w:firstColumn="1" w:lastColumn="0" w:noHBand="0" w:noVBand="1"/>
      </w:tblPr>
      <w:tblGrid>
        <w:gridCol w:w="615"/>
        <w:gridCol w:w="1125"/>
        <w:gridCol w:w="1395"/>
        <w:gridCol w:w="1575"/>
        <w:gridCol w:w="9780"/>
      </w:tblGrid>
      <w:tr>
        <w:trPr>
          <w:trHeight w:val="122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1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№ п/п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Размер коврового покрытия (см)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9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Количество ковровых покрытий (шт.)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Общее кол-во замен в неделю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Описание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  <w:tr>
        <w:trPr>
          <w:trHeight w:val="99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1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1.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115*180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9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Грязезащитные ковры на резиновой осн</w:t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ове, предоставляемые Заказчику в аренду, рассчитанные на эксплуатацию в помещениях с интенсивной посещаемостью. Материал коврового покрытия: ворс, без металлизированных нитей на резиновой прошипованной основе (бордюр по краю не менее 1,5 см и не более 5 см</w:t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)</w:t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. Плотность ворса не менее 700 г/кв.м. Объем поглощения грязи покрытием на 1 кв.м. – не менее 5 литров воды и не менее 3 кг песка и мелкой грязи. </w:t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Цвет: темно-серый, коричневый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</w:p>
          <w:p>
            <w:pPr>
              <w:pBdr/>
              <w:spacing/>
              <w:ind/>
              <w:jc w:val="left"/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Место размещения:</w:t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u w:val="none"/>
              </w:rPr>
              <w:t xml:space="preserve"> центральный вход Главного управления, 1 этаж.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8"/>
                <w:szCs w:val="28"/>
                <w:highlight w:val="none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8"/>
                <w:szCs w:val="28"/>
                <w:highlight w:val="none"/>
                <w:u w:val="none"/>
              </w:rPr>
            </w:r>
          </w:p>
          <w:p>
            <w:pPr>
              <w:pBdr/>
              <w:spacing/>
              <w:ind/>
              <w:jc w:val="left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highlight w:val="none"/>
                <w:u w:val="none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  <w:tr>
        <w:trPr>
          <w:trHeight w:val="22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1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2.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2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85*60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9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PT Astra Serif" w:hAnsi="PT Astra Serif" w:cs="PT Astra Serif"/>
                <w:sz w:val="28"/>
                <w:szCs w:val="28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highlight w:val="white"/>
                <w:u w:val="none"/>
                <w:vertAlign w:val="baseline"/>
              </w:rPr>
              <w:t xml:space="preserve">1</w:t>
            </w:r>
            <w:r>
              <w:rPr>
                <w:rFonts w:ascii="PT Astra Serif" w:hAnsi="PT Astra Serif" w:cs="PT Astra Serif"/>
                <w:sz w:val="28"/>
                <w:szCs w:val="28"/>
                <w:highlight w:val="white"/>
              </w:rPr>
            </w:r>
            <w:r>
              <w:rPr>
                <w:rFonts w:ascii="PT Astra Serif" w:hAnsi="PT Astra Serif" w:cs="PT Astra Serif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left"/>
              <w:rPr>
                <w:rFonts w:ascii="PT Astra Serif" w:hAnsi="PT Astra Serif" w:cs="PT Astra Serif"/>
                <w:sz w:val="28"/>
                <w:szCs w:val="28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highlight w:val="white"/>
                <w:u w:val="none"/>
                <w:vertAlign w:val="baseline"/>
              </w:rPr>
              <w:t xml:space="preserve">Г</w:t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highlight w:val="white"/>
                <w:u w:val="none"/>
              </w:rPr>
              <w:t xml:space="preserve">рязезащитные ковры на резиновой осн</w:t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highlight w:val="white"/>
                <w:u w:val="none"/>
              </w:rPr>
              <w:t xml:space="preserve">ове, предоставляемые Заказчику в аренду, рассчитанные на эксплуатацию в помещениях с интенсивной посещаемостью. Материал коврового покрытия: ворс, без металлизированных нитей на резиновой прошипованной основе (бордюр по краю не менее 1,5 см и не более 5 см</w:t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highlight w:val="white"/>
                <w:u w:val="none"/>
              </w:rPr>
              <w:t xml:space="preserve">)</w:t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highlight w:val="white"/>
                <w:u w:val="none"/>
              </w:rPr>
              <w:t xml:space="preserve">. Плотность ворса не менее 700 г/кв.м. Объем поглощения грязи покрытием на 1 кв.м. – не менее 5 литров воды и не менее 3 кг песка и мелкой грязи. Место размещения: </w:t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highlight w:val="white"/>
                <w:u w:val="none"/>
              </w:rPr>
              <w:t xml:space="preserve">служебный вход  Главно</w:t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highlight w:val="white"/>
                <w:u w:val="none"/>
              </w:rPr>
              <w:t xml:space="preserve">го</w:t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highlight w:val="white"/>
                <w:u w:val="none"/>
              </w:rPr>
              <w:t xml:space="preserve"> управления, </w:t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highlight w:val="white"/>
                <w:u w:val="none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8"/>
                <w:szCs w:val="28"/>
                <w:highlight w:val="white"/>
                <w:u w:val="none"/>
              </w:rPr>
              <w:t xml:space="preserve"> этаж</w:t>
            </w:r>
            <w:r>
              <w:rPr>
                <w:rFonts w:ascii="PT Astra Serif" w:hAnsi="PT Astra Serif" w:cs="PT Astra Serif"/>
                <w:sz w:val="28"/>
                <w:szCs w:val="28"/>
                <w:highlight w:val="white"/>
              </w:rPr>
            </w:r>
            <w:r>
              <w:rPr>
                <w:rFonts w:ascii="PT Astra Serif" w:hAnsi="PT Astra Serif" w:cs="PT Astra Serif"/>
                <w:sz w:val="28"/>
                <w:szCs w:val="28"/>
                <w:highlight w:val="white"/>
              </w:rPr>
            </w:r>
          </w:p>
        </w:tc>
      </w:tr>
    </w:tbl>
    <w:p>
      <w:pPr>
        <w:pBdr/>
        <w:spacing w:after="0"/>
        <w:ind w:right="0" w:firstLine="709" w:left="0"/>
        <w:jc w:val="both"/>
        <w:rPr>
          <w:rFonts w:ascii="PT Astra Serif" w:hAnsi="PT Astra Serif" w:eastAsia="URW Bookman" w:cs="URW Bookman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lang w:val="undefined"/>
        </w:rPr>
        <w:t xml:space="preserve">7. </w:t>
      </w:r>
      <w:r>
        <w:rPr>
          <w:rFonts w:ascii="PT Astra Serif" w:hAnsi="PT Astra Serif" w:eastAsia="URW Bookman" w:cs="URW Bookman"/>
          <w:sz w:val="28"/>
          <w:szCs w:val="28"/>
        </w:rPr>
        <w:t xml:space="preserve">Ежемесячно не позднее 5 числа месяца, следующего за </w:t>
      </w:r>
      <w:r>
        <w:rPr>
          <w:rFonts w:ascii="PT Astra Serif" w:hAnsi="PT Astra Serif" w:eastAsia="URW Bookman" w:cs="URW Bookman"/>
          <w:sz w:val="28"/>
          <w:szCs w:val="28"/>
        </w:rPr>
        <w:t xml:space="preserve">текущим</w:t>
      </w:r>
      <w:r>
        <w:rPr>
          <w:rFonts w:ascii="PT Astra Serif" w:hAnsi="PT Astra Serif" w:eastAsia="URW Bookman" w:cs="URW Bookman"/>
          <w:sz w:val="28"/>
          <w:szCs w:val="28"/>
        </w:rPr>
        <w:t xml:space="preserve">, 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</w:rPr>
        <w:t xml:space="preserve">Исполнитель предоставляет</w:t>
      </w:r>
      <w:r>
        <w:rPr>
          <w:rFonts w:ascii="PT Astra Serif" w:hAnsi="PT Astra Serif" w:eastAsia="URW Bookman" w:cs="URW Bookman"/>
          <w:sz w:val="28"/>
          <w:szCs w:val="28"/>
          <w:lang w:val="undefined"/>
        </w:rPr>
        <w:t xml:space="preserve"> </w:t>
      </w:r>
      <w:r>
        <w:rPr>
          <w:rFonts w:ascii="PT Astra Serif" w:hAnsi="PT Astra Serif" w:eastAsia="URW Bookman" w:cs="URW Bookman"/>
          <w:sz w:val="28"/>
          <w:szCs w:val="28"/>
        </w:rPr>
        <w:t xml:space="preserve">счета</w:t>
      </w:r>
      <w:r>
        <w:rPr>
          <w:rFonts w:ascii="PT Astra Serif" w:hAnsi="PT Astra Serif" w:eastAsia="URW Bookman" w:cs="URW Bookman"/>
          <w:sz w:val="28"/>
          <w:szCs w:val="28"/>
          <w:lang w:val="undefined"/>
        </w:rPr>
        <w:t xml:space="preserve">, акты</w:t>
      </w:r>
      <w:r>
        <w:rPr>
          <w:rFonts w:ascii="PT Astra Serif" w:hAnsi="PT Astra Serif" w:eastAsia="URW Bookman" w:cs="URW Bookman"/>
          <w:sz w:val="28"/>
          <w:szCs w:val="28"/>
          <w:lang w:val="undefined"/>
        </w:rPr>
        <w:t xml:space="preserve"> или УПД</w:t>
      </w:r>
      <w:r>
        <w:rPr>
          <w:rFonts w:ascii="PT Astra Serif" w:hAnsi="PT Astra Serif" w:eastAsia="URW Bookman" w:cs="URW Bookman"/>
          <w:sz w:val="28"/>
          <w:szCs w:val="28"/>
        </w:rPr>
        <w:t xml:space="preserve"> на оплату </w:t>
      </w:r>
      <w:r>
        <w:rPr>
          <w:rFonts w:ascii="PT Astra Serif" w:hAnsi="PT Astra Serif" w:eastAsia="URW Bookman" w:cs="URW Bookman"/>
          <w:sz w:val="28"/>
          <w:szCs w:val="28"/>
          <w:lang w:val="undefined"/>
        </w:rPr>
        <w:t xml:space="preserve">за 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</w:rPr>
        <w:t xml:space="preserve">пользование </w:t>
        <w:br/>
        <w:t xml:space="preserve">и замен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  <w:lang w:val="undefined"/>
        </w:rPr>
        <w:t xml:space="preserve">у</w:t>
      </w:r>
      <w:r>
        <w:rPr>
          <w:rFonts w:ascii="PT Astra Serif" w:hAnsi="PT Astra Serif" w:eastAsia="PT Astra Serif" w:cs="PT Astra Serif"/>
          <w:b w:val="0"/>
          <w:i w:val="0"/>
          <w:strike w:val="0"/>
          <w:color w:val="000000"/>
          <w:sz w:val="28"/>
          <w:szCs w:val="28"/>
          <w:u w:val="none"/>
        </w:rPr>
        <w:t xml:space="preserve"> грязезащитных ворсовых ковровых покрытий </w:t>
      </w:r>
      <w:r>
        <w:rPr>
          <w:rFonts w:ascii="PT Astra Serif" w:hAnsi="PT Astra Serif" w:eastAsia="URW Bookman" w:cs="URW Bookman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:highlight w:val="none"/>
          <w:lang w:val="undefined"/>
        </w:rPr>
      </w:r>
    </w:p>
    <w:p>
      <w:pPr>
        <w:pBdr/>
        <w:spacing w:after="0"/>
        <w:ind w:right="0" w:firstLine="709" w:left="0"/>
        <w:jc w:val="both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URW Bookman" w:cs="URW Bookman"/>
          <w:sz w:val="28"/>
          <w:szCs w:val="28"/>
          <w:lang w:val="undefined"/>
        </w:rPr>
        <w:t xml:space="preserve">Документы </w:t>
      </w:r>
      <w:r>
        <w:rPr>
          <w:rFonts w:ascii="PT Astra Serif" w:hAnsi="PT Astra Serif" w:eastAsia="URW Bookman" w:cs="URW Bookman"/>
          <w:sz w:val="28"/>
          <w:szCs w:val="28"/>
        </w:rPr>
        <w:t xml:space="preserve"> </w:t>
      </w:r>
      <w:r>
        <w:rPr>
          <w:rFonts w:ascii="PT Astra Serif" w:hAnsi="PT Astra Serif" w:eastAsia="URW Bookman" w:cs="URW Bookman"/>
          <w:sz w:val="28"/>
          <w:szCs w:val="28"/>
        </w:rPr>
        <w:t xml:space="preserve">на оплату за декабрь </w:t>
      </w:r>
      <w:r>
        <w:rPr>
          <w:rFonts w:ascii="PT Astra Serif" w:hAnsi="PT Astra Serif" w:eastAsia="URW Bookman" w:cs="URW Bookman"/>
          <w:sz w:val="28"/>
          <w:szCs w:val="28"/>
          <w:lang w:val="undefined"/>
        </w:rPr>
        <w:t xml:space="preserve">Исполнитель передает заказчику </w:t>
      </w:r>
      <w:r>
        <w:rPr>
          <w:rFonts w:ascii="PT Astra Serif" w:hAnsi="PT Astra Serif" w:eastAsia="URW Bookman" w:cs="URW Bookman"/>
          <w:sz w:val="28"/>
          <w:szCs w:val="28"/>
        </w:rPr>
        <w:t xml:space="preserve">не позднее 20.12.2026. </w:t>
      </w:r>
      <w:r>
        <w:rPr>
          <w:rFonts w:ascii="PT Astra Serif" w:hAnsi="PT Astra Serif" w:cs="PT Astra Serif"/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URW Bookman">
    <w:panose1 w:val="00000400000000000000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Table Grid Light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1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2"/>
    <w:basedOn w:val="88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1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2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3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4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5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6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1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2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3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4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5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6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1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2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3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4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5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6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3">
    <w:name w:val="Heading 1"/>
    <w:basedOn w:val="881"/>
    <w:next w:val="881"/>
    <w:link w:val="83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4">
    <w:name w:val="Heading 2"/>
    <w:basedOn w:val="881"/>
    <w:next w:val="881"/>
    <w:link w:val="83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5">
    <w:name w:val="Heading 3"/>
    <w:basedOn w:val="881"/>
    <w:next w:val="881"/>
    <w:link w:val="83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6">
    <w:name w:val="Heading 4"/>
    <w:basedOn w:val="881"/>
    <w:next w:val="881"/>
    <w:link w:val="83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7">
    <w:name w:val="Heading 5"/>
    <w:basedOn w:val="881"/>
    <w:next w:val="881"/>
    <w:link w:val="83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8">
    <w:name w:val="Heading 6"/>
    <w:basedOn w:val="881"/>
    <w:next w:val="881"/>
    <w:link w:val="83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9">
    <w:name w:val="Heading 7"/>
    <w:basedOn w:val="881"/>
    <w:next w:val="881"/>
    <w:link w:val="83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0">
    <w:name w:val="Heading 8"/>
    <w:basedOn w:val="881"/>
    <w:next w:val="881"/>
    <w:link w:val="84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1">
    <w:name w:val="Heading 9"/>
    <w:basedOn w:val="881"/>
    <w:next w:val="881"/>
    <w:link w:val="84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2" w:default="1">
    <w:name w:val="Default Paragraph Font"/>
    <w:uiPriority w:val="1"/>
    <w:semiHidden/>
    <w:unhideWhenUsed/>
    <w:pPr>
      <w:pBdr/>
      <w:spacing/>
      <w:ind/>
    </w:pPr>
  </w:style>
  <w:style w:type="character" w:styleId="833">
    <w:name w:val="Heading 1 Char"/>
    <w:basedOn w:val="832"/>
    <w:link w:val="8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4">
    <w:name w:val="Heading 2 Char"/>
    <w:basedOn w:val="832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5">
    <w:name w:val="Heading 3 Char"/>
    <w:basedOn w:val="832"/>
    <w:link w:val="8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6">
    <w:name w:val="Heading 4 Char"/>
    <w:basedOn w:val="832"/>
    <w:link w:val="82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7">
    <w:name w:val="Heading 5 Char"/>
    <w:basedOn w:val="832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8">
    <w:name w:val="Heading 6 Char"/>
    <w:basedOn w:val="832"/>
    <w:link w:val="82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9">
    <w:name w:val="Heading 7 Char"/>
    <w:basedOn w:val="832"/>
    <w:link w:val="82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0">
    <w:name w:val="Heading 8 Char"/>
    <w:basedOn w:val="832"/>
    <w:link w:val="8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1">
    <w:name w:val="Heading 9 Char"/>
    <w:basedOn w:val="832"/>
    <w:link w:val="83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2">
    <w:name w:val="Title"/>
    <w:basedOn w:val="881"/>
    <w:next w:val="881"/>
    <w:link w:val="84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3">
    <w:name w:val="Title Char"/>
    <w:basedOn w:val="832"/>
    <w:link w:val="84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4">
    <w:name w:val="Subtitle"/>
    <w:basedOn w:val="881"/>
    <w:next w:val="881"/>
    <w:link w:val="84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5">
    <w:name w:val="Subtitle Char"/>
    <w:basedOn w:val="832"/>
    <w:link w:val="84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6">
    <w:name w:val="Quote"/>
    <w:basedOn w:val="881"/>
    <w:next w:val="881"/>
    <w:link w:val="84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7">
    <w:name w:val="Quote Char"/>
    <w:basedOn w:val="832"/>
    <w:link w:val="84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8">
    <w:name w:val="Intense Emphasis"/>
    <w:basedOn w:val="83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9">
    <w:name w:val="Intense Quote"/>
    <w:basedOn w:val="881"/>
    <w:next w:val="881"/>
    <w:link w:val="85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0">
    <w:name w:val="Intense Quote Char"/>
    <w:basedOn w:val="832"/>
    <w:link w:val="84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1">
    <w:name w:val="Intense Reference"/>
    <w:basedOn w:val="83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2">
    <w:name w:val="Subtle Emphasis"/>
    <w:basedOn w:val="83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3">
    <w:name w:val="Emphasis"/>
    <w:basedOn w:val="832"/>
    <w:uiPriority w:val="20"/>
    <w:qFormat/>
    <w:pPr>
      <w:pBdr/>
      <w:spacing/>
      <w:ind/>
    </w:pPr>
    <w:rPr>
      <w:i/>
      <w:iCs/>
    </w:rPr>
  </w:style>
  <w:style w:type="character" w:styleId="854">
    <w:name w:val="Strong"/>
    <w:basedOn w:val="832"/>
    <w:uiPriority w:val="22"/>
    <w:qFormat/>
    <w:pPr>
      <w:pBdr/>
      <w:spacing/>
      <w:ind/>
    </w:pPr>
    <w:rPr>
      <w:b/>
      <w:bCs/>
    </w:rPr>
  </w:style>
  <w:style w:type="character" w:styleId="855">
    <w:name w:val="Subtle Reference"/>
    <w:basedOn w:val="83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6">
    <w:name w:val="Book Title"/>
    <w:basedOn w:val="83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7">
    <w:name w:val="Header"/>
    <w:basedOn w:val="881"/>
    <w:link w:val="85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8">
    <w:name w:val="Header Char"/>
    <w:basedOn w:val="832"/>
    <w:link w:val="857"/>
    <w:uiPriority w:val="99"/>
    <w:pPr>
      <w:pBdr/>
      <w:spacing/>
      <w:ind/>
    </w:pPr>
  </w:style>
  <w:style w:type="paragraph" w:styleId="859">
    <w:name w:val="Footer"/>
    <w:basedOn w:val="881"/>
    <w:link w:val="8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0">
    <w:name w:val="Footer Char"/>
    <w:basedOn w:val="832"/>
    <w:link w:val="859"/>
    <w:uiPriority w:val="99"/>
    <w:pPr>
      <w:pBdr/>
      <w:spacing/>
      <w:ind/>
    </w:pPr>
  </w:style>
  <w:style w:type="paragraph" w:styleId="861">
    <w:name w:val="Caption"/>
    <w:basedOn w:val="881"/>
    <w:next w:val="88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2">
    <w:name w:val="footnote text"/>
    <w:basedOn w:val="881"/>
    <w:link w:val="86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3">
    <w:name w:val="Footnote Text Char"/>
    <w:basedOn w:val="832"/>
    <w:link w:val="862"/>
    <w:uiPriority w:val="99"/>
    <w:semiHidden/>
    <w:pPr>
      <w:pBdr/>
      <w:spacing/>
      <w:ind/>
    </w:pPr>
    <w:rPr>
      <w:sz w:val="20"/>
      <w:szCs w:val="20"/>
    </w:rPr>
  </w:style>
  <w:style w:type="character" w:styleId="864">
    <w:name w:val="footnote reference"/>
    <w:basedOn w:val="832"/>
    <w:uiPriority w:val="99"/>
    <w:semiHidden/>
    <w:unhideWhenUsed/>
    <w:pPr>
      <w:pBdr/>
      <w:spacing/>
      <w:ind/>
    </w:pPr>
    <w:rPr>
      <w:vertAlign w:val="superscript"/>
    </w:rPr>
  </w:style>
  <w:style w:type="paragraph" w:styleId="865">
    <w:name w:val="endnote text"/>
    <w:basedOn w:val="881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Endnote Text Char"/>
    <w:basedOn w:val="832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endnote reference"/>
    <w:basedOn w:val="832"/>
    <w:uiPriority w:val="99"/>
    <w:semiHidden/>
    <w:unhideWhenUsed/>
    <w:pPr>
      <w:pBdr/>
      <w:spacing/>
      <w:ind/>
    </w:pPr>
    <w:rPr>
      <w:vertAlign w:val="superscript"/>
    </w:rPr>
  </w:style>
  <w:style w:type="character" w:styleId="868">
    <w:name w:val="Hyperlink"/>
    <w:basedOn w:val="83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9">
    <w:name w:val="FollowedHyperlink"/>
    <w:basedOn w:val="83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0">
    <w:name w:val="toc 1"/>
    <w:basedOn w:val="881"/>
    <w:next w:val="881"/>
    <w:uiPriority w:val="39"/>
    <w:unhideWhenUsed/>
    <w:pPr>
      <w:pBdr/>
      <w:spacing w:after="100"/>
      <w:ind/>
    </w:pPr>
  </w:style>
  <w:style w:type="paragraph" w:styleId="871">
    <w:name w:val="toc 2"/>
    <w:basedOn w:val="881"/>
    <w:next w:val="881"/>
    <w:uiPriority w:val="39"/>
    <w:unhideWhenUsed/>
    <w:pPr>
      <w:pBdr/>
      <w:spacing w:after="100"/>
      <w:ind w:left="220"/>
    </w:pPr>
  </w:style>
  <w:style w:type="paragraph" w:styleId="872">
    <w:name w:val="toc 3"/>
    <w:basedOn w:val="881"/>
    <w:next w:val="881"/>
    <w:uiPriority w:val="39"/>
    <w:unhideWhenUsed/>
    <w:pPr>
      <w:pBdr/>
      <w:spacing w:after="100"/>
      <w:ind w:left="440"/>
    </w:pPr>
  </w:style>
  <w:style w:type="paragraph" w:styleId="873">
    <w:name w:val="toc 4"/>
    <w:basedOn w:val="881"/>
    <w:next w:val="881"/>
    <w:uiPriority w:val="39"/>
    <w:unhideWhenUsed/>
    <w:pPr>
      <w:pBdr/>
      <w:spacing w:after="100"/>
      <w:ind w:left="660"/>
    </w:pPr>
  </w:style>
  <w:style w:type="paragraph" w:styleId="874">
    <w:name w:val="toc 5"/>
    <w:basedOn w:val="881"/>
    <w:next w:val="881"/>
    <w:uiPriority w:val="39"/>
    <w:unhideWhenUsed/>
    <w:pPr>
      <w:pBdr/>
      <w:spacing w:after="100"/>
      <w:ind w:left="880"/>
    </w:pPr>
  </w:style>
  <w:style w:type="paragraph" w:styleId="875">
    <w:name w:val="toc 6"/>
    <w:basedOn w:val="881"/>
    <w:next w:val="881"/>
    <w:uiPriority w:val="39"/>
    <w:unhideWhenUsed/>
    <w:pPr>
      <w:pBdr/>
      <w:spacing w:after="100"/>
      <w:ind w:left="1100"/>
    </w:pPr>
  </w:style>
  <w:style w:type="paragraph" w:styleId="876">
    <w:name w:val="toc 7"/>
    <w:basedOn w:val="881"/>
    <w:next w:val="881"/>
    <w:uiPriority w:val="39"/>
    <w:unhideWhenUsed/>
    <w:pPr>
      <w:pBdr/>
      <w:spacing w:after="100"/>
      <w:ind w:left="1320"/>
    </w:pPr>
  </w:style>
  <w:style w:type="paragraph" w:styleId="877">
    <w:name w:val="toc 8"/>
    <w:basedOn w:val="881"/>
    <w:next w:val="881"/>
    <w:uiPriority w:val="39"/>
    <w:unhideWhenUsed/>
    <w:pPr>
      <w:pBdr/>
      <w:spacing w:after="100"/>
      <w:ind w:left="1540"/>
    </w:pPr>
  </w:style>
  <w:style w:type="paragraph" w:styleId="878">
    <w:name w:val="toc 9"/>
    <w:basedOn w:val="881"/>
    <w:next w:val="881"/>
    <w:uiPriority w:val="39"/>
    <w:unhideWhenUsed/>
    <w:pPr>
      <w:pBdr/>
      <w:spacing w:after="100"/>
      <w:ind w:left="1760"/>
    </w:pPr>
  </w:style>
  <w:style w:type="paragraph" w:styleId="879">
    <w:name w:val="TOC Heading"/>
    <w:uiPriority w:val="39"/>
    <w:unhideWhenUsed/>
    <w:pPr>
      <w:pBdr/>
      <w:spacing/>
      <w:ind/>
    </w:pPr>
  </w:style>
  <w:style w:type="paragraph" w:styleId="880">
    <w:name w:val="table of figures"/>
    <w:basedOn w:val="881"/>
    <w:next w:val="881"/>
    <w:uiPriority w:val="99"/>
    <w:unhideWhenUsed/>
    <w:pPr>
      <w:pBdr/>
      <w:spacing w:after="0" w:afterAutospacing="0"/>
      <w:ind/>
    </w:pPr>
  </w:style>
  <w:style w:type="paragraph" w:styleId="881" w:default="1">
    <w:name w:val="Normal"/>
    <w:qFormat/>
    <w:pPr>
      <w:pBdr/>
      <w:spacing/>
      <w:ind/>
    </w:pPr>
  </w:style>
  <w:style w:type="table" w:styleId="88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3" w:default="1">
    <w:name w:val="No List"/>
    <w:uiPriority w:val="99"/>
    <w:semiHidden/>
    <w:unhideWhenUsed/>
    <w:pPr>
      <w:pBdr/>
      <w:spacing/>
      <w:ind/>
    </w:pPr>
  </w:style>
  <w:style w:type="paragraph" w:styleId="884">
    <w:name w:val="No Spacing"/>
    <w:basedOn w:val="881"/>
    <w:uiPriority w:val="1"/>
    <w:qFormat/>
    <w:pPr>
      <w:pBdr/>
      <w:spacing w:after="0" w:line="240" w:lineRule="auto"/>
      <w:ind/>
    </w:pPr>
  </w:style>
  <w:style w:type="paragraph" w:styleId="885">
    <w:name w:val="List Paragraph"/>
    <w:basedOn w:val="881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ONLYOFFICE/8.3.1.25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10</cp:revision>
  <dcterms:modified xsi:type="dcterms:W3CDTF">2026-08-13T05:46:54Z</dcterms:modified>
</cp:coreProperties>
</file>