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center"/>
        <w:rPr>
          <w:b/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825" cy="175260"/>
                <wp:effectExtent l="635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pt;width:69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925" cy="175260"/>
                <wp:effectExtent l="635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pt;width:72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8675" cy="175260"/>
                <wp:effectExtent l="635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pt;width:65.2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26"/>
          <w:szCs w:val="26"/>
        </w:rPr>
        <w:t xml:space="preserve">Техническое задание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Наименование объекта закупки: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YS Text;sans-serif" w:hAnsi="YS Text;sans-serif"/>
          <w:b w:val="false"/>
          <w:i w:val="false"/>
          <w:caps w:val="false"/>
          <w:smallCaps w:val="false"/>
          <w:strike w:val="false"/>
          <w:dstrike w:val="false"/>
          <w:color w:val="34343C"/>
          <w:spacing w:val="0"/>
          <w:sz w:val="23"/>
          <w:szCs w:val="24"/>
          <w:u w:val="none"/>
          <w:effect w:val="none"/>
          <w:lang w:val="ru-RU"/>
        </w:rPr>
        <w:t xml:space="preserve">Резиновая гибкая крыльчатка  </w:t>
      </w:r>
      <w:r>
        <w:rPr>
          <w:rFonts w:cs="Times New Roman" w:ascii="YS Text;sans-serif" w:hAnsi="YS Text;sans-serif"/>
          <w:b w:val="false"/>
          <w:i w:val="false"/>
          <w:caps w:val="false"/>
          <w:smallCaps w:val="false"/>
          <w:strike w:val="false"/>
          <w:dstrike w:val="false"/>
          <w:color w:val="34343C"/>
          <w:spacing w:val="0"/>
          <w:sz w:val="23"/>
          <w:szCs w:val="24"/>
          <w:u w:val="none"/>
          <w:effect w:val="none"/>
          <w:lang w:val="en-US"/>
        </w:rPr>
        <w:t xml:space="preserve">JMP </w:t>
      </w:r>
      <w:r>
        <w:rPr>
          <w:rFonts w:cs="Times New Roman" w:ascii="YS Text;sans-serif" w:hAnsi="YS Text;sans-serif"/>
          <w:b w:val="false"/>
          <w:i w:val="false"/>
          <w:caps w:val="false"/>
          <w:smallCaps w:val="false"/>
          <w:strike w:val="false"/>
          <w:dstrike w:val="false"/>
          <w:color w:val="34343C"/>
          <w:spacing w:val="0"/>
          <w:sz w:val="23"/>
          <w:szCs w:val="24"/>
          <w:u w:val="none"/>
          <w:effect w:val="none"/>
          <w:lang w:val="ru-RU"/>
        </w:rPr>
        <w:t>7400-01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left="0" w:right="0" w:firstLine="709"/>
        <w:jc w:val="both"/>
        <w:rPr/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186326, Республика Карелия, м.о Медвежьегорский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пгт. Повенец, склад / стройбаза (район шлюза №3)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не позднее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 2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5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(</w:t>
      </w:r>
      <w:r>
        <w:rPr>
          <w:rFonts w:cs="Times New Roman" w:ascii="Times New Roman" w:hAnsi="Times New Roman"/>
          <w:bCs/>
          <w:sz w:val="24"/>
          <w:szCs w:val="24"/>
        </w:rPr>
        <w:t>двадцать пять</w:t>
      </w:r>
      <w:r>
        <w:rPr>
          <w:rFonts w:cs="Times New Roman" w:ascii="Times New Roman" w:hAnsi="Times New Roman"/>
          <w:bCs/>
          <w:sz w:val="24"/>
          <w:szCs w:val="24"/>
        </w:rPr>
        <w:t xml:space="preserve">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1"/>
        <w:gridCol w:w="8459"/>
        <w:gridCol w:w="1086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Ном.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Наименование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Кол-во 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spacing w:before="0" w:after="160"/>
              <w:ind w:left="0" w:hanging="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4343C"/>
                <w:spacing w:val="0"/>
                <w:sz w:val="23"/>
                <w:u w:val="none"/>
                <w:effect w:val="none"/>
                <w:lang w:val="ru-RU"/>
              </w:rPr>
              <w:t>Для JMP PUMP Морской самовсасывающий морской насос Резиновая гибкая крыльчатка 7400-01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right="0" w:firstLine="709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right="0" w:hanging="0"/>
        <w:contextualSpacing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firstLine="709"/>
        <w:jc w:val="both"/>
        <w:rPr/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spacing w:lineRule="auto" w:line="252" w:before="0" w:after="0"/>
        <w:ind w:left="709" w:right="0" w:hanging="0"/>
        <w:contextualSpacing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YS Text">
    <w:altName w:val="sans-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basedOn w:val="DefaultParagraphFont"/>
    <w:rPr>
      <w:color w:val="0000FF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ypography">
    <w:name w:val="typography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Application>AlterOffice/3.2.9.1$Windows_X86_64 LibreOffice_project/f6fcdc9ef8f5642eaaec34925899f1250a32c141</Application>
  <AppVersion>15.0000</AppVersion>
  <Pages>2</Pages>
  <Words>564</Words>
  <Characters>4008</Characters>
  <CharactersWithSpaces>4548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IvanovaGS</cp:lastModifiedBy>
  <dcterms:modified xsi:type="dcterms:W3CDTF">2026-06-16T08:35:46Z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