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Договор №_________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 202_г.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пп.</w:t>
      </w:r>
      <w:r>
        <w:rPr>
          <w:rFonts w:eastAsia="Times New Roman" w:cs="Times New Roman"/>
          <w:color w:val="auto"/>
          <w:kern w:val="0"/>
          <w:sz w:val="20"/>
          <w:szCs w:val="20"/>
          <w:lang w:val="ru-RU" w:eastAsia="ru-RU" w:bidi="ar-SA"/>
        </w:rPr>
        <w:t>5</w:t>
      </w:r>
      <w:r>
        <w:rPr/>
        <w:t xml:space="preserve">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spacing w:before="0" w:after="60"/>
        <w:jc w:val="center"/>
        <w:rPr>
          <w:b/>
          <w:bCs/>
        </w:rPr>
      </w:pPr>
      <w:r>
        <w:rPr>
          <w:b/>
        </w:rPr>
        <w:t xml:space="preserve">1. Предмет </w:t>
      </w:r>
      <w:r>
        <w:rPr>
          <w:b/>
          <w:bCs/>
        </w:rPr>
        <w:t>Договора</w:t>
      </w:r>
    </w:p>
    <w:p>
      <w:pPr>
        <w:pStyle w:val="Normal"/>
        <w:numPr>
          <w:ilvl w:val="0"/>
          <w:numId w:val="0"/>
        </w:numPr>
        <w:ind w:hanging="0" w:start="0"/>
        <w:jc w:val="both"/>
        <w:outlineLvl w:val="0"/>
        <w:rPr>
          <w:b/>
          <w:bCs/>
        </w:rPr>
      </w:pPr>
      <w:r>
        <w:rPr/>
        <w:t xml:space="preserve">1.1. Поставщик по настоящему </w:t>
      </w:r>
      <w:r>
        <w:rPr>
          <w:bCs/>
        </w:rPr>
        <w:t>Договору</w:t>
      </w:r>
      <w:r>
        <w:rPr/>
        <w:t xml:space="preserve"> обязуется поставить то</w:t>
      </w:r>
      <w:r>
        <w:rPr>
          <w:rFonts w:eastAsia="Times New Roman" w:cs="Times New Roman"/>
          <w:color w:val="auto"/>
          <w:kern w:val="0"/>
          <w:sz w:val="20"/>
          <w:szCs w:val="20"/>
          <w:lang w:val="ru-RU" w:eastAsia="ru-RU" w:bidi="ar-SA"/>
        </w:rPr>
        <w:t>вар: гидрофобный карандаш и передать е</w:t>
      </w:r>
      <w:r>
        <w:rPr/>
        <w:t xml:space="preserve">го Заказчику, а Заказчик по настоящему </w:t>
      </w:r>
      <w:r>
        <w:rPr>
          <w:bCs/>
        </w:rPr>
        <w:t>Договору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Договором </w:t>
      </w:r>
      <w:r>
        <w:rPr/>
        <w:t xml:space="preserve">и спецификацией (Приложение №1 к настоящему </w:t>
      </w:r>
      <w:r>
        <w:rPr>
          <w:bCs/>
        </w:rPr>
        <w:t>Договору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Normal"/>
        <w:jc w:val="both"/>
        <w:rPr>
          <w:color w:val="000000"/>
        </w:rPr>
      </w:pPr>
      <w:r>
        <w:rPr>
          <w:color w:val="000000"/>
        </w:rPr>
      </w:r>
    </w:p>
    <w:p>
      <w:pPr>
        <w:pStyle w:val="BodyTextIndent"/>
        <w:ind w:hanging="0"/>
        <w:jc w:val="center"/>
        <w:rPr>
          <w:b/>
          <w:lang w:val="ru-RU"/>
        </w:rPr>
      </w:pPr>
      <w:r>
        <w:rPr>
          <w:b/>
          <w:lang w:val="ru-RU"/>
        </w:rPr>
        <w:t>2. Цена Договора и порядок расчетов</w:t>
      </w:r>
    </w:p>
    <w:p>
      <w:pPr>
        <w:pStyle w:val="CommentText"/>
        <w:rPr/>
      </w:pPr>
      <w:r>
        <w:rPr/>
        <w:t xml:space="preserve">2.1. Цена Договора составляет </w:t>
      </w:r>
      <w:r>
        <w:rPr>
          <w:b/>
          <w:bCs/>
        </w:rPr>
        <w:t>________</w:t>
      </w:r>
      <w:r>
        <w:rPr/>
        <w:t xml:space="preserve"> рублей (_____________ рублей___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Договора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jc w:val="both"/>
        <w:rPr/>
      </w:pPr>
      <w:r>
        <w:rPr/>
        <w:t xml:space="preserve">2.2. Цена Договора является твердой и определяется на весь срок исполнения Договора.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Договору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Договору осуществляется путем безналичного расчета. Датой оплаты считается дата списания денежных средств со счета Заказчика.</w:t>
      </w:r>
    </w:p>
    <w:p>
      <w:pPr>
        <w:pStyle w:val="BodyTextIndent"/>
        <w:widowControl/>
        <w:tabs>
          <w:tab w:val="clear" w:pos="708"/>
          <w:tab w:val="left" w:pos="540" w:leader="none"/>
        </w:tabs>
        <w:suppressAutoHyphens w:val="true"/>
        <w:bidi w:val="0"/>
        <w:spacing w:before="0" w:after="0"/>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w:t>
      </w:r>
      <w:r>
        <w:rPr>
          <w:rFonts w:cs="Times New Roman"/>
          <w:color w:val="auto"/>
          <w:kern w:val="0"/>
          <w:sz w:val="20"/>
          <w:szCs w:val="20"/>
          <w:lang w:val="ru-RU" w:eastAsia="ru-RU" w:bidi="ar-SA"/>
        </w:rPr>
        <w:t>азанный в Договоре счет Поставщика, несет Поставщик.</w:t>
      </w:r>
      <w:bookmarkEnd w:id="2"/>
    </w:p>
    <w:p>
      <w:pPr>
        <w:pStyle w:val="BodyTextIndent"/>
        <w:widowControl/>
        <w:tabs>
          <w:tab w:val="clear" w:pos="708"/>
          <w:tab w:val="left" w:pos="540" w:leader="none"/>
        </w:tabs>
        <w:suppressAutoHyphens w:val="true"/>
        <w:bidi w:val="0"/>
        <w:spacing w:before="0" w:after="0"/>
        <w:ind w:hanging="0"/>
        <w:rPr>
          <w:rFonts w:ascii="Times New Roman" w:hAnsi="Times New Roman" w:cs="Times New Roman"/>
          <w:color w:val="auto"/>
          <w:kern w:val="0"/>
          <w:sz w:val="20"/>
          <w:szCs w:val="20"/>
          <w:lang w:val="ru-RU" w:eastAsia="ru-RU" w:bidi="ar-SA"/>
        </w:rPr>
      </w:pPr>
      <w:r>
        <w:rPr>
          <w:rFonts w:cs="Times New Roman"/>
          <w:color w:val="auto"/>
          <w:kern w:val="0"/>
          <w:sz w:val="20"/>
          <w:szCs w:val="20"/>
          <w:lang w:val="ru-RU" w:eastAsia="ru-RU" w:bidi="ar-SA"/>
        </w:rPr>
        <w:t>2.5. Источник финансирования:</w:t>
      </w:r>
      <w:bookmarkStart w:id="3" w:name="_Hlk174882174"/>
      <w:r>
        <w:rPr>
          <w:rFonts w:cs="Times New Roman"/>
          <w:color w:val="auto"/>
          <w:kern w:val="0"/>
          <w:sz w:val="20"/>
          <w:szCs w:val="20"/>
          <w:lang w:val="ru-RU" w:eastAsia="ru-RU" w:bidi="ar-SA"/>
        </w:rPr>
        <w:t xml:space="preserve"> </w:t>
      </w:r>
      <w:bookmarkEnd w:id="3"/>
      <w:r>
        <w:rPr>
          <w:rFonts w:cs="Times New Roman"/>
          <w:color w:val="auto"/>
          <w:kern w:val="0"/>
          <w:sz w:val="20"/>
          <w:szCs w:val="20"/>
          <w:lang w:val="ru-RU" w:eastAsia="ru-RU" w:bidi="ar-SA"/>
        </w:rPr>
        <w:t>грант РНФ №24-75-10057.</w:t>
      </w:r>
    </w:p>
    <w:p>
      <w:pPr>
        <w:pStyle w:val="Normal"/>
        <w:jc w:val="both"/>
        <w:rPr>
          <w:rFonts w:eastAsia="Calibri"/>
        </w:rPr>
      </w:pPr>
      <w:r>
        <w:rPr>
          <w:rFonts w:eastAsia="Calibri"/>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Договору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Договора, Спецификации (Приложение № 1 к Договору).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Договора,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Договору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Договора.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Договором.  3.2.4 Требовать уплаты неустойки (штрафа, пени) в соответствии с разделом 8 Договора.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Договору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Договору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Договором срок, надлежаще оформленные документы, предусмотренные Договором.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Договором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Договору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с момента заключения договора до 30.11.2026</w:t>
      </w:r>
      <w:r>
        <w:rPr>
          <w:b/>
          <w:bCs/>
        </w:rPr>
        <w:t>.</w:t>
      </w:r>
      <w:r>
        <w:rPr/>
        <w:t xml:space="preserve">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ind w:hanging="0"/>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Договора.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Договору.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bookmarkEnd w:id="5"/>
      <w:r>
        <w:rPr/>
        <w:t>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w:t>
      </w:r>
    </w:p>
    <w:p>
      <w:pPr>
        <w:pStyle w:val="Normal"/>
        <w:jc w:val="both"/>
        <w:rPr/>
      </w:pPr>
      <w:r>
        <w:rPr/>
        <w:t>6.4. Остаточный срок годности поставляемого товара на дату поставки Заказчику должен составлять не менее 12 месяцев (или не менее 70% от установленного производителем)</w:t>
      </w:r>
    </w:p>
    <w:p>
      <w:pPr>
        <w:pStyle w:val="Normal"/>
        <w:jc w:val="both"/>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rPr>
        <w:t>________</w:t>
      </w:r>
      <w:r>
        <w:rPr/>
        <w:t xml:space="preserve"> руб. и составляет 10% от цены настоящего Договора.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Договора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Договор вступает в силу с момента заключения и действует до 18.12.2026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30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Normal"/>
        <w:shd w:val="clear" w:color="auto" w:fill="FFFFFF"/>
        <w:jc w:val="center"/>
        <w:rPr>
          <w:b/>
        </w:rPr>
      </w:pPr>
      <w:r>
        <w:rPr>
          <w:b/>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center"/>
        <w:rPr>
          <w:b/>
        </w:rPr>
      </w:pPr>
      <w:r>
        <w:rPr>
          <w:b/>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end="-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договор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3"/>
        <w:gridCol w:w="4823"/>
      </w:tblGrid>
      <w:tr>
        <w:trPr>
          <w:trHeight w:val="7632" w:hRule="atLeast"/>
        </w:trPr>
        <w:tc>
          <w:tcPr>
            <w:tcW w:w="5633"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3"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57"/>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Договору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rPr>
      </w:pPr>
      <w:r>
        <w:rPr>
          <w:b/>
          <w:bCs/>
        </w:rPr>
        <w:t>Спецификация</w:t>
      </w:r>
    </w:p>
    <w:tbl>
      <w:tblPr>
        <w:tblW w:w="5000" w:type="pct"/>
        <w:jc w:val="start"/>
        <w:tblInd w:w="-5" w:type="dxa"/>
        <w:tblLayout w:type="fixed"/>
        <w:tblCellMar>
          <w:top w:w="55" w:type="dxa"/>
          <w:start w:w="55" w:type="dxa"/>
          <w:bottom w:w="55" w:type="dxa"/>
          <w:end w:w="55" w:type="dxa"/>
        </w:tblCellMar>
      </w:tblPr>
      <w:tblGrid>
        <w:gridCol w:w="620"/>
        <w:gridCol w:w="6355"/>
        <w:gridCol w:w="1307"/>
        <w:gridCol w:w="1241"/>
        <w:gridCol w:w="1415"/>
        <w:gridCol w:w="1651"/>
        <w:gridCol w:w="1190"/>
        <w:gridCol w:w="1619"/>
      </w:tblGrid>
      <w:tr>
        <w:trPr/>
        <w:tc>
          <w:tcPr>
            <w:tcW w:w="620"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5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55" w:type="dxa"/>
            <w:tcBorders>
              <w:start w:val="single" w:sz="4" w:space="0" w:color="000000"/>
              <w:bottom w:val="single" w:sz="4" w:space="0" w:color="000000"/>
            </w:tcBorders>
          </w:tcPr>
          <w:p>
            <w:pPr>
              <w:pStyle w:val="BodyTextFirstIndent"/>
              <w:ind w:hanging="0" w:start="0" w:end="0"/>
              <w:jc w:val="start"/>
              <w:rPr>
                <w:b/>
                <w:bCs/>
                <w:u w:val="none"/>
              </w:rPr>
            </w:pPr>
            <w:r>
              <w:rPr>
                <w:b/>
                <w:bCs/>
                <w:u w:val="none"/>
              </w:rPr>
              <w:t>Гидрофобный карандаш Elite Mini PAP Pen (или эквивалент)</w:t>
            </w:r>
          </w:p>
          <w:p>
            <w:pPr>
              <w:pStyle w:val="BodyTextFirstIndent"/>
              <w:widowControl/>
              <w:suppressAutoHyphens w:val="true"/>
              <w:bidi w:val="0"/>
              <w:spacing w:before="0" w:after="0"/>
              <w:ind w:hanging="0" w:start="0" w:end="0"/>
              <w:jc w:val="start"/>
              <w:rPr/>
            </w:pPr>
            <w:r>
              <w:rPr>
                <w:rStyle w:val="Strong"/>
                <w:rFonts w:eastAsia="Times New Roman" w:cs="Times New Roman"/>
                <w:b w:val="false"/>
                <w:bCs w:val="false"/>
                <w:color w:val="auto"/>
                <w:kern w:val="0"/>
                <w:sz w:val="20"/>
                <w:szCs w:val="20"/>
                <w:u w:val="single"/>
                <w:lang w:val="ru-RU" w:eastAsia="ru-RU" w:bidi="ar-SA"/>
              </w:rPr>
              <w:t>Тип барьера:</w:t>
            </w:r>
            <w:r>
              <w:rPr>
                <w:rFonts w:eastAsia="Times New Roman" w:cs="Times New Roman"/>
                <w:b w:val="false"/>
                <w:bCs w:val="false"/>
                <w:color w:val="auto"/>
                <w:kern w:val="0"/>
                <w:sz w:val="20"/>
                <w:szCs w:val="20"/>
                <w:u w:val="none"/>
                <w:lang w:val="ru-RU" w:eastAsia="ru-RU" w:bidi="ar-SA"/>
              </w:rPr>
              <w:t xml:space="preserve"> Гидрофобный, водоотталкивающий;</w:t>
            </w:r>
          </w:p>
          <w:p>
            <w:pPr>
              <w:pStyle w:val="BodyTextFirstIndent"/>
              <w:widowControl/>
              <w:suppressAutoHyphens w:val="true"/>
              <w:bidi w:val="0"/>
              <w:spacing w:before="0" w:after="0"/>
              <w:ind w:hanging="0" w:start="0" w:end="0"/>
              <w:jc w:val="start"/>
              <w:rPr/>
            </w:pPr>
            <w:r>
              <w:rPr>
                <w:rFonts w:eastAsia="Times New Roman" w:cs="Times New Roman"/>
                <w:b w:val="false"/>
                <w:bCs w:val="false"/>
                <w:color w:val="auto"/>
                <w:kern w:val="0"/>
                <w:sz w:val="20"/>
                <w:szCs w:val="20"/>
                <w:u w:val="single"/>
                <w:lang w:val="ru-RU" w:eastAsia="ru-RU" w:bidi="ar-SA"/>
              </w:rPr>
              <w:t>Назначение:</w:t>
            </w:r>
            <w:r>
              <w:rPr>
                <w:rFonts w:eastAsia="Times New Roman" w:cs="Times New Roman"/>
                <w:b w:val="false"/>
                <w:bCs w:val="false"/>
                <w:color w:val="auto"/>
                <w:kern w:val="0"/>
                <w:sz w:val="20"/>
                <w:szCs w:val="20"/>
                <w:u w:val="none"/>
                <w:lang w:val="ru-RU" w:eastAsia="ru-RU" w:bidi="ar-SA"/>
              </w:rPr>
              <w:t xml:space="preserve"> </w:t>
            </w:r>
            <w:r>
              <w:rPr/>
              <w:t xml:space="preserve">Создание водоотталкивающего (гидрофобного) барьера на лабораторных предметных стеклах вокруг тканевых срезов или цитологических препаратов; </w:t>
            </w:r>
          </w:p>
          <w:p>
            <w:pPr>
              <w:pStyle w:val="BodyTextFirstIndent"/>
              <w:widowControl/>
              <w:suppressAutoHyphens w:val="true"/>
              <w:bidi w:val="0"/>
              <w:spacing w:before="0" w:after="0"/>
              <w:ind w:hanging="0" w:start="0" w:end="0"/>
              <w:jc w:val="start"/>
              <w:rPr/>
            </w:pPr>
            <w:r>
              <w:rPr>
                <w:rStyle w:val="Strong"/>
                <w:rFonts w:eastAsia="Times New Roman" w:cs="Times New Roman"/>
                <w:b w:val="false"/>
                <w:bCs w:val="false"/>
                <w:color w:val="auto"/>
                <w:kern w:val="0"/>
                <w:sz w:val="20"/>
                <w:szCs w:val="20"/>
                <w:u w:val="single"/>
                <w:lang w:val="ru-RU" w:eastAsia="ru-RU" w:bidi="ar-SA"/>
              </w:rPr>
              <w:t>Диаметр / толщина линии (наконечника):</w:t>
            </w:r>
            <w:r>
              <w:rPr>
                <w:rFonts w:eastAsia="Times New Roman" w:cs="Times New Roman"/>
                <w:b w:val="false"/>
                <w:bCs w:val="false"/>
                <w:color w:val="auto"/>
                <w:kern w:val="0"/>
                <w:sz w:val="20"/>
                <w:szCs w:val="20"/>
                <w:u w:val="none"/>
                <w:lang w:val="ru-RU" w:eastAsia="ru-RU" w:bidi="ar-SA"/>
              </w:rPr>
              <w:t xml:space="preserve"> Уменьшенный (Mini-формат), 2 мм (±0,5 мм), оптимизирован для мультисекционных стекол;</w:t>
            </w:r>
          </w:p>
          <w:p>
            <w:pPr>
              <w:pStyle w:val="BodyTextFirstIndent"/>
              <w:widowControl/>
              <w:suppressAutoHyphens w:val="true"/>
              <w:bidi w:val="0"/>
              <w:spacing w:before="0" w:after="0"/>
              <w:ind w:hanging="0" w:start="0" w:end="0"/>
              <w:jc w:val="start"/>
              <w:rPr/>
            </w:pPr>
            <w:r>
              <w:rPr>
                <w:rStyle w:val="Strong"/>
                <w:rFonts w:eastAsia="Times New Roman" w:cs="Times New Roman"/>
                <w:b w:val="false"/>
                <w:bCs w:val="false"/>
                <w:color w:val="auto"/>
                <w:kern w:val="0"/>
                <w:sz w:val="20"/>
                <w:szCs w:val="20"/>
                <w:u w:val="single"/>
                <w:lang w:val="ru-RU" w:eastAsia="ru-RU" w:bidi="ar-SA"/>
              </w:rPr>
              <w:t>Химическая стойкость:</w:t>
            </w:r>
            <w:r>
              <w:rPr>
                <w:rFonts w:eastAsia="Times New Roman" w:cs="Times New Roman"/>
                <w:b w:val="false"/>
                <w:bCs w:val="false"/>
                <w:color w:val="auto"/>
                <w:kern w:val="0"/>
                <w:sz w:val="20"/>
                <w:szCs w:val="20"/>
                <w:u w:val="single"/>
                <w:lang w:val="ru-RU" w:eastAsia="ru-RU" w:bidi="ar-SA"/>
              </w:rPr>
              <w:t xml:space="preserve"> </w:t>
            </w:r>
            <w:r>
              <w:rPr>
                <w:rFonts w:eastAsia="Times New Roman" w:cs="Times New Roman"/>
                <w:b w:val="false"/>
                <w:bCs w:val="false"/>
                <w:color w:val="auto"/>
                <w:kern w:val="0"/>
                <w:sz w:val="20"/>
                <w:szCs w:val="20"/>
                <w:u w:val="none"/>
                <w:lang w:val="ru-RU" w:eastAsia="ru-RU" w:bidi="ar-SA"/>
              </w:rPr>
              <w:t>Устойчив к стандартным буферным растворам для промывки (включая растворы с детергентами), спиртам на этапах дегидратации/регидратации, нерастворим в ацетоне. Удаляется при необходимости с помощью ксилола</w:t>
            </w:r>
          </w:p>
          <w:p>
            <w:pPr>
              <w:pStyle w:val="BodyTextFirstIndent"/>
              <w:widowControl/>
              <w:suppressAutoHyphens w:val="true"/>
              <w:bidi w:val="0"/>
              <w:spacing w:before="0" w:after="0"/>
              <w:ind w:hanging="0" w:start="0" w:end="0"/>
              <w:jc w:val="start"/>
              <w:rPr/>
            </w:pPr>
            <w:r>
              <w:rPr>
                <w:rStyle w:val="Strong"/>
                <w:rFonts w:eastAsia="Times New Roman" w:cs="Times New Roman"/>
                <w:b w:val="false"/>
                <w:bCs w:val="false"/>
                <w:color w:val="auto"/>
                <w:kern w:val="0"/>
                <w:sz w:val="20"/>
                <w:szCs w:val="20"/>
                <w:u w:val="single"/>
                <w:lang w:val="ru-RU" w:eastAsia="ru-RU" w:bidi="ar-SA"/>
              </w:rPr>
              <w:t>Форма выпуска:</w:t>
            </w:r>
            <w:r>
              <w:rPr>
                <w:rStyle w:val="Strong"/>
                <w:rFonts w:eastAsia="Times New Roman" w:cs="Times New Roman"/>
                <w:b w:val="false"/>
                <w:bCs w:val="false"/>
                <w:color w:val="auto"/>
                <w:kern w:val="0"/>
                <w:sz w:val="20"/>
                <w:szCs w:val="20"/>
                <w:u w:val="none"/>
                <w:lang w:val="ru-RU" w:eastAsia="ru-RU" w:bidi="ar-SA"/>
              </w:rPr>
              <w:t xml:space="preserve"> Маркер/карандаш в индивидуальном пластиковом корпусе с плотно закрывающимся колпачком для предотвращения высыхания.</w:t>
            </w:r>
          </w:p>
          <w:p>
            <w:pPr>
              <w:pStyle w:val="BodyTextFirstIndent"/>
              <w:widowControl/>
              <w:suppressAutoHyphens w:val="true"/>
              <w:bidi w:val="0"/>
              <w:spacing w:before="0" w:after="0"/>
              <w:ind w:hanging="0" w:start="0" w:end="0"/>
              <w:jc w:val="start"/>
              <w:rPr/>
            </w:pPr>
            <w:r>
              <w:rPr>
                <w:rStyle w:val="Strong"/>
                <w:rFonts w:eastAsia="Times New Roman" w:cs="Times New Roman"/>
                <w:b w:val="false"/>
                <w:bCs w:val="false"/>
                <w:color w:val="auto"/>
                <w:kern w:val="0"/>
                <w:sz w:val="20"/>
                <w:szCs w:val="20"/>
                <w:u w:val="single"/>
                <w:lang w:val="ru-RU" w:eastAsia="ru-RU" w:bidi="ar-SA"/>
              </w:rPr>
              <w:t>Растворимость (удаление):</w:t>
            </w:r>
            <w:r>
              <w:rPr>
                <w:rStyle w:val="Strong"/>
                <w:rFonts w:eastAsia="Times New Roman" w:cs="Times New Roman"/>
                <w:b w:val="false"/>
                <w:bCs w:val="false"/>
                <w:color w:val="auto"/>
                <w:kern w:val="0"/>
                <w:sz w:val="20"/>
                <w:szCs w:val="20"/>
                <w:u w:val="none"/>
                <w:lang w:val="ru-RU" w:eastAsia="ru-RU" w:bidi="ar-SA"/>
              </w:rPr>
              <w:t xml:space="preserve"> Полное удаление барьера стандартными органическими растворителями </w:t>
            </w:r>
          </w:p>
          <w:p>
            <w:pPr>
              <w:pStyle w:val="BodyTextFirstIndent"/>
              <w:widowControl/>
              <w:suppressAutoHyphens w:val="true"/>
              <w:bidi w:val="0"/>
              <w:spacing w:before="0" w:after="0"/>
              <w:ind w:hanging="0" w:start="0" w:end="0"/>
              <w:jc w:val="start"/>
              <w:rPr>
                <w:b/>
                <w:bCs/>
              </w:rPr>
            </w:pPr>
            <w:r>
              <w:rPr>
                <w:b/>
                <w:bCs/>
              </w:rPr>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Style23"/>
              <w:jc w:val="end"/>
              <w:rPr/>
            </w:pPr>
            <w:r>
              <w:rPr/>
            </w:r>
          </w:p>
          <w:p>
            <w:pPr>
              <w:pStyle w:val="Style23"/>
              <w:jc w:val="end"/>
              <w:rPr/>
            </w:pPr>
            <w:r>
              <w:rPr/>
              <w:t>ИТОГО</w:t>
            </w:r>
          </w:p>
        </w:tc>
        <w:tc>
          <w:tcPr>
            <w:tcW w:w="1619" w:type="dxa"/>
            <w:tcBorders>
              <w:start w:val="single" w:sz="4" w:space="0" w:color="000000"/>
              <w:bottom w:val="single" w:sz="4" w:space="0" w:color="000000"/>
              <w:end w:val="single" w:sz="4" w:space="0" w:color="000000"/>
            </w:tcBorders>
          </w:tcPr>
          <w:p>
            <w:pPr>
              <w:pStyle w:val="Style23"/>
              <w:rPr/>
            </w:pPr>
            <w:r>
              <w:rPr/>
            </w:r>
          </w:p>
        </w:tc>
      </w:tr>
    </w:tbl>
    <w:p>
      <w:pPr>
        <w:pStyle w:val="Normal"/>
        <w:spacing w:before="0" w:after="60"/>
        <w:rPr>
          <w:b/>
          <w:bCs/>
          <w:sz w:val="24"/>
          <w:szCs w:val="24"/>
        </w:rPr>
      </w:pPr>
      <w:r>
        <w:rPr>
          <w:b/>
          <w:bCs/>
          <w:sz w:val="24"/>
          <w:szCs w:val="24"/>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rPr>
          <w:b/>
          <w:bCs/>
          <w:sz w:val="24"/>
          <w:szCs w:val="24"/>
        </w:rPr>
      </w:pPr>
      <w:r>
        <w:rPr>
          <w:b/>
          <w:bCs/>
          <w:sz w:val="24"/>
          <w:szCs w:val="24"/>
        </w:rPr>
      </w:r>
    </w:p>
    <w:p>
      <w:pPr>
        <w:pStyle w:val="Normal"/>
        <w:spacing w:before="0" w:after="60"/>
        <w:rPr>
          <w:b/>
          <w:bCs/>
          <w:sz w:val="24"/>
          <w:szCs w:val="24"/>
        </w:rPr>
      </w:pPr>
      <w:r>
        <w:rPr>
          <w:b/>
          <w:bCs/>
          <w:sz w:val="24"/>
          <w:szCs w:val="24"/>
        </w:rPr>
        <mc:AlternateContent>
          <mc:Choice Requires="wps">
            <w:drawing>
              <wp:anchor behindDoc="0" distT="0" distB="0" distL="114300" distR="114300" simplePos="0" locked="0" layoutInCell="0" allowOverlap="1" relativeHeight="2">
                <wp:simplePos x="0" y="0"/>
                <wp:positionH relativeFrom="page">
                  <wp:posOffset>426085</wp:posOffset>
                </wp:positionH>
                <wp:positionV relativeFrom="paragraph">
                  <wp:posOffset>603250</wp:posOffset>
                </wp:positionV>
                <wp:extent cx="10692130" cy="145415"/>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45440"/>
                        </a:xfrm>
                        <a:prstGeom prst="rect">
                          <a:avLst/>
                        </a:prstGeom>
                        <a:noFill/>
                        <a:ln w="0">
                          <a:noFill/>
                        </a:ln>
                      </wps:spPr>
                      <wps:style>
                        <a:lnRef idx="0"/>
                        <a:fillRef idx="0"/>
                        <a:effectRef idx="0"/>
                        <a:fontRef idx="minor"/>
                      </wps:style>
                      <wps:txbx>
                        <w:txbxContent>
                          <w:p>
                            <w:pPr>
                              <w:pStyle w:val="BodyText"/>
                              <w:spacing w:lineRule="auto" w:line="276" w:before="0" w:after="140"/>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11.4pt;mso-wrap-style:none;v-text-anchor:middle;mso-position-horizontal-relative:page">
                <v:fill o:detectmouseclick="t" on="false"/>
                <v:stroke color="#3465a4" joinstyle="round" endcap="flat"/>
                <v:textbox>
                  <w:txbxContent>
                    <w:p>
                      <w:pPr>
                        <w:pStyle w:val="BodyText"/>
                        <w:spacing w:lineRule="auto" w:line="276" w:before="0" w:after="140"/>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BodyTextFirstIndent">
    <w:name w:val="Body Text First Indent"/>
    <w:basedOn w:val="Normal"/>
    <w:pPr>
      <w:ind w:firstLine="709" w:start="0" w:end="0"/>
      <w:jc w:val="both"/>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LibreOffice/25.8.3.2$Linux_X86_64 LibreOffice_project/580$Build-2</Application>
  <AppVersion>15.0000</AppVersion>
  <Pages>6</Pages>
  <Words>3071</Words>
  <Characters>22356</Characters>
  <CharactersWithSpaces>26108</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2026-08-24T13:48:38Z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