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hanging="0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spacing w:lineRule="auto" w:line="240" w:before="0" w:after="0"/>
        <w:ind w:hanging="0" w:left="4536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Приложение № 5 </w:t>
      </w:r>
    </w:p>
    <w:p>
      <w:pPr>
        <w:pStyle w:val="Normal"/>
        <w:spacing w:lineRule="auto" w:line="240" w:before="0" w:after="0"/>
        <w:ind w:hanging="0" w:left="4536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к РЕГЛАМЕНТУ, утвержденного </w:t>
      </w:r>
      <w:r>
        <w:rPr>
          <w:rFonts w:cs="PT Serif" w:ascii="Times New Roman" w:hAnsi="Times New Roman"/>
          <w:sz w:val="22"/>
          <w:szCs w:val="22"/>
        </w:rPr>
        <w:t>приказом руководителя — главного эксперта</w:t>
      </w:r>
    </w:p>
    <w:p>
      <w:pPr>
        <w:pStyle w:val="Normal"/>
        <w:spacing w:lineRule="auto" w:line="240" w:before="0" w:after="0"/>
        <w:ind w:hanging="0" w:left="4536"/>
        <w:jc w:val="right"/>
        <w:rPr>
          <w:rFonts w:ascii="Times New Roman" w:hAnsi="Times New Roman"/>
          <w:sz w:val="22"/>
          <w:szCs w:val="22"/>
        </w:rPr>
      </w:pPr>
      <w:r>
        <w:rPr>
          <w:rFonts w:cs="PT Serif" w:ascii="Times New Roman" w:hAnsi="Times New Roman"/>
          <w:sz w:val="22"/>
          <w:szCs w:val="22"/>
        </w:rPr>
        <w:t>по медико-социальной экспертизе</w:t>
      </w:r>
    </w:p>
    <w:p>
      <w:pPr>
        <w:pStyle w:val="Normal"/>
        <w:spacing w:lineRule="auto" w:line="240" w:before="0" w:after="0"/>
        <w:ind w:hanging="0" w:left="4536"/>
        <w:jc w:val="right"/>
        <w:rPr>
          <w:rFonts w:ascii="Times New Roman" w:hAnsi="Times New Roman"/>
          <w:sz w:val="22"/>
          <w:szCs w:val="22"/>
        </w:rPr>
      </w:pPr>
      <w:r>
        <w:rPr>
          <w:rFonts w:eastAsia="Arial Unicode MS" w:cs="Times New Roman" w:ascii="Times New Roman" w:hAnsi="Times New Roman"/>
          <w:color w:val="000000"/>
          <w:sz w:val="22"/>
          <w:szCs w:val="22"/>
          <w:lang w:eastAsia="ru-RU" w:bidi="ru-RU"/>
        </w:rPr>
        <w:t>от 05.06.2024 № 74-хд</w:t>
      </w:r>
    </w:p>
    <w:p>
      <w:pPr>
        <w:pStyle w:val="Normal"/>
        <w:spacing w:lineRule="atLeast" w:line="0" w:before="0" w:after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Техническое задание</w:t>
      </w:r>
    </w:p>
    <w:tbl>
      <w:tblPr>
        <w:tblW w:w="9405" w:type="dxa"/>
        <w:jc w:val="left"/>
        <w:tblInd w:w="9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05"/>
        <w:gridCol w:w="3045"/>
        <w:gridCol w:w="5855"/>
      </w:tblGrid>
      <w:tr>
        <w:trPr>
          <w:trHeight w:val="413" w:hRule="atLeast"/>
        </w:trPr>
        <w:tc>
          <w:tcPr>
            <w:tcW w:w="50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zCs w:val="22"/>
              </w:rPr>
              <w:t>1.</w:t>
            </w:r>
          </w:p>
        </w:tc>
        <w:tc>
          <w:tcPr>
            <w:tcW w:w="304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zCs w:val="22"/>
              </w:rPr>
              <w:t>Наименование и описание объекта закупки,</w:t>
            </w:r>
          </w:p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zCs w:val="22"/>
              </w:rPr>
              <w:t>ОКПД (КТРУ)</w:t>
            </w:r>
          </w:p>
        </w:tc>
        <w:tc>
          <w:tcPr>
            <w:tcW w:w="585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  <w:t xml:space="preserve">  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  <w:t>Техническое обслуживание кондиционера (далее - Услуги) для нужд «Главное бюро медико-социальной экспертизы по Иркутской области» Министерства труда и социальной защиты Российской Федерации, (далее - Заказчик).</w:t>
            </w:r>
          </w:p>
        </w:tc>
      </w:tr>
      <w:tr>
        <w:trPr>
          <w:trHeight w:val="413" w:hRule="atLeast"/>
        </w:trPr>
        <w:tc>
          <w:tcPr>
            <w:tcW w:w="50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zCs w:val="22"/>
              </w:rPr>
              <w:t>2.</w:t>
            </w:r>
          </w:p>
        </w:tc>
        <w:tc>
          <w:tcPr>
            <w:tcW w:w="304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zCs w:val="22"/>
              </w:rPr>
              <w:t>Количество/объем поставляемых товаров (выполняемых работ, оказываемых услуг)</w:t>
            </w:r>
          </w:p>
        </w:tc>
        <w:tc>
          <w:tcPr>
            <w:tcW w:w="585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  <w:t>Настенный кондиционер «Морозко» - 1 шт</w:t>
            </w:r>
          </w:p>
          <w:p>
            <w:pPr>
              <w:pStyle w:val="Normal"/>
              <w:widowControl w:val="false"/>
              <w:snapToGrid w:val="false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snapToGrid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rPr>
          <w:trHeight w:val="888" w:hRule="atLeast"/>
        </w:trPr>
        <w:tc>
          <w:tcPr>
            <w:tcW w:w="50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zCs w:val="22"/>
              </w:rPr>
              <w:t>3.</w:t>
            </w:r>
          </w:p>
        </w:tc>
        <w:tc>
          <w:tcPr>
            <w:tcW w:w="304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zCs w:val="22"/>
              </w:rPr>
              <w:t>Требование к качеству  поставляемых товаров (выполняемых работ, оказываемых услуг)</w:t>
            </w:r>
          </w:p>
        </w:tc>
        <w:tc>
          <w:tcPr>
            <w:tcW w:w="585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Технические мероприятия, результатом которых является обеспечение работоспособности изделия на длительный срок эксплуатации без ухудшения его эксплуатационных характеристик.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 рамках оказания услуги по техническому обслуживанию Исполнитель предоставляет технические консультации по вопросам диагностики и устранения возникших неисправности.</w:t>
            </w:r>
          </w:p>
        </w:tc>
      </w:tr>
      <w:tr>
        <w:trPr>
          <w:trHeight w:val="400" w:hRule="atLeast"/>
        </w:trPr>
        <w:tc>
          <w:tcPr>
            <w:tcW w:w="50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zCs w:val="22"/>
              </w:rPr>
              <w:t>6.</w:t>
            </w:r>
          </w:p>
        </w:tc>
        <w:tc>
          <w:tcPr>
            <w:tcW w:w="304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zCs w:val="22"/>
              </w:rPr>
              <w:t>Требования к объему гарантий качества поставляемых товаров (выполняемых работ, оказываемых услуг)</w:t>
            </w:r>
          </w:p>
        </w:tc>
        <w:tc>
          <w:tcPr>
            <w:tcW w:w="585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113" w:right="11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i w:val="false"/>
                <w:iCs w:val="false"/>
                <w:sz w:val="22"/>
                <w:szCs w:val="22"/>
              </w:rPr>
              <w:t xml:space="preserve">Оказание услуг </w:t>
            </w:r>
            <w:r>
              <w:rPr>
                <w:rFonts w:cs="Times New Roman" w:ascii="Times New Roman" w:hAnsi="Times New Roman"/>
                <w:bCs/>
                <w:i w:val="false"/>
                <w:iCs w:val="false"/>
                <w:sz w:val="22"/>
                <w:szCs w:val="22"/>
              </w:rPr>
              <w:t>осуществляется в условиях действующего Предприятия, при наличии в зоне производства работ действующего оборудования и сотрудников.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113" w:right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i w:val="false"/>
                <w:iCs w:val="false"/>
                <w:sz w:val="22"/>
                <w:szCs w:val="22"/>
              </w:rPr>
              <w:t>Оказание услуг</w:t>
            </w:r>
            <w:r>
              <w:rPr>
                <w:rFonts w:cs="Times New Roman" w:ascii="Times New Roman" w:hAnsi="Times New Roman"/>
                <w:bCs/>
                <w:i w:val="false"/>
                <w:iCs w:val="false"/>
                <w:sz w:val="22"/>
                <w:szCs w:val="22"/>
              </w:rPr>
              <w:t xml:space="preserve"> не должно препятствовать или создавать неудобства в работе ФКУ «ГБ МСЭ» или представлять угрозу для сотрудников Заказчика, при ТО;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113" w:right="57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i w:val="false"/>
                <w:iCs w:val="false"/>
                <w:sz w:val="22"/>
                <w:szCs w:val="22"/>
              </w:rPr>
              <w:t>Услуги</w:t>
            </w:r>
            <w:r>
              <w:rPr>
                <w:rFonts w:cs="Times New Roman" w:ascii="Times New Roman" w:hAnsi="Times New Roman"/>
                <w:bCs/>
                <w:i w:val="false"/>
                <w:iCs w:val="false"/>
                <w:sz w:val="22"/>
                <w:szCs w:val="22"/>
              </w:rPr>
              <w:t xml:space="preserve"> должны </w:t>
            </w:r>
            <w:r>
              <w:rPr>
                <w:rFonts w:cs="Times New Roman" w:ascii="Times New Roman" w:hAnsi="Times New Roman"/>
                <w:bCs/>
                <w:i w:val="false"/>
                <w:iCs w:val="false"/>
                <w:sz w:val="22"/>
                <w:szCs w:val="22"/>
              </w:rPr>
              <w:t>оказываться</w:t>
            </w:r>
            <w:r>
              <w:rPr>
                <w:rFonts w:cs="Times New Roman" w:ascii="Times New Roman" w:hAnsi="Times New Roman"/>
                <w:bCs/>
                <w:i w:val="false"/>
                <w:iCs w:val="false"/>
                <w:sz w:val="22"/>
                <w:szCs w:val="22"/>
              </w:rPr>
              <w:t xml:space="preserve"> с соблюдение требований пожарной безопасности (Постановление Правительства РФ от 16.09.2020 N 1479) при выполнении технического обслуживания и аварийно-технических работ в помещениях Заказчика;</w:t>
            </w:r>
          </w:p>
        </w:tc>
      </w:tr>
      <w:tr>
        <w:trPr>
          <w:trHeight w:val="684" w:hRule="atLeast"/>
        </w:trPr>
        <w:tc>
          <w:tcPr>
            <w:tcW w:w="50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zCs w:val="22"/>
              </w:rPr>
              <w:t>7.</w:t>
            </w:r>
          </w:p>
        </w:tc>
        <w:tc>
          <w:tcPr>
            <w:tcW w:w="304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color w:val="000000"/>
                <w:spacing w:val="-4"/>
                <w:sz w:val="22"/>
                <w:szCs w:val="22"/>
              </w:rPr>
              <w:t xml:space="preserve">Место </w:t>
            </w:r>
            <w:r>
              <w:rPr>
                <w:rFonts w:cs="Times New Roman" w:ascii="Times New Roman" w:hAnsi="Times New Roman"/>
                <w:b/>
                <w:color w:val="000000"/>
                <w:sz w:val="22"/>
                <w:szCs w:val="22"/>
              </w:rPr>
              <w:t>поставки товаров (выполнения работ, оказания услуг)</w:t>
            </w:r>
          </w:p>
        </w:tc>
        <w:tc>
          <w:tcPr>
            <w:tcW w:w="585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Иркутская область, г. Усолье-Сибирское, ул. Талбухина, д. 27, ФКУ «ГБ МСЭ по Иркутской области» Минтруда России</w:t>
            </w:r>
          </w:p>
          <w:p>
            <w:pPr>
              <w:pStyle w:val="Heading4"/>
              <w:widowControl w:val="false"/>
              <w:numPr>
                <w:ilvl w:val="0"/>
                <w:numId w:val="0"/>
              </w:numPr>
              <w:snapToGrid w:val="false"/>
              <w:spacing w:lineRule="auto" w:line="240" w:before="200" w:after="0"/>
              <w:ind w:hanging="0"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iCs w:val="false"/>
                <w:color w:val="auto"/>
                <w:sz w:val="22"/>
                <w:szCs w:val="22"/>
              </w:rPr>
              <w:t>Оказание услуги, осуществляется силами и средствами Исполнителя.</w:t>
            </w:r>
            <w:r>
              <w:rPr>
                <w:rFonts w:ascii="Times New Roman" w:hAnsi="Times New Roman"/>
                <w:b w:val="false"/>
                <w:i w:val="false"/>
                <w:iCs w:val="false"/>
                <w:color w:val="auto"/>
                <w:sz w:val="22"/>
                <w:szCs w:val="22"/>
              </w:rPr>
              <w:t xml:space="preserve"> Осуществляется при предварительном согласовании с ведущим специалистом по АХД отдела по общим вопросам Бринько Константином Ивановичем по телефону (83952) 705-600 (доб. 336), в указанном им помещении (кабинете);</w:t>
            </w:r>
          </w:p>
        </w:tc>
      </w:tr>
      <w:tr>
        <w:trPr>
          <w:trHeight w:val="684" w:hRule="atLeast"/>
        </w:trPr>
        <w:tc>
          <w:tcPr>
            <w:tcW w:w="50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zCs w:val="22"/>
              </w:rPr>
              <w:t>8.</w:t>
            </w:r>
          </w:p>
        </w:tc>
        <w:tc>
          <w:tcPr>
            <w:tcW w:w="304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color w:val="000000"/>
                <w:spacing w:val="-4"/>
                <w:sz w:val="22"/>
                <w:szCs w:val="22"/>
              </w:rPr>
              <w:t xml:space="preserve">Срок/периодичность </w:t>
            </w:r>
            <w:r>
              <w:rPr>
                <w:rFonts w:cs="Times New Roman" w:ascii="Times New Roman" w:hAnsi="Times New Roman"/>
                <w:b/>
                <w:color w:val="000000"/>
                <w:sz w:val="22"/>
                <w:szCs w:val="22"/>
              </w:rPr>
              <w:t>поставки товаров (выполнения работ, оказания услуг)</w:t>
            </w:r>
          </w:p>
        </w:tc>
        <w:tc>
          <w:tcPr>
            <w:tcW w:w="585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Heading4"/>
              <w:widowControl w:val="false"/>
              <w:numPr>
                <w:ilvl w:val="3"/>
                <w:numId w:val="2"/>
              </w:numPr>
              <w:snapToGrid w:val="false"/>
              <w:spacing w:before="20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iCs w:val="false"/>
                <w:color w:val="auto"/>
                <w:sz w:val="22"/>
                <w:szCs w:val="22"/>
              </w:rPr>
              <w:t xml:space="preserve">В течении 15 (пятнадцати) дней, с </w:t>
            </w:r>
            <w:r>
              <w:rPr>
                <w:rFonts w:ascii="Times New Roman" w:hAnsi="Times New Roman"/>
                <w:b w:val="false"/>
                <w:i w:val="false"/>
                <w:iCs w:val="false"/>
                <w:color w:val="auto"/>
                <w:sz w:val="22"/>
                <w:szCs w:val="22"/>
              </w:rPr>
              <w:t>даты</w:t>
            </w:r>
            <w:r>
              <w:rPr>
                <w:rFonts w:ascii="Times New Roman" w:hAnsi="Times New Roman"/>
                <w:b w:val="false"/>
                <w:i w:val="false"/>
                <w:iCs w:val="false"/>
                <w:color w:val="auto"/>
                <w:sz w:val="22"/>
                <w:szCs w:val="22"/>
              </w:rPr>
              <w:t xml:space="preserve"> подписания Государственного контракта сторонами.</w:t>
            </w:r>
          </w:p>
        </w:tc>
      </w:tr>
      <w:tr>
        <w:trPr>
          <w:trHeight w:val="439" w:hRule="atLeast"/>
        </w:trPr>
        <w:tc>
          <w:tcPr>
            <w:tcW w:w="50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zCs w:val="22"/>
              </w:rPr>
              <w:t>9.</w:t>
            </w:r>
          </w:p>
        </w:tc>
        <w:tc>
          <w:tcPr>
            <w:tcW w:w="304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color w:val="000000"/>
                <w:spacing w:val="-4"/>
                <w:sz w:val="22"/>
                <w:szCs w:val="22"/>
              </w:rPr>
              <w:t>Дополнительные требования/особые условия</w:t>
            </w:r>
          </w:p>
        </w:tc>
        <w:tc>
          <w:tcPr>
            <w:tcW w:w="585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2"/>
              </w:numPr>
              <w:spacing w:before="240" w:after="20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Дополнительные требования к производству работ в приложении № 1.           </w:t>
            </w:r>
          </w:p>
        </w:tc>
      </w:tr>
    </w:tbl>
    <w:p>
      <w:pPr>
        <w:pStyle w:val="Normal"/>
        <w:spacing w:before="240" w:after="200"/>
        <w:jc w:val="right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color w:val="000000"/>
          <w:sz w:val="22"/>
          <w:szCs w:val="22"/>
        </w:rPr>
        <w:t>Приложение №1</w:t>
      </w:r>
      <w:r>
        <w:rPr>
          <w:rFonts w:cs="Times New Roman" w:ascii="Times New Roman" w:hAnsi="Times New Roman"/>
          <w:color w:val="000000"/>
          <w:sz w:val="22"/>
          <w:szCs w:val="22"/>
        </w:rPr>
        <w:t xml:space="preserve">                                                        </w:t>
      </w:r>
    </w:p>
    <w:p>
      <w:pPr>
        <w:pStyle w:val="Default"/>
        <w:spacing w:lineRule="auto" w:line="240"/>
        <w:jc w:val="both"/>
        <w:rPr>
          <w:rFonts w:ascii="Times New Roman" w:hAnsi="Times New Roman"/>
          <w:sz w:val="22"/>
          <w:szCs w:val="22"/>
        </w:rPr>
      </w:pPr>
      <w:r>
        <w:rPr>
          <w:b/>
          <w:bCs/>
          <w:sz w:val="22"/>
          <w:szCs w:val="22"/>
        </w:rPr>
        <w:t xml:space="preserve">1. ОБЩИЕ ПОЛОЖЕНИЯ </w:t>
      </w:r>
    </w:p>
    <w:p>
      <w:pPr>
        <w:pStyle w:val="Default"/>
        <w:spacing w:lineRule="auto" w:line="240"/>
        <w:jc w:val="both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  <w:t xml:space="preserve">1.1. Настоящее Техническое задание (далее – «ТЗ») определяет требования на регламентное обслуживание внутренних и внешних блоков кондиционера (далее - Оборудование), в соответствии с п. 4 и п. 5 настоящего ТЗ. </w:t>
      </w:r>
    </w:p>
    <w:p>
      <w:pPr>
        <w:pStyle w:val="Default"/>
        <w:spacing w:lineRule="auto" w:line="240"/>
        <w:jc w:val="both"/>
        <w:rPr/>
      </w:pPr>
      <w:r>
        <w:rPr>
          <w:sz w:val="22"/>
          <w:szCs w:val="22"/>
        </w:rPr>
        <w:t xml:space="preserve">1.2. Срок оказания Услуг: в течении 15 дней </w:t>
      </w:r>
      <w:r>
        <w:rPr>
          <w:rStyle w:val="FontStyle28"/>
          <w:rFonts w:eastAsia="Times New Roman"/>
          <w:sz w:val="22"/>
          <w:szCs w:val="22"/>
        </w:rPr>
        <w:t>с момента заключения контракта</w:t>
      </w:r>
      <w:r>
        <w:rPr>
          <w:sz w:val="22"/>
          <w:szCs w:val="22"/>
        </w:rPr>
        <w:t xml:space="preserve">. </w:t>
      </w:r>
    </w:p>
    <w:p>
      <w:pPr>
        <w:pStyle w:val="Default"/>
        <w:spacing w:lineRule="auto" w:line="240"/>
        <w:jc w:val="both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  <w:t>1.3. Адреса оказания Услуг: Иркутская область, г. Усолье-Сибирское, ул. Талбухина, д 27., помещение Заказчика;</w:t>
      </w:r>
    </w:p>
    <w:p>
      <w:pPr>
        <w:pStyle w:val="Default"/>
        <w:spacing w:lineRule="auto" w:line="240"/>
        <w:jc w:val="both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  <w:t xml:space="preserve">1.4. Оказание Услуг должно осуществляться: в рабочие дни, с 09.00 до 16.00, в согласованное с Заказчиком время. </w:t>
      </w:r>
    </w:p>
    <w:p>
      <w:pPr>
        <w:pStyle w:val="Default"/>
        <w:spacing w:lineRule="auto" w:line="240"/>
        <w:jc w:val="both"/>
        <w:rPr>
          <w:rFonts w:ascii="Times New Roman" w:hAnsi="Times New Roman"/>
          <w:sz w:val="22"/>
          <w:szCs w:val="22"/>
        </w:rPr>
      </w:pPr>
      <w:r>
        <w:rPr>
          <w:b/>
          <w:bCs/>
          <w:sz w:val="22"/>
          <w:szCs w:val="22"/>
        </w:rPr>
        <w:t xml:space="preserve">2. ПРЕДМЕТ ОКАЗАНИЯ УСЛУГ </w:t>
      </w:r>
    </w:p>
    <w:p>
      <w:pPr>
        <w:pStyle w:val="Default"/>
        <w:spacing w:lineRule="auto" w:line="240"/>
        <w:jc w:val="both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  <w:t xml:space="preserve">2.1. Предметом оказания Услуг является: техническое обслуживание кондиционера (далее - Услуги) для нужд «Главное бюро медико-социальной экспертизы по Иркутской области» Министерства труда и социальной защиты Российской Федерации, (далее - Заказчик). </w:t>
      </w:r>
    </w:p>
    <w:p>
      <w:pPr>
        <w:pStyle w:val="Default"/>
        <w:spacing w:lineRule="auto" w:line="240"/>
        <w:jc w:val="both"/>
        <w:rPr>
          <w:rFonts w:ascii="Times New Roman" w:hAnsi="Times New Roman"/>
          <w:sz w:val="22"/>
          <w:szCs w:val="22"/>
        </w:rPr>
      </w:pPr>
      <w:r>
        <w:rPr>
          <w:b/>
          <w:bCs/>
          <w:sz w:val="22"/>
          <w:szCs w:val="22"/>
        </w:rPr>
        <w:t xml:space="preserve">3. ТРЕБОВАНИЯ К ОКАЗАНИЮ УСЛУГ </w:t>
      </w:r>
    </w:p>
    <w:p>
      <w:pPr>
        <w:pStyle w:val="Normal"/>
        <w:widowControl w:val="false"/>
        <w:spacing w:lineRule="auto" w:line="2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3.1 Т</w:t>
      </w:r>
      <w:r>
        <w:rPr>
          <w:rFonts w:ascii="Times New Roman" w:hAnsi="Times New Roman"/>
          <w:sz w:val="22"/>
          <w:szCs w:val="22"/>
        </w:rPr>
        <w:t>ехнические мероприятия, результатом которых является обеспечение работоспособности изделия на длительный срок эксплуатации без ухудшения его эксплуатационных характеристик.</w:t>
      </w:r>
    </w:p>
    <w:p>
      <w:pPr>
        <w:pStyle w:val="Normal"/>
        <w:widowControl w:val="false"/>
        <w:spacing w:lineRule="auto" w:line="2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3.2 В рамках оказания услуги по техническому обслуживанию Исполнитель предоставляет технические консультации по вопросам диагностики и устранения возникших неисправности.</w:t>
      </w:r>
    </w:p>
    <w:p>
      <w:pPr>
        <w:pStyle w:val="Normal"/>
        <w:widowControl w:val="false"/>
        <w:spacing w:lineRule="auto" w:line="2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3.8 Услуги по техническому обслуживанию кондиционеров производятся не менее 1 раза на единицу, в обслуживаемый период.</w:t>
      </w:r>
    </w:p>
    <w:p>
      <w:pPr>
        <w:pStyle w:val="Default"/>
        <w:spacing w:lineRule="auto" w:line="240"/>
        <w:jc w:val="both"/>
        <w:rPr>
          <w:rFonts w:ascii="Times New Roman" w:hAnsi="Times New Roman"/>
          <w:sz w:val="22"/>
          <w:szCs w:val="22"/>
        </w:rPr>
      </w:pPr>
      <w:r>
        <w:rPr>
          <w:b/>
          <w:bCs/>
          <w:sz w:val="22"/>
          <w:szCs w:val="22"/>
        </w:rPr>
        <w:t xml:space="preserve">4. ПЕРЕЧЕНЬ ПРОВОДИМЫХ ТЕХНИЧЕСКИХ МЕРОПРИЯТИЙ </w:t>
      </w:r>
    </w:p>
    <w:p>
      <w:pPr>
        <w:pStyle w:val="Default"/>
        <w:spacing w:lineRule="auto" w:line="240"/>
        <w:jc w:val="both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  <w:t>4.1 Внешний осмотр корпуса и узлов кондиционера на предмет отсутствия механических повреждений.</w:t>
      </w:r>
    </w:p>
    <w:p>
      <w:pPr>
        <w:pStyle w:val="Default"/>
        <w:spacing w:lineRule="auto" w:line="240"/>
        <w:jc w:val="both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  <w:t>4.2 Чистка фильтров внутреннего блока.</w:t>
      </w:r>
    </w:p>
    <w:p>
      <w:pPr>
        <w:pStyle w:val="Default"/>
        <w:spacing w:lineRule="auto" w:line="240"/>
        <w:jc w:val="both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  <w:t>4.3 Промывка теплообменника внутреннего блока.</w:t>
      </w:r>
    </w:p>
    <w:p>
      <w:pPr>
        <w:pStyle w:val="Default"/>
        <w:spacing w:lineRule="auto" w:line="240"/>
        <w:jc w:val="both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  <w:t>4.4 Чистка корпуса и передней панели внутреннего блока моющими составами.</w:t>
      </w:r>
    </w:p>
    <w:p>
      <w:pPr>
        <w:pStyle w:val="Default"/>
        <w:spacing w:lineRule="auto" w:line="240"/>
        <w:jc w:val="both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  <w:t>4.5 Проверка герметичности системы прохождения хладагента на наличие утечек.</w:t>
      </w:r>
    </w:p>
    <w:p>
      <w:pPr>
        <w:pStyle w:val="Default"/>
        <w:spacing w:lineRule="auto" w:line="240"/>
        <w:jc w:val="both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  <w:t>4.6 Промывка дренажного трубопровода и дренажной помпы, а также обработка антибактериальным составом.</w:t>
      </w:r>
    </w:p>
    <w:p>
      <w:pPr>
        <w:pStyle w:val="Default"/>
        <w:spacing w:lineRule="auto" w:line="240"/>
        <w:jc w:val="both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  <w:t>4.7 Продувка дренажного трубопровода компрессором высокого давления.</w:t>
      </w:r>
    </w:p>
    <w:p>
      <w:pPr>
        <w:pStyle w:val="Default"/>
        <w:spacing w:lineRule="auto" w:line="240"/>
        <w:jc w:val="both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  <w:t xml:space="preserve">4.8 Проверка соединений и креплений защитного корпуса наружного блока. </w:t>
      </w:r>
    </w:p>
    <w:p>
      <w:pPr>
        <w:pStyle w:val="Default"/>
        <w:spacing w:lineRule="auto" w:line="240"/>
        <w:jc w:val="both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  <w:t xml:space="preserve">4.9 Проверка качества подключения провода заземления на наружном блоке. </w:t>
      </w:r>
    </w:p>
    <w:p>
      <w:pPr>
        <w:pStyle w:val="Default"/>
        <w:spacing w:lineRule="auto" w:line="240"/>
        <w:jc w:val="both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  <w:t xml:space="preserve">4.10 Проверка качества крепления наружного блока при необходимости производство замены крепежа, виброизоляторов. </w:t>
      </w:r>
    </w:p>
    <w:p>
      <w:pPr>
        <w:pStyle w:val="Default"/>
        <w:spacing w:lineRule="auto" w:line="240"/>
        <w:jc w:val="both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  <w:t xml:space="preserve">4.11 Производство чистки радиатора наружного блока аппаратом сжатого воздуха, а также промывка водой высокого давления.    </w:t>
      </w:r>
    </w:p>
    <w:p>
      <w:pPr>
        <w:pStyle w:val="Default"/>
        <w:spacing w:lineRule="auto" w:line="240"/>
        <w:jc w:val="both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  <w:t>4.12 Измерение рабочего давления хладагента в системе.</w:t>
      </w:r>
    </w:p>
    <w:p>
      <w:pPr>
        <w:pStyle w:val="Default"/>
        <w:spacing w:lineRule="auto" w:line="240"/>
        <w:jc w:val="both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  <w:t>4.13 Дозаправка фреоном (по норме).</w:t>
      </w:r>
    </w:p>
    <w:p>
      <w:pPr>
        <w:pStyle w:val="Default"/>
        <w:spacing w:lineRule="auto" w:line="240"/>
        <w:jc w:val="both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  <w:t>4.14 Замер пускового и рабочего токов.</w:t>
      </w:r>
    </w:p>
    <w:p>
      <w:pPr>
        <w:pStyle w:val="Default"/>
        <w:spacing w:lineRule="auto" w:line="240"/>
        <w:jc w:val="both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  <w:t>4.15 Проверка целостности соединительных кабелей.</w:t>
      </w:r>
    </w:p>
    <w:p>
      <w:pPr>
        <w:pStyle w:val="Default"/>
        <w:spacing w:lineRule="auto" w:line="240"/>
        <w:jc w:val="both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  <w:t>4.16 Проверка работоспособности вентилятора внутренних блоков.</w:t>
      </w:r>
    </w:p>
    <w:p>
      <w:pPr>
        <w:pStyle w:val="Default"/>
        <w:spacing w:lineRule="auto" w:line="240"/>
        <w:jc w:val="both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  <w:t>4.17 Проверка целостности подшипников вентилятора.</w:t>
      </w:r>
    </w:p>
    <w:p>
      <w:pPr>
        <w:pStyle w:val="Default"/>
        <w:spacing w:lineRule="auto" w:line="240"/>
        <w:jc w:val="both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  <w:t>4.18 Замер температуры парообразного хладагента перед компрессором.</w:t>
      </w:r>
    </w:p>
    <w:p>
      <w:pPr>
        <w:pStyle w:val="Default"/>
        <w:spacing w:lineRule="auto" w:line="240"/>
        <w:jc w:val="both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  <w:t>4.19 Замер температуры парообразного хладагента после компрессором.</w:t>
      </w:r>
    </w:p>
    <w:p>
      <w:pPr>
        <w:pStyle w:val="Default"/>
        <w:spacing w:lineRule="auto" w:line="240"/>
        <w:jc w:val="both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  <w:t>4.20 Диагностика и устранение посторонних шумов.</w:t>
      </w:r>
    </w:p>
    <w:p>
      <w:pPr>
        <w:pStyle w:val="Default"/>
        <w:spacing w:lineRule="auto" w:line="240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  <w:t>4.21   Проверка исправности электродвигателей и лопастей вентиляторов наружных блоков.</w:t>
      </w:r>
    </w:p>
    <w:p>
      <w:pPr>
        <w:pStyle w:val="Default"/>
        <w:spacing w:lineRule="auto" w:line="240"/>
        <w:jc w:val="both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  <w:t>4.22 Проверка состояния поверхности воздушного конденсатора. При необходимости промывка и очистка от пыли и пуха.</w:t>
      </w:r>
    </w:p>
    <w:p>
      <w:pPr>
        <w:pStyle w:val="Default"/>
        <w:spacing w:lineRule="auto" w:line="240"/>
        <w:jc w:val="both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  <w:t>4.23 Проверка работы кондиционера во всех режимах.</w:t>
      </w:r>
    </w:p>
    <w:p>
      <w:pPr>
        <w:pStyle w:val="Default"/>
        <w:spacing w:lineRule="auto" w:line="240"/>
        <w:jc w:val="both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  <w:t xml:space="preserve">4.24 Тестирование пульта управления по заводским и установочным параметрам, настройка пульта управления. </w:t>
      </w:r>
    </w:p>
    <w:p>
      <w:pPr>
        <w:pStyle w:val="Default"/>
        <w:spacing w:lineRule="auto" w:line="240"/>
        <w:jc w:val="both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  <w:t>4.25 Мелкий ремонт не требующий запасных частей (замена предохранителей, элементов питания, протяжка контактов, проверка работоспособности отдельных приборов).</w:t>
      </w:r>
    </w:p>
    <w:p>
      <w:pPr>
        <w:pStyle w:val="Default"/>
        <w:spacing w:lineRule="auto" w:line="240"/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Default"/>
        <w:spacing w:lineRule="auto" w:line="240"/>
        <w:jc w:val="both"/>
        <w:rPr>
          <w:rFonts w:ascii="Times New Roman" w:hAnsi="Times New Roman"/>
          <w:sz w:val="22"/>
          <w:szCs w:val="22"/>
        </w:rPr>
      </w:pPr>
      <w:r>
        <w:rPr>
          <w:b/>
          <w:bCs/>
          <w:sz w:val="22"/>
          <w:szCs w:val="22"/>
        </w:rPr>
        <w:t>5. ДРУГИЕ ТРЕБОВАНИЯ</w:t>
      </w:r>
    </w:p>
    <w:p>
      <w:pPr>
        <w:pStyle w:val="Default"/>
        <w:spacing w:lineRule="auto" w:line="240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  <w:t xml:space="preserve">5.1. Для обеспечения должного уровня качества оказания Услуг Исполнитель должен обладать необходимыми профессиональными знаниями и опытом, иметь ресурсные возможности. </w:t>
      </w:r>
    </w:p>
    <w:p>
      <w:pPr>
        <w:pStyle w:val="Default"/>
        <w:spacing w:lineRule="auto" w:line="240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  <w:t xml:space="preserve">5.2. Все сотрудники Исполнителя, участвующие в оказании Услуг должны соблюдать Правила Техники Безопасности (ПТБ), знать схемотехнику Оборудования, обладать допуском иметь соответствующие удостоверения и опыт проведения высотных работ. Должны быть аттестованы по электробезопасности и иметь соответствующие удостоверения. Неблагоприятные условия, срочность оказания Услуг и другие причины не могут служить основанием для нарушения мер и правил безопасности. </w:t>
      </w:r>
    </w:p>
    <w:p>
      <w:pPr>
        <w:pStyle w:val="Default"/>
        <w:spacing w:lineRule="auto" w:line="240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  <w:t xml:space="preserve">5.3. Исполнитель обязан производить уборку помещений от крупного мусора, возникающего в результате оказания Услуг, а также вывезти в двухдневный срок со дня приемки оказанных Услуг, принадлежащие Исполнителю инвентарь, инструменты и материалы. </w:t>
      </w:r>
    </w:p>
    <w:p>
      <w:pPr>
        <w:pStyle w:val="Default"/>
        <w:spacing w:lineRule="auto" w:line="240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  <w:t xml:space="preserve">5.4. Исполнитель организует гарантийную поддержку в течении одного года с даты подписания сторонами Акта приемки оказанных услуг. </w:t>
      </w:r>
    </w:p>
    <w:p>
      <w:pPr>
        <w:pStyle w:val="Default"/>
        <w:spacing w:lineRule="auto" w:line="240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  <w:t>5.5. В случае выхода Оборудования из строя в течение гарантийного срока, Исполнитель обязуется своими силами и за свой счет произвести техническое обслуживание неисправного Оборудования, в срок, не превышающий 5 (пять) календарных дней.</w:t>
      </w:r>
    </w:p>
    <w:p>
      <w:pPr>
        <w:pStyle w:val="Default"/>
        <w:spacing w:lineRule="auto" w:line="240"/>
        <w:rPr>
          <w:rFonts w:ascii="Times New Roman" w:hAnsi="Times New Roman"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bCs/>
          <w:color w:val="000000"/>
          <w:sz w:val="22"/>
          <w:szCs w:val="22"/>
        </w:rPr>
        <w:t>6. ОСОБЫЕ УСЛОВИЯ</w:t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6.1 Выполнение работ осуществляется в условиях действующего Предприятия, при наличии в зоне производства работ действующего оборудования и сотрудников. </w:t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6.2 Выполнение работ не должно препятствовать или создавать неудобства в работе ФКУ «ГБ МСЭ» или представлять угрозу для сотрудников Заказчика, при ТО; </w:t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6.3 Работы должны производится с соблюдение требований пожарной безопасности (Постановление Правительства РФ от 16.09.2020 N 1479) при выполнении технического обслуживания и аварийно-технических работ в помещениях Заказчика;</w:t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6.4 Исполнитель в своей работе берет на себя обязанности по соблюдению правил действующего внутреннего трудового распорядка, пропускного режима, технической защищенности помещений, а также действующих внутренних положений и инструкций ФКУ «ГБ МСЭ»</w:t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6.5 По завершению работ предоставить технический отчет с чек-листами на оборудование ФКУ «ГБ МСЭ» в которых отобразить заключение по системам.</w:t>
      </w:r>
    </w:p>
    <w:p>
      <w:pPr>
        <w:pStyle w:val="Default"/>
        <w:spacing w:lineRule="auto" w:line="240"/>
        <w:rPr>
          <w:rFonts w:ascii="Times New Roman" w:hAnsi="Times New Roman"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       </w:t>
      </w:r>
    </w:p>
    <w:p>
      <w:pPr>
        <w:pStyle w:val="Default"/>
        <w:spacing w:lineRule="auto" w:line="240"/>
        <w:rPr>
          <w:rFonts w:ascii="Times New Roman" w:hAnsi="Times New Roman"/>
          <w:sz w:val="22"/>
          <w:szCs w:val="22"/>
        </w:rPr>
      </w:pPr>
      <w:r>
        <w:rPr>
          <w:b/>
          <w:bCs/>
          <w:sz w:val="22"/>
          <w:szCs w:val="22"/>
        </w:rPr>
        <w:t>7. ПЕРЕЧЕНЬ ОБСЛУЖИВАЕМОГО ОБОРУДОВАНИЯ</w:t>
      </w:r>
    </w:p>
    <w:p>
      <w:pPr>
        <w:pStyle w:val="Default"/>
        <w:spacing w:lineRule="auto" w:line="240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tbl>
      <w:tblPr>
        <w:tblW w:w="10774" w:type="dxa"/>
        <w:jc w:val="left"/>
        <w:tblInd w:w="-9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8"/>
        <w:gridCol w:w="8781"/>
        <w:gridCol w:w="1305"/>
      </w:tblGrid>
      <w:tr>
        <w:trPr>
          <w:trHeight w:val="245" w:hRule="atLeast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tabs>
                <w:tab w:val="clear" w:pos="708"/>
              </w:tabs>
              <w:spacing w:lineRule="auto" w:line="24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8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tabs>
                <w:tab w:val="clear" w:pos="708"/>
              </w:tabs>
              <w:spacing w:lineRule="auto" w:line="24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tabs>
                <w:tab w:val="clear" w:pos="708"/>
              </w:tabs>
              <w:spacing w:lineRule="auto" w:line="24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Кол-во</w:t>
            </w:r>
          </w:p>
        </w:tc>
      </w:tr>
      <w:tr>
        <w:trPr>
          <w:trHeight w:val="245" w:hRule="atLeast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tabs>
                <w:tab w:val="clear" w:pos="708"/>
              </w:tabs>
              <w:spacing w:lineRule="auto" w:line="24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tabs>
                <w:tab w:val="clear" w:pos="708"/>
              </w:tabs>
              <w:spacing w:lineRule="auto" w:line="24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Настенный кондиционер</w:t>
            </w:r>
            <w:r>
              <w:rPr>
                <w:sz w:val="22"/>
                <w:szCs w:val="22"/>
                <w:lang w:val="en-US"/>
              </w:rPr>
              <w:t xml:space="preserve"> “Морозко”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tabs>
                <w:tab w:val="clear" w:pos="708"/>
              </w:tabs>
              <w:spacing w:lineRule="auto" w:line="24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>
      <w:pPr>
        <w:pStyle w:val="Normal"/>
        <w:spacing w:before="240" w:after="200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*Заправку фреоном выполнить согласно рекомендациям производителя (R-410 </w:t>
      </w:r>
      <w:r>
        <w:rPr>
          <w:rFonts w:ascii="Times New Roman" w:hAnsi="Times New Roman"/>
          <w:sz w:val="22"/>
          <w:szCs w:val="22"/>
          <w:lang w:val="en-US"/>
        </w:rPr>
        <w:t>A</w:t>
      </w:r>
      <w:r>
        <w:rPr>
          <w:rFonts w:ascii="Times New Roman" w:hAnsi="Times New Roman"/>
          <w:sz w:val="22"/>
          <w:szCs w:val="22"/>
        </w:rPr>
        <w:t xml:space="preserve">) </w:t>
      </w:r>
      <w:r>
        <w:rPr>
          <w:rFonts w:cs="Times New Roman" w:ascii="Times New Roman" w:hAnsi="Times New Roman"/>
          <w:color w:val="000000"/>
          <w:sz w:val="22"/>
          <w:szCs w:val="22"/>
        </w:rPr>
        <w:t xml:space="preserve">                                                                                                            </w:t>
      </w:r>
    </w:p>
    <w:p>
      <w:pPr>
        <w:pStyle w:val="Normal"/>
        <w:spacing w:before="240" w:after="200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cs="Times New Roman" w:ascii="Times New Roman" w:hAnsi="Times New Roman"/>
          <w:color w:val="000000"/>
          <w:sz w:val="22"/>
          <w:szCs w:val="22"/>
        </w:rPr>
      </w:r>
    </w:p>
    <w:p>
      <w:pPr>
        <w:pStyle w:val="Normal"/>
        <w:spacing w:before="240" w:after="200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cs="Times New Roman" w:ascii="Times New Roman" w:hAnsi="Times New Roman"/>
          <w:color w:val="000000"/>
          <w:sz w:val="22"/>
          <w:szCs w:val="22"/>
        </w:rPr>
      </w:r>
    </w:p>
    <w:p>
      <w:pPr>
        <w:pStyle w:val="Normal"/>
        <w:spacing w:before="240" w:after="200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cs="Times New Roman" w:ascii="Times New Roman" w:hAnsi="Times New Roman"/>
          <w:color w:val="000000"/>
          <w:sz w:val="22"/>
          <w:szCs w:val="22"/>
        </w:rPr>
      </w:r>
    </w:p>
    <w:p>
      <w:pPr>
        <w:pStyle w:val="Normal"/>
        <w:spacing w:before="240" w:after="200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cs="Times New Roman" w:ascii="Times New Roman" w:hAnsi="Times New Roman"/>
          <w:color w:val="000000"/>
          <w:sz w:val="22"/>
          <w:szCs w:val="22"/>
        </w:rPr>
      </w:r>
    </w:p>
    <w:p>
      <w:pPr>
        <w:pStyle w:val="Normal"/>
        <w:spacing w:before="240" w:after="200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cs="Times New Roman" w:ascii="Times New Roman" w:hAnsi="Times New Roman"/>
          <w:color w:val="000000"/>
          <w:sz w:val="22"/>
          <w:szCs w:val="22"/>
        </w:rPr>
      </w:r>
    </w:p>
    <w:p>
      <w:pPr>
        <w:pStyle w:val="Normal"/>
        <w:spacing w:before="240" w:after="200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cs="Times New Roman" w:ascii="Times New Roman" w:hAnsi="Times New Roman"/>
          <w:color w:val="000000"/>
          <w:sz w:val="22"/>
          <w:szCs w:val="22"/>
        </w:rPr>
      </w:r>
    </w:p>
    <w:p>
      <w:pPr>
        <w:pStyle w:val="Normal"/>
        <w:widowControl w:val="false"/>
        <w:spacing w:lineRule="atLeast" w:line="0" w:before="0" w:after="0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sectPr>
      <w:type w:val="nextPage"/>
      <w:pgSz w:w="11906" w:h="16838"/>
      <w:pgMar w:left="1701" w:right="567" w:gutter="0" w:header="0" w:top="365" w:footer="0" w:bottom="540"/>
      <w:pgNumType w:fmt="decimal"/>
      <w:formProt w:val="false"/>
      <w:textDirection w:val="lrTb"/>
      <w:docGrid w:type="default" w:linePitch="36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Calibri Light">
    <w:charset w:val="01"/>
    <w:family w:val="roman"/>
    <w:pitch w:val="default"/>
  </w:font>
  <w:font w:name="Cambria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36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b7b80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qFormat/>
    <w:rsid w:val="0047548f"/>
    <w:pPr>
      <w:keepNext w:val="true"/>
      <w:spacing w:lineRule="auto" w:line="240" w:before="240" w:after="60"/>
      <w:outlineLvl w:val="0"/>
    </w:pPr>
    <w:rPr>
      <w:rFonts w:ascii="Calibri Light" w:hAnsi="Calibri Light" w:eastAsia="Times New Roman" w:cs="Times New Roman"/>
      <w:b/>
      <w:bCs/>
      <w:kern w:val="2"/>
      <w:sz w:val="32"/>
      <w:szCs w:val="32"/>
      <w:lang w:eastAsia="ru-RU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ind w:firstLine="851" w:left="-851" w:right="0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jc w:val="center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pPr>
      <w:keepNext w:val="true"/>
      <w:keepLines/>
      <w:numPr>
        <w:ilvl w:val="3"/>
        <w:numId w:val="2"/>
      </w:numPr>
      <w:spacing w:before="200" w:after="0"/>
      <w:outlineLvl w:val="3"/>
    </w:pPr>
    <w:rPr>
      <w:rFonts w:ascii="Cambria" w:hAnsi="Cambria" w:eastAsia="Times New Roman" w:cs="Times New Roman"/>
      <w:b/>
      <w:bCs/>
      <w:i/>
      <w:iCs/>
      <w:color w:val="4F81BD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" w:customStyle="1">
    <w:name w:val="Основной текст (2)_"/>
    <w:basedOn w:val="DefaultParagraphFont"/>
    <w:link w:val="21"/>
    <w:qFormat/>
    <w:rsid w:val="0024381c"/>
    <w:rPr>
      <w:rFonts w:ascii="Times New Roman" w:hAnsi="Times New Roman" w:eastAsia="Times New Roman" w:cs="Times New Roman"/>
      <w:sz w:val="28"/>
      <w:szCs w:val="28"/>
      <w:shd w:fill="FFFFFF" w:val="clear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6f4f4c"/>
    <w:rPr>
      <w:sz w:val="16"/>
      <w:szCs w:val="16"/>
    </w:rPr>
  </w:style>
  <w:style w:type="character" w:styleId="Style10" w:customStyle="1">
    <w:name w:val="Текст примечания Знак"/>
    <w:basedOn w:val="DefaultParagraphFont"/>
    <w:uiPriority w:val="99"/>
    <w:semiHidden/>
    <w:qFormat/>
    <w:rsid w:val="006f4f4c"/>
    <w:rPr>
      <w:sz w:val="20"/>
      <w:szCs w:val="20"/>
    </w:rPr>
  </w:style>
  <w:style w:type="character" w:styleId="Style11" w:customStyle="1">
    <w:name w:val="Тема примечания Знак"/>
    <w:basedOn w:val="Style10"/>
    <w:link w:val="annotationsubject"/>
    <w:uiPriority w:val="99"/>
    <w:semiHidden/>
    <w:qFormat/>
    <w:rsid w:val="006f4f4c"/>
    <w:rPr>
      <w:b/>
      <w:bCs/>
      <w:sz w:val="20"/>
      <w:szCs w:val="20"/>
    </w:rPr>
  </w:style>
  <w:style w:type="character" w:styleId="Style12" w:customStyle="1">
    <w:name w:val="Текст выноски Знак"/>
    <w:basedOn w:val="DefaultParagraphFont"/>
    <w:link w:val="BalloonText"/>
    <w:uiPriority w:val="99"/>
    <w:semiHidden/>
    <w:qFormat/>
    <w:rsid w:val="006f4f4c"/>
    <w:rPr>
      <w:rFonts w:ascii="Tahoma" w:hAnsi="Tahoma" w:cs="Tahoma"/>
      <w:sz w:val="16"/>
      <w:szCs w:val="16"/>
    </w:rPr>
  </w:style>
  <w:style w:type="character" w:styleId="1" w:customStyle="1">
    <w:name w:val="Заголовок 1 Знак"/>
    <w:basedOn w:val="DefaultParagraphFont"/>
    <w:qFormat/>
    <w:rsid w:val="0047548f"/>
    <w:rPr>
      <w:rFonts w:ascii="Calibri Light" w:hAnsi="Calibri Light" w:eastAsia="Times New Roman" w:cs="Times New Roman"/>
      <w:b/>
      <w:bCs/>
      <w:kern w:val="2"/>
      <w:sz w:val="32"/>
      <w:szCs w:val="32"/>
      <w:lang w:eastAsia="ru-RU"/>
    </w:rPr>
  </w:style>
  <w:style w:type="character" w:styleId="Hyperlink">
    <w:name w:val="Hyperlink"/>
    <w:rPr>
      <w:color w:val="000080"/>
      <w:u w:val="single"/>
    </w:rPr>
  </w:style>
  <w:style w:type="character" w:styleId="FontStyle28">
    <w:name w:val="Font Style28"/>
    <w:qFormat/>
    <w:rPr>
      <w:rFonts w:ascii="Times New Roman" w:hAnsi="Times New Roman" w:cs="Times New Roman"/>
      <w:color w:val="000000"/>
      <w:sz w:val="26"/>
      <w:szCs w:val="26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40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" w:customStyle="1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21" w:customStyle="1">
    <w:name w:val="Основной текст (2)"/>
    <w:basedOn w:val="Normal"/>
    <w:link w:val="2"/>
    <w:qFormat/>
    <w:rsid w:val="0024381c"/>
    <w:pPr>
      <w:widowControl w:val="false"/>
      <w:shd w:val="clear" w:color="auto" w:fill="FFFFFF"/>
      <w:spacing w:lineRule="exact" w:line="322" w:before="420" w:after="0"/>
      <w:ind w:hanging="700"/>
      <w:jc w:val="both"/>
    </w:pPr>
    <w:rPr>
      <w:rFonts w:ascii="Times New Roman" w:hAnsi="Times New Roman" w:eastAsia="Times New Roman" w:cs="Times New Roman"/>
      <w:sz w:val="28"/>
      <w:szCs w:val="28"/>
    </w:rPr>
  </w:style>
  <w:style w:type="paragraph" w:styleId="ListParagraph">
    <w:name w:val="List Paragraph"/>
    <w:basedOn w:val="Normal"/>
    <w:uiPriority w:val="34"/>
    <w:qFormat/>
    <w:rsid w:val="007b13f1"/>
    <w:pPr>
      <w:spacing w:before="0" w:after="200"/>
      <w:ind w:hanging="0" w:left="720"/>
      <w:contextualSpacing/>
    </w:pPr>
    <w:rPr/>
  </w:style>
  <w:style w:type="paragraph" w:styleId="CommentText">
    <w:name w:val="annotation text"/>
    <w:basedOn w:val="Normal"/>
    <w:link w:val="Style10"/>
    <w:uiPriority w:val="99"/>
    <w:semiHidden/>
    <w:unhideWhenUsed/>
    <w:qFormat/>
    <w:rsid w:val="006f4f4c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Style11"/>
    <w:uiPriority w:val="99"/>
    <w:semiHidden/>
    <w:unhideWhenUsed/>
    <w:qFormat/>
    <w:rsid w:val="006f4f4c"/>
    <w:pPr/>
    <w:rPr>
      <w:b/>
      <w:bCs/>
    </w:rPr>
  </w:style>
  <w:style w:type="paragraph" w:styleId="BalloonText">
    <w:name w:val="Balloon Text"/>
    <w:basedOn w:val="Normal"/>
    <w:link w:val="Style12"/>
    <w:uiPriority w:val="99"/>
    <w:semiHidden/>
    <w:unhideWhenUsed/>
    <w:qFormat/>
    <w:rsid w:val="006f4f4c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user2" w:customStyle="1">
    <w:name w:val="Содержимое врезки (user)"/>
    <w:basedOn w:val="Normal"/>
    <w:qFormat/>
    <w:pPr/>
    <w:rPr/>
  </w:style>
  <w:style w:type="paragraph" w:styleId="user3" w:customStyle="1">
    <w:name w:val="Содержимое таблицы (user)"/>
    <w:basedOn w:val="Normal"/>
    <w:qFormat/>
    <w:pPr>
      <w:widowControl w:val="false"/>
      <w:suppressLineNumbers/>
    </w:pPr>
    <w:rPr/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en-US" w:bidi="ar-SA"/>
    </w:rPr>
  </w:style>
  <w:style w:type="paragraph" w:styleId="BodyTextIndent">
    <w:name w:val="Body Text Indent"/>
    <w:basedOn w:val="Normal"/>
    <w:pPr>
      <w:spacing w:lineRule="auto" w:line="240" w:before="0" w:after="120"/>
      <w:ind w:hanging="0" w:left="283"/>
    </w:pPr>
    <w:rPr>
      <w:rFonts w:ascii="Times New Roman" w:hAnsi="Times New Roman" w:eastAsia="Times New Roman" w:cs="Times New Roman"/>
      <w:sz w:val="24"/>
      <w:szCs w:val="24"/>
    </w:rPr>
  </w:style>
  <w:style w:type="paragraph" w:styleId="NoSpacing">
    <w:name w:val="No Spacing"/>
    <w:qFormat/>
    <w:rsid w:val="00fa1a45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zh-CN" w:bidi="ar-SA"/>
    </w:rPr>
  </w:style>
  <w:style w:type="paragraph" w:styleId="ConsPlusTitle" w:customStyle="1">
    <w:name w:val="ConsPlusTitle"/>
    <w:qFormat/>
    <w:rsid w:val="00f64d47"/>
    <w:pPr>
      <w:widowControl w:val="false"/>
      <w:suppressAutoHyphens w:val="fals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22">
    <w:name w:val="Основной текст 2"/>
    <w:basedOn w:val="Normal"/>
    <w:qFormat/>
    <w:pPr/>
    <w:rPr>
      <w:sz w:val="28"/>
    </w:rPr>
  </w:style>
  <w:style w:type="paragraph" w:styleId="Default">
    <w:name w:val="Default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numbering" w:styleId="Style15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39"/>
    <w:rsid w:val="007325e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Заголовок 1 Знак1"/>
    <w:basedOn w:val="a1"/>
    <w:uiPriority w:val="39"/>
    <w:rsid w:val="000017f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3D5BE9-5C53-4901-AF59-58109900D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3435</TotalTime>
  <Application>LibreOffice/25.2.6.2$Linux_X86_64 LibreOffice_project/520$Build-2</Application>
  <AppVersion>15.0000</AppVersion>
  <Pages>3</Pages>
  <Words>965</Words>
  <Characters>6944</Characters>
  <CharactersWithSpaces>8150</CharactersWithSpaces>
  <Paragraphs>90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Михайлова Оксана Борисовна</dc:creator>
  <dc:description/>
  <dc:language>ru-RU</dc:language>
  <cp:lastModifiedBy/>
  <dcterms:modified xsi:type="dcterms:W3CDTF">2026-07-23T10:24:11Z</dcterms:modified>
  <cp:revision>62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