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269" w:type="dxa"/>
        <w:tblInd w:w="-525" w:type="dxa"/>
        <w:tblLayout w:type="autofit"/>
        <w:tblCellMar>
          <w:left w:w="105" w:type="dxa"/>
          <w:top w:w="0" w:type="dxa"/>
          <w:right w:w="105" w:type="dxa"/>
          <w:bottom w:w="0" w:type="dxa"/>
        </w:tblCellMar>
        <w:tblLook w:val="04A0" w:firstRow="1" w:lastRow="0" w:firstColumn="1" w:lastColumn="0" w:noHBand="0" w:noVBand="1"/>
      </w:tblPr>
      <w:tblGrid>
        <w:gridCol w:w="2430"/>
        <w:gridCol w:w="2880"/>
        <w:gridCol w:w="1679"/>
        <w:gridCol w:w="393"/>
        <w:gridCol w:w="574"/>
        <w:gridCol w:w="2313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ГОСУДАРСТВЕННЫЙ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№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______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ИКЗ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26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1 5503085391 550301001 0007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 000 0000 000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5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3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Большеречье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5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74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3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___________________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738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ind w:firstLine="7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по Омской области (Управление Росреестра по Омской области)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от имени Российской Федерации, именуемое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лице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врио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руководителя Управления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 Сергея Эдуардовича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действующего на основании приказа от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10.20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233-к, с одной стороны, </w:t>
              <w:br/>
              <w:t xml:space="preserve">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___________________________________________________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именуемое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«Исполнитель»,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  <w:br/>
              <w:t xml:space="preserve">в лице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г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лавного врача ______________________, действующего на основании Устава,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 другой стороны, совместно именуемые «Стороны»,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пункта 4 части 1 статьи 93 Федерального закона от 05.04.2013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заключили настоящий Государственн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 контракт (далее – Контракт)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нижеследующем: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tabs>
                <w:tab w:val="left" w:pos="327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1. ПРЕДМЕТ КОНТРАКТА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1.1. Исполнитель обязуется оказать услуги по проведению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предрейсовых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мед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цинских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осмотров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водителей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(далее – осмотр)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(далее - Услуги) в соответствии с Приложение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 настоящему Контракту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а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принять и оплатить данные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1.2. Срок оказания Услуг – с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06.20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 по 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оказываются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в рабочее время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по месту нахождения Исполнителя, расположенного по адресу: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646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670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 Омская область,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Большереченский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район,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Большеречье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ул.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Пролетарская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д.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83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извещает Заказчика в письменном виде о режиме работы Исполнителя.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667"/>
              <w:jc w:val="both"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слуги оказываются на основании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лицензии от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</w:tr>
      <w:tr>
        <w:tblPrEx/>
        <w:trPr>
          <w:trHeight w:val="4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2. ОБЯЗАННОСТИ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2.1.1. Оказать Услуги,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предусмотренные настоящим Контрактом надлежащ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качеств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сроки и объемы, установленные Контрактом.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2.1.2. Предоставлять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 требованию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информацию о ходе исполнения своих обязательств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Известить Заказчика в течение 3 (Трех)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календарных дней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приостановлении, прекращении действия либо аннулировани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лицензии на осуществление медицинской деятельности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2.1.4. Соблюдать конфиденциальность в отношении информации, ставшей ему известной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отношен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ии работников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при оказании Услуг, в соответствии 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ст. 7 Федерального закона от 27.07.2006 № 152-ФЗ «О персональных данных».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2.1.5. Обладать всем необходимым оборудованием, техникой, помещениями и инструментами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для оказания Услуг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2.1.6. Не допуст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ить водителей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к управлению автомобил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следующих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временной нетрудоспособности;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положительной пробе на алкоголь, другие психотропные вещества и наркотики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выдыхаемом воздухе или биологических субстратах;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наркотических веществ;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лекарственных или иных веществ, отрицательно влияющих на работоспособность водителя.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Ежемесячно предоставлять документы на оплату за оказанные Услуги, а также реестр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количестве осмотров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2.2.1. Своевременно принять и оплатить оказанные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2.2.2. Предоставить Исполнителю список водителей, подлежащих осмотрам.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2.2.3. Обеспечи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ть присутствие водителей на осмотрах. Водители, подлежащие осмотрам, при себе должны иметь путевой лист, в котором по окончании осмотра ставится отметка о допуске к рейсу (штамп установленного образца) и подпись медицинского работника, проводившего осмотр.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. ЦЕНА КОНТРАКТА И ПОРЯДОК ОПЛАТЫ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Цена Контракта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составляет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sz w:val="22"/>
                <w:szCs w:val="22"/>
                <w:highlight w:val="none"/>
              </w:rPr>
              <w:t xml:space="preserve">1 600,00 </w:t>
            </w:r>
            <w:r>
              <w:rPr>
                <w:rFonts w:ascii="Tinos" w:hAnsi="Tinos" w:eastAsia="Tinos" w:cs="Tinos"/>
                <w:b/>
                <w:sz w:val="22"/>
                <w:szCs w:val="22"/>
                <w:highlight w:val="white"/>
              </w:rPr>
              <w:t xml:space="preserve">ру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б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(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Одна тысяча шестьсот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рубл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00 копеек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),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Оплата производится за счет средств федерального бюджета. Ассигнования 2026 года 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1 440,00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рублей (Одна тысяча четыреста сорок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Ассигнования 2027 года 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160,00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ублей (Сто шестьдесят рублей </w:t>
              <w:br/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Цена Контракта включает в себя стоимость Услуг, расходы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связанные с исполнением 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сполнителем обязательств по Контракту, страхование, уплату таможенных пошлин, налогов, сборов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других обязательных платежей.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Контракта является твердой и определяется на весь срок исполнения Контракта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 исключением случаев, установленных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8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Ежемесячно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до 10 (Десятого) числа месяца, следующего за отчетным,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выставляет и направляет Заказчику Акт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сдачи-приемки выполненных работ (услуг) (далее – Акт)</w:t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2 (Двух) экземплярах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для подписания с приложением счета-фактуры (счета),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реестр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 предрейсовых медицинских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осмотров водителей за истекший месяц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3.4.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Оплата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слуг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осуществляется в безналичной форме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течение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Десяти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рабочих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дней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даты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подписания Заказчиком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предоставленных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счета-фактуры (счета), 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приложением реестра осмотра водителей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заверенного печатью и подписью главного врача (главного бухгалтера или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сполнителя),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путем перечисления денежных средств на расчетный счет Исполнителя по факту оказания Услуг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Датой оплаты считается момент списания денежных средств с лицевого счета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аказчика.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 уменьшает сумму, подлежащую уплате Исполнителю, на размер налогов, сборов </w:t>
              <w:br w:type="textWrapping" w:clear="all"/>
              <w:t xml:space="preserve">и иных обязательных платежей в бюджеты бюджетной системы 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ссийской Федерации, связанных </w:t>
              <w:br/>
              <w:t xml:space="preserve">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4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1008"/>
              <w:numPr>
                <w:ilvl w:val="0"/>
                <w:numId w:val="29"/>
              </w:numPr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ПОРЯДОК СДАЧИ И ПРИЕМКИ УСЛУГ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 Приемка оказанных Услуг осуществляется на соответствие их объему, качеству 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и требованиям Контракта.</w:t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</w:p>
          <w:p>
            <w:pPr>
              <w:pStyle w:val="1008"/>
              <w:numPr>
                <w:ilvl w:val="0"/>
                <w:numId w:val="0"/>
              </w:numPr>
              <w:ind w:firstLine="7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.2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 З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аказчик в течение 3 (Трех) рабочих дней с момента получения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подписывает его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при условии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что содержание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соответствует фактически оказанным Услугам и условиям настоящего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считаются оказанными с момента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торонами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Акт 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расчетно-платежные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документы направляются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посредством Электронного документооборота (СБИС, ООО «Компания «Тензор»)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ОТВЕТСТВЕННОСТЬ СТОРОН</w:t>
            </w:r>
            <w:r>
              <w:rPr>
                <w:rStyle w:val="951"/>
                <w:rFonts w:ascii="Tinos" w:hAnsi="Tinos" w:eastAsia="Tinos" w:cs="Tinos"/>
                <w:sz w:val="22"/>
                <w:szCs w:val="22"/>
              </w:rPr>
              <w:footnoteReference w:id="2"/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5.2. В случае просро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чки исполнения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аказчиком обязательств, предусмотренных Контрактом,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на дату уплаты 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ключевой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ставки Центрального банка Российской Федерации от не уплаченной в срок суммы.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5.3. В случае просрочки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обязательств,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предусмотренных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  <w:br w:type="textWrapping" w:clear="all"/>
              <w:t xml:space="preserve">а также в иных случаях неисполнения или ненадлежащего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предусмотренных Контрактом,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дату уплаты пени ключевой ставки Центрального банка Российской Федерации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5.4. Неустойка по Контракту выплачивается на основании обоснованного письменного требования Стороны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и не может превышать цену Контракта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5.5. Уплата неустойки не освобождает Стороны от исполнения своих обязательств по Контракту.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5.6.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 освобождается от уплаты неустойки (пени), если докаж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т, что неисполнение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6. ГАРАНТИЯ КАЧЕСТВА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tabs>
                <w:tab w:val="left" w:pos="75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6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Исполнитель гарантирует, что качество оказываемых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 соответствует требованиям стандартов, а также иным требованиям, предъявляемы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 к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слугам такого рода на территории Российской Федерации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 Гарантийный срок устанавливается на весь срок оказания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ФОРС-МАЖОР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освобождаются от ответственности за частичное или полное неисполнение обязательств по настоящему Контракту, если неис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.2. Сторона, которая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не в состоянии выполнить свои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обязательства по настоящему Контракту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силу вышеуказанных обстоятельств, незамедлительно письменно информирует другую Сторону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данных обстоятельств и прекращении выполнения указанных обязательств,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в любом случае не позднее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 (Т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рех) рабочих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дней после начала их действия. Несвоевременное уведомление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обстоятельств непреодолимой силы лишает соответствующую Сторону права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освобождение от ответственности за частичное или полное неисполнение обязательств по настоящему Контракту по причине указанных обстоятельств. Факт наступления и прекращения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действия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обстоятельств непреодолимой силы документально подтверждается компетентными государственными органами.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Если указанные обстоя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тельства продолжаются более 1 (О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дного) месяца, то каждая Сторона имеет право на досрочное расторжение настоящего Контракта. В этом случае Стороны производят взаиморасчеты.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ИЗМЕНЕНИЕ И РАСТОРЖЕНИЕ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При исполнении Контракта изменение его условий не допускается, за исключением случаев, предусмотренных 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begin"/>
            </w:r>
            <w:r>
              <w:rPr>
                <w:rFonts w:ascii="Tinos" w:hAnsi="Tinos" w:eastAsia="Tinos" w:cs="Tinos"/>
                <w:sz w:val="22"/>
                <w:szCs w:val="22"/>
              </w:rPr>
              <w:instrText xml:space="preserve">HYPERLINK consultantplus://offline/ref=9A6BDA9D95FCB93A483E6C1737BA5BF0EE7BF4AE0E0FE8A326E248A79A5E988C9BC6B4F5D1FD614FU0P0F </w:instrTex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separate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статьей 95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end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Федерального закона от 05.04.2013 № 44-ФЗ «О контрактной системе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сфере закупок товаров, работ, услуг для обеспечения государственных и муниципальных нужд».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может быть расторгнут по соглашению Сторон, а также Стороны вправе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одностороннем порядке по письменному заявлению отказаться от его исполнения по основаниям, предусмотренным Контрактом и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вправе отказаться от исполнения Контракта в одностороннем внесудебном порядке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.3.1. Оказани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Услуг ненадлежащего качества с недостатками, которые не могут быть устранены в приемлемый для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срок.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.3.2. Неоднократного нарушения Исполнителем сроков оказания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.3.3. В иных случаях, предусмотренных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.4. Исполнитель вправе отказаться от Контракта в одностороннем порядке в случа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еобоснованн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ого уклонения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от принятия и оплаты оказанных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ПОРЯДОК РАССМОТРЕНИЯ СПОРОВ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Споры и разногласия Сторон, возникающие в связи с исполнением настоящего Контракта, рассматриваются Сторонами путем переговоров.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Неурегулированные путем переговоров споры и разногласия разрешаются в Арбитражном суде Омской области в соответствии с действующим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ПРОЧИЕ УСЛОВИЯ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Все изменения и дополнения к настоящему Контракту оформляются дополнительными соглашениями, подписываемыми Сторонами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которые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являются неотъемлемой частью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вступает в силу с момента его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обеими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Сторонами и действует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  <w:t xml:space="preserve">по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7, а в части финансовых обязательств – до полного их исполнения.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Стороны распространяют положения настоящего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а на правоотношения, которые возникли между ними с 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01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06.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6, в связи с чем расчеты по данному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у производятся с этой даты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Настоящий Контракт составлен в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 (Д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вух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экземплярах, имеющих одинаковую юридическую силу, по одному для каждой из Сторон.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54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Приложени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Порядок расчета цены.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Перечень оказываемых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540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ЮРИДИЧЕСКИЕ АДРЕСА, ПЛАТЕЖНЫЕ РЕКВИЗИТЫ И ПОДПИСИ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Омской области 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557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5503085391 КПП 550301001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ОГРН 1045504038524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ОКПО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76322092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Платежные реквизиты: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р/с 03211643000000015108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ОКЦ № 1 СибГУ Банка России//УФК </w:t>
              <w:br/>
              <w:t xml:space="preserve">по Новосибирской области, г. Новосибирск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к/с 40102810445370000043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БИК 015004950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Телефон/факс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8 (3812) 56-3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-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Адрес эл.почты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55_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@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Главн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ый врач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</w:tbl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eastAsia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</w:t>
      </w:r>
      <w:r>
        <w:rPr>
          <w:rFonts w:ascii="Tinos" w:hAnsi="Tinos" w:eastAsia="Tinos" w:cs="Tinos"/>
          <w:sz w:val="22"/>
          <w:szCs w:val="22"/>
        </w:rPr>
        <w:t xml:space="preserve">      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right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</w:rPr>
        <w:t xml:space="preserve">Пр</w:t>
      </w:r>
      <w:r>
        <w:rPr>
          <w:rFonts w:ascii="Tinos" w:hAnsi="Tinos" w:eastAsia="Tinos" w:cs="Tinos"/>
          <w:sz w:val="22"/>
          <w:szCs w:val="22"/>
        </w:rPr>
        <w:t xml:space="preserve">иложение</w:t>
      </w:r>
      <w:r>
        <w:rPr>
          <w:rFonts w:ascii="Tinos" w:hAnsi="Tinos" w:eastAsia="Tinos" w:cs="Tinos"/>
          <w:sz w:val="22"/>
          <w:szCs w:val="22"/>
          <w:lang w:val="en-US"/>
        </w:rPr>
        <w:t xml:space="preserve">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right"/>
        <w:tabs>
          <w:tab w:val="left" w:pos="648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к Государственному контракту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center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    </w:t>
      </w:r>
      <w:r>
        <w:rPr>
          <w:rFonts w:ascii="Tinos" w:hAnsi="Tinos" w:eastAsia="Tinos" w:cs="Tinos"/>
          <w:sz w:val="22"/>
          <w:szCs w:val="22"/>
        </w:rPr>
        <w:t xml:space="preserve">              </w:t>
      </w:r>
      <w:r>
        <w:rPr>
          <w:rFonts w:ascii="Tinos" w:hAnsi="Tinos" w:eastAsia="Tinos" w:cs="Tinos"/>
          <w:sz w:val="22"/>
          <w:szCs w:val="22"/>
        </w:rPr>
        <w:t xml:space="preserve">          </w:t>
      </w:r>
      <w:r>
        <w:rPr>
          <w:rFonts w:ascii="Tinos" w:hAnsi="Tinos" w:eastAsia="Tinos" w:cs="Tinos"/>
          <w:sz w:val="22"/>
          <w:szCs w:val="22"/>
        </w:rPr>
        <w:t xml:space="preserve">                  </w:t>
      </w:r>
      <w:r>
        <w:rPr>
          <w:rFonts w:ascii="Tinos" w:hAnsi="Tinos" w:eastAsia="Tinos" w:cs="Tinos"/>
          <w:sz w:val="22"/>
          <w:szCs w:val="22"/>
        </w:rPr>
        <w:t xml:space="preserve">   </w:t>
      </w:r>
      <w:r>
        <w:rPr>
          <w:rFonts w:ascii="Tinos" w:hAnsi="Tinos" w:eastAsia="Tinos" w:cs="Tinos"/>
          <w:sz w:val="22"/>
          <w:szCs w:val="22"/>
        </w:rPr>
        <w:t xml:space="preserve">от </w:t>
      </w:r>
      <w:r>
        <w:rPr>
          <w:rFonts w:ascii="Tinos" w:hAnsi="Tinos" w:eastAsia="Tinos" w:cs="Tinos"/>
          <w:sz w:val="22"/>
          <w:szCs w:val="22"/>
        </w:rPr>
        <w:t xml:space="preserve">______________</w:t>
      </w:r>
      <w:r>
        <w:rPr>
          <w:rFonts w:ascii="Tinos" w:hAnsi="Tinos" w:eastAsia="Tinos" w:cs="Tinos"/>
          <w:sz w:val="22"/>
          <w:szCs w:val="22"/>
        </w:rPr>
        <w:t xml:space="preserve"> № </w:t>
      </w:r>
      <w:r>
        <w:rPr>
          <w:rFonts w:ascii="Tinos" w:hAnsi="Tinos" w:eastAsia="Tinos" w:cs="Tinos"/>
          <w:sz w:val="22"/>
          <w:szCs w:val="22"/>
        </w:rPr>
        <w:t xml:space="preserve">_____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Порядок расчета цены. </w:t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43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white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Расчет цены Контракта произведен на основании </w:t>
      </w:r>
      <w:r>
        <w:rPr>
          <w:rFonts w:ascii="Tinos" w:hAnsi="Tinos" w:eastAsia="Tinos" w:cs="Tinos"/>
          <w:bCs/>
          <w:sz w:val="22"/>
          <w:szCs w:val="22"/>
        </w:rPr>
        <w:t xml:space="preserve">информации о величине платы</w:t>
      </w:r>
      <w:r>
        <w:rPr>
          <w:rFonts w:ascii="Tinos" w:hAnsi="Tinos" w:eastAsia="Tinos" w:cs="Tinos"/>
          <w:bCs/>
          <w:sz w:val="22"/>
          <w:szCs w:val="22"/>
        </w:rPr>
        <w:t xml:space="preserve"> за оказание услуг (работ) </w:t>
      </w:r>
      <w:r>
        <w:rPr>
          <w:rFonts w:ascii="Tinos" w:hAnsi="Tinos" w:eastAsia="Tinos" w:cs="Tinos"/>
          <w:bCs/>
          <w:sz w:val="22"/>
          <w:szCs w:val="22"/>
        </w:rPr>
        <w:t xml:space="preserve">БУЗОО «</w:t>
      </w:r>
      <w:r>
        <w:rPr>
          <w:rFonts w:ascii="Tinos" w:hAnsi="Tinos" w:eastAsia="Tinos" w:cs="Tinos"/>
          <w:bCs/>
          <w:sz w:val="22"/>
          <w:szCs w:val="22"/>
        </w:rPr>
        <w:t xml:space="preserve">Большереченская</w:t>
      </w:r>
      <w:r>
        <w:rPr>
          <w:rFonts w:ascii="Tinos" w:hAnsi="Tinos" w:eastAsia="Tinos" w:cs="Tinos"/>
          <w:sz w:val="22"/>
          <w:szCs w:val="22"/>
        </w:rPr>
        <w:t xml:space="preserve"> ЦРБ</w:t>
      </w:r>
      <w:r>
        <w:rPr>
          <w:rFonts w:ascii="Tinos" w:hAnsi="Tinos" w:eastAsia="Tinos" w:cs="Tinos"/>
          <w:bCs/>
          <w:sz w:val="22"/>
          <w:szCs w:val="22"/>
        </w:rPr>
        <w:t xml:space="preserve">»</w:t>
      </w:r>
      <w:r>
        <w:rPr>
          <w:rFonts w:ascii="Tinos" w:hAnsi="Tinos" w:eastAsia="Tinos" w:cs="Tinos"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от </w:t>
      </w:r>
      <w:r>
        <w:rPr>
          <w:rFonts w:ascii="Tinos" w:hAnsi="Tinos" w:eastAsia="Tinos" w:cs="Tinos"/>
          <w:bCs/>
          <w:sz w:val="22"/>
          <w:szCs w:val="22"/>
          <w:highlight w:val="none"/>
        </w:rPr>
        <w:t xml:space="preserve">01</w:t>
      </w:r>
      <w:r>
        <w:rPr>
          <w:rFonts w:ascii="Tinos" w:hAnsi="Tinos" w:eastAsia="Tinos" w:cs="Tinos"/>
          <w:bCs/>
          <w:sz w:val="22"/>
          <w:szCs w:val="22"/>
          <w:highlight w:val="white"/>
        </w:rPr>
        <w:t xml:space="preserve">.0</w:t>
      </w:r>
      <w:r>
        <w:rPr>
          <w:rFonts w:ascii="Tinos" w:hAnsi="Tinos" w:eastAsia="Tinos" w:cs="Tinos"/>
          <w:bCs/>
          <w:sz w:val="22"/>
          <w:szCs w:val="22"/>
          <w:highlight w:val="white"/>
        </w:rPr>
        <w:t xml:space="preserve">6</w:t>
      </w:r>
      <w:r>
        <w:rPr>
          <w:rFonts w:ascii="Tinos" w:hAnsi="Tinos" w:eastAsia="Tinos" w:cs="Tinos"/>
          <w:bCs/>
          <w:sz w:val="22"/>
          <w:szCs w:val="22"/>
          <w:highlight w:val="white"/>
        </w:rPr>
        <w:t xml:space="preserve">.202</w:t>
      </w:r>
      <w:r>
        <w:rPr>
          <w:rFonts w:ascii="Tinos" w:hAnsi="Tinos" w:eastAsia="Tinos" w:cs="Tinos"/>
          <w:bCs/>
          <w:sz w:val="22"/>
          <w:szCs w:val="22"/>
          <w:highlight w:val="white"/>
        </w:rPr>
        <w:t xml:space="preserve">5.</w:t>
      </w:r>
      <w:r>
        <w:rPr>
          <w:rFonts w:ascii="Tinos" w:hAnsi="Tinos" w:cs="Tinos"/>
          <w:sz w:val="22"/>
          <w:szCs w:val="22"/>
          <w:highlight w:val="white"/>
        </w:rPr>
      </w:r>
      <w:r>
        <w:rPr>
          <w:rFonts w:ascii="Tinos" w:hAnsi="Tinos" w:cs="Tinos"/>
          <w:sz w:val="22"/>
          <w:szCs w:val="22"/>
          <w:highlight w:val="white"/>
        </w:rPr>
      </w:r>
    </w:p>
    <w:p>
      <w:pPr>
        <w:pStyle w:val="943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yellow"/>
        </w:rPr>
      </w:pPr>
      <w:r>
        <w:rPr>
          <w:rFonts w:ascii="Tinos" w:hAnsi="Tinos" w:cs="Tinos"/>
          <w:bCs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yellow"/>
        </w:rPr>
      </w:r>
      <w:r>
        <w:rPr>
          <w:rFonts w:ascii="Tinos" w:hAnsi="Tinos" w:cs="Tinos"/>
          <w:sz w:val="22"/>
          <w:szCs w:val="22"/>
          <w:highlight w:val="yellow"/>
        </w:rPr>
      </w:r>
    </w:p>
    <w:tbl>
      <w:tblPr>
        <w:tblW w:w="95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"/>
        <w:gridCol w:w="2813"/>
        <w:gridCol w:w="1980"/>
        <w:gridCol w:w="2340"/>
        <w:gridCol w:w="1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center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Месяц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Количество выездов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Стоимость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предрейсового медицинского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осмотр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одного водителя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(НДС </w:t>
              <w:br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Сумма (НДС </w:t>
            </w:r>
            <w:r>
              <w:rPr>
                <w:rFonts w:ascii="Tinos" w:hAnsi="Tinos" w:eastAsia="Tinos" w:cs="Tinos"/>
                <w:sz w:val="22"/>
                <w:szCs w:val="22"/>
              </w:rPr>
              <w:br/>
              <w:t xml:space="preserve">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Июнь 2026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  <w:lang w:val="en-US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4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80,00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/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320,00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Июль 2026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80,00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/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160,00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Август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320,00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Сентябрь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320,00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160,00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160,00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Декабрь 2026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80,00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160,00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gridSpan w:val="2"/>
            <w:tcW w:w="334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  <w:highlight w:val="yellow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highlight w:val="none"/>
              </w:rPr>
              <w:t xml:space="preserve">20</w:t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-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  <w:highlight w:val="yellow"/>
              </w:rPr>
            </w:pPr>
            <w:r>
              <w:rPr>
                <w:rFonts w:ascii="Tinos" w:hAnsi="Tinos" w:cs="Tinos"/>
                <w:b/>
                <w:sz w:val="22"/>
                <w:szCs w:val="22"/>
                <w:highlight w:val="none"/>
              </w:rPr>
              <w:t xml:space="preserve">1 600,00</w:t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</w:p>
        </w:tc>
      </w:tr>
    </w:tbl>
    <w:p>
      <w:pPr>
        <w:ind w:firstLine="708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ind w:firstLine="708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ind w:firstLine="708"/>
        <w:jc w:val="center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Перечень оказываемых услуг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ind w:firstLine="708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1.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О</w:t>
      </w:r>
      <w:r>
        <w:rPr>
          <w:rFonts w:ascii="Tinos" w:hAnsi="Tinos" w:eastAsia="Tinos" w:cs="Tinos"/>
          <w:sz w:val="22"/>
          <w:szCs w:val="22"/>
        </w:rPr>
        <w:t xml:space="preserve">смотр </w:t>
      </w:r>
      <w:r>
        <w:rPr>
          <w:rFonts w:ascii="Tinos" w:hAnsi="Tinos" w:eastAsia="Tinos" w:cs="Tinos"/>
          <w:sz w:val="22"/>
          <w:szCs w:val="22"/>
        </w:rPr>
        <w:t xml:space="preserve">включает проведение следующих мероприятий: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- </w:t>
      </w:r>
      <w:r>
        <w:rPr>
          <w:rFonts w:ascii="Tinos" w:hAnsi="Tinos" w:eastAsia="Tinos" w:cs="Tinos"/>
          <w:sz w:val="22"/>
          <w:szCs w:val="22"/>
        </w:rPr>
        <w:t xml:space="preserve">сбор анамнеза;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артериального давления и пульса водителей;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наличия алкоголя и других психотропных веществ в выдыхаемом воздухе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наличии показаний проведение любых других разрешенных медицинских исследований, необходимых для решения вопроса о допуске водителей к рейсу;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2. При решении вопроса о возможности допуска водителя к управлению автомобилем медицинский работник, проводящий осмотр, учитывает принадлежность водителя к одной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из групп риска, возраст, стаж работы в профессии, условия работы и характер производственных факторов.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3. Водители не допускаются к управлению автомобилем в следующих случаях: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временной нетрудоспособности;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положительной пробе на алкоголь, другие психотропные вещества и наркотики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в выдыхаемом воздухе 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наркотических веществ;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лекарственных или иных веществ, отрицательно влияющих на работоспособность водителя.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4. При допуске к рейсу на путевых листах </w:t>
      </w:r>
      <w:r>
        <w:rPr>
          <w:rFonts w:ascii="Tinos" w:hAnsi="Tinos" w:eastAsia="Tinos" w:cs="Tinos"/>
          <w:sz w:val="22"/>
          <w:szCs w:val="22"/>
        </w:rPr>
        <w:t xml:space="preserve">по окончанию осмотра ставится отметка о допуске к рейсу (штамп установленного образца) и подпись медицинского работника, проводившего осмотр.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5. По результатам осмотра ведется полицевой учет отстраненных от работы водителей, для чего используются бланки карт амбулаторного больного (форма 25). В карту заносятся результаты </w:t>
      </w:r>
      <w:r>
        <w:rPr>
          <w:rFonts w:ascii="Tinos" w:hAnsi="Tinos" w:eastAsia="Tinos" w:cs="Tinos"/>
          <w:sz w:val="22"/>
          <w:szCs w:val="22"/>
        </w:rPr>
        <w:t xml:space="preserve">осмотра </w:t>
      </w:r>
      <w:r>
        <w:rPr>
          <w:rFonts w:ascii="Tinos" w:hAnsi="Tinos" w:eastAsia="Tinos" w:cs="Tinos"/>
          <w:sz w:val="22"/>
          <w:szCs w:val="22"/>
        </w:rPr>
        <w:t xml:space="preserve">(анамнез, объективные данные осмотра, причина отстранения).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32"/>
        <w:spacing w:after="0"/>
        <w:rPr>
          <w:rFonts w:ascii="Tinos" w:hAnsi="Tinos" w:cs="Tinos"/>
          <w:bCs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</w:p>
    <w:tbl>
      <w:tblPr>
        <w:tblW w:w="948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40"/>
        <w:gridCol w:w="5040"/>
      </w:tblGrid>
      <w:tr>
        <w:tblPrEx/>
        <w:trPr>
          <w:trHeight w:val="50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  <w:br w:type="textWrapping" w:clear="all"/>
              <w:t xml:space="preserve">и картографии по Омской области 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123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i/>
                <w:i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Главн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 врач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pStyle w:val="947"/>
        <w:ind w:right="-1" w:firstLine="0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7"/>
        <w:ind w:right="-1" w:firstLine="0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567" w:bottom="992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Times New Roman CYR">
    <w:panose1 w:val="02000603000000000000"/>
  </w:font>
  <w:font w:name="Cambria">
    <w:panose1 w:val="02040503050406030204"/>
  </w:font>
  <w:font w:name="Courier New">
    <w:panose1 w:val="02070409020205020404"/>
  </w:font>
  <w:font w:name="DejaVu Sans">
    <w:panose1 w:val="020B0603030804020204"/>
  </w:font>
  <w:font w:name="Wingdings">
    <w:panose1 w:val="05010000000000000000"/>
  </w:font>
  <w:font w:name="Franklin Gothic Book">
    <w:panose1 w:val="020B0503020203020204"/>
  </w:font>
  <w:font w:name="Lucida Sans Unicode">
    <w:panose1 w:val="020B0502040504020204"/>
  </w:font>
  <w:font w:name="Verdana">
    <w:panose1 w:val="020B0604030504040204"/>
  </w:font>
  <w:font w:name="TimesDL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Gelvetsky 12pt">
    <w:panose1 w:val="02000603000000000000"/>
  </w:font>
  <w:font w:name="Batang">
    <w:panose1 w:val="02000506000000020000"/>
  </w:font>
  <w:font w:name="Tahoma">
    <w:panose1 w:val="020B0604030504040204"/>
  </w:font>
  <w:font w:name="MS Mincho">
    <w:panose1 w:val="0202050305040509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16"/>
        <w:ind w:firstLine="540"/>
        <w:jc w:val="both"/>
      </w:pPr>
      <w:r>
        <w:rPr>
          <w:rStyle w:val="951"/>
        </w:rPr>
        <w:footnoteRef/>
      </w:r>
      <w:r>
        <w:t xml:space="preserve"> </w:t>
      </w:r>
      <w:r>
        <w:rPr>
          <w:sz w:val="18"/>
          <w:szCs w:val="18"/>
        </w:rPr>
        <w:t xml:space="preserve">Штрафные санкции рассчитываются на основании п</w:t>
      </w:r>
      <w:r>
        <w:rPr>
          <w:sz w:val="18"/>
          <w:szCs w:val="18"/>
        </w:rPr>
        <w:t xml:space="preserve">остановлени</w:t>
      </w:r>
      <w:r>
        <w:rPr>
          <w:sz w:val="18"/>
          <w:szCs w:val="18"/>
        </w:rPr>
        <w:t xml:space="preserve">я</w:t>
      </w:r>
      <w:r>
        <w:rPr>
          <w:sz w:val="18"/>
          <w:szCs w:val="18"/>
        </w:rPr>
        <w:t xml:space="preserve">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</w:t>
      </w:r>
      <w:r>
        <w:rPr>
          <w:sz w:val="18"/>
          <w:szCs w:val="18"/>
        </w:rPr>
        <w:t xml:space="preserve">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570 и признании утратившим силу постановления Правительства Российской Федерации от 25 ноября 2013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1063»</w:t>
      </w:r>
      <w:r>
        <w:rPr>
          <w:sz w:val="18"/>
          <w:szCs w:val="18"/>
        </w:rPr>
        <w:t xml:space="preserve">.</w:t>
      </w:r>
      <w:r/>
    </w:p>
    <w:p>
      <w:pPr>
        <w:pStyle w:val="950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</w:lvl>
    <w:lvl w:ilvl="1">
      <w:start w:val="1"/>
      <w:numFmt w:val="decimal"/>
      <w:pStyle w:val="918"/>
      <w:isLgl w:val="false"/>
      <w:suff w:val="tab"/>
      <w:lvlText w:val="2.1."/>
      <w:lvlJc w:val="left"/>
      <w:pPr>
        <w:ind w:left="284" w:hanging="284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644" w:hanging="360"/>
        <w:tabs>
          <w:tab w:val="num" w:pos="644" w:leader="none"/>
        </w:tabs>
      </w:pPr>
    </w:lvl>
    <w:lvl w:ilvl="3">
      <w:start w:val="1"/>
      <w:numFmt w:val="decimal"/>
      <w:pStyle w:val="920"/>
      <w:isLgl w:val="false"/>
      <w:suff w:val="tab"/>
      <w:lvlText w:val="2%1%2.2.%4."/>
      <w:lvlJc w:val="left"/>
      <w:pPr>
        <w:ind w:left="1134" w:hanging="567"/>
        <w:tabs>
          <w:tab w:val="num" w:pos="1287" w:leader="none"/>
        </w:tabs>
      </w:pPr>
    </w:lvl>
    <w:lvl w:ilvl="4">
      <w:start w:val="1"/>
      <w:numFmt w:val="decimal"/>
      <w:pStyle w:val="921"/>
      <w:isLgl w:val="false"/>
      <w:suff w:val="tab"/>
      <w:lvlText w:val="2.%2.%3.%4.%5."/>
      <w:lvlJc w:val="left"/>
      <w:pPr>
        <w:ind w:left="1701" w:hanging="567"/>
        <w:tabs>
          <w:tab w:val="num" w:pos="2214" w:leader="none"/>
        </w:tabs>
      </w:pPr>
    </w:lvl>
    <w:lvl w:ilvl="5">
      <w:start w:val="1"/>
      <w:numFmt w:val="decimal"/>
      <w:pStyle w:val="922"/>
      <w:isLgl w:val="false"/>
      <w:suff w:val="tab"/>
      <w:lvlText w:val="%1%2.%3.%4.%5.%6."/>
      <w:lvlJc w:val="left"/>
      <w:pPr>
        <w:ind w:left="2268" w:hanging="567"/>
        <w:tabs>
          <w:tab w:val="num" w:pos="2781" w:leader="none"/>
        </w:tabs>
      </w:pPr>
    </w:lvl>
    <w:lvl w:ilvl="6">
      <w:start w:val="1"/>
      <w:numFmt w:val="decimal"/>
      <w:pStyle w:val="923"/>
      <w:isLgl w:val="false"/>
      <w:suff w:val="tab"/>
      <w:lvlText w:val="%1%2.%3.%4.%5.%6.%7."/>
      <w:lvlJc w:val="left"/>
      <w:pPr>
        <w:ind w:left="4420" w:hanging="708"/>
        <w:tabs>
          <w:tab w:val="num" w:pos="5152" w:leader="none"/>
        </w:tabs>
      </w:pPr>
    </w:lvl>
    <w:lvl w:ilvl="7">
      <w:start w:val="1"/>
      <w:numFmt w:val="decimal"/>
      <w:pStyle w:val="924"/>
      <w:isLgl w:val="false"/>
      <w:suff w:val="tab"/>
      <w:lvlText w:val="%1.%2.%3.%4.%5.%6.%7.%8."/>
      <w:lvlJc w:val="left"/>
      <w:pPr>
        <w:ind w:left="5128" w:hanging="708"/>
        <w:tabs>
          <w:tab w:val="num" w:pos="6220" w:leader="none"/>
        </w:tabs>
      </w:pPr>
    </w:lvl>
    <w:lvl w:ilvl="8">
      <w:start w:val="1"/>
      <w:numFmt w:val="decimal"/>
      <w:pStyle w:val="925"/>
      <w:isLgl w:val="false"/>
      <w:suff w:val="tab"/>
      <w:lvlText w:val="%1.%2.%3.%4.%5.%6.%7.%8.%9."/>
      <w:lvlJc w:val="left"/>
      <w:pPr>
        <w:ind w:left="5836" w:hanging="708"/>
        <w:tabs>
          <w:tab w:val="num" w:pos="69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56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37" w:hanging="720"/>
        <w:tabs>
          <w:tab w:val="num" w:pos="2337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36" w:hanging="1080"/>
        <w:tabs>
          <w:tab w:val="num" w:pos="323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6">
    <w:multiLevelType w:val="hybridMultilevel"/>
    <w:lvl w:ilvl="0">
      <w:start w:val="1"/>
      <w:numFmt w:val="decimal"/>
      <w:pStyle w:val="999"/>
      <w:isLgl w:val="false"/>
      <w:suff w:val="tab"/>
      <w:lvlText w:val="%1)"/>
      <w:legacy w:legacy="1" w:legacyIndent="0" w:legacySpace="0"/>
      <w:lvlJc w:val="left"/>
      <w:pPr/>
      <w:rPr>
        <w:rFonts w:ascii="Times New Roman CYR" w:hAnsi="Times New Roman CYR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945" w:hanging="465"/>
        <w:tabs>
          <w:tab w:val="num" w:pos="94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1185" w:hanging="465"/>
        <w:tabs>
          <w:tab w:val="num" w:pos="118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0" w:hanging="750"/>
        <w:tabs>
          <w:tab w:val="num" w:pos="75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5" w:hanging="750"/>
        <w:tabs>
          <w:tab w:val="num" w:pos="1005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50"/>
        <w:tabs>
          <w:tab w:val="num" w:pos="126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15" w:hanging="750"/>
        <w:tabs>
          <w:tab w:val="num" w:pos="1515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00" w:hanging="1080"/>
        <w:tabs>
          <w:tab w:val="num" w:pos="210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55" w:hanging="1080"/>
        <w:tabs>
          <w:tab w:val="num" w:pos="235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970" w:hanging="1440"/>
        <w:tabs>
          <w:tab w:val="num" w:pos="297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25" w:hanging="1440"/>
        <w:tabs>
          <w:tab w:val="num" w:pos="3225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40" w:hanging="1800"/>
        <w:tabs>
          <w:tab w:val="num" w:pos="3840" w:leader="none"/>
        </w:tabs>
      </w:pPr>
      <w:rPr>
        <w:color w:val="000000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pStyle w:val="1009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pStyle w:val="1008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39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space"/>
      <w:lvlText w:val="%4)"/>
      <w:lvlJc w:val="left"/>
      <w:pPr>
        <w:ind w:firstLine="567"/>
      </w:pPr>
    </w:lvl>
    <w:lvl w:ilvl="4">
      <w:start w:val="1"/>
      <w:numFmt w:val="thaiNumbers"/>
      <w:isLgl w:val="false"/>
      <w:suff w:val="space"/>
      <w:lvlText w:val="%5)"/>
      <w:lvlJc w:val="left"/>
      <w:pPr>
        <w:ind w:firstLine="851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23">
    <w:multiLevelType w:val="hybridMultilevel"/>
    <w:lvl w:ilvl="0">
      <w:start w:val="1"/>
      <w:numFmt w:val="decimal"/>
      <w:pStyle w:val="941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1002"/>
      <w:isLgl w:val="false"/>
      <w:suff w:val="tab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  <w:rPr>
        <w:rFonts w:cs="Times New Roman"/>
      </w:rPr>
    </w:lvl>
  </w:abstractNum>
  <w:abstractNum w:abstractNumId="2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6"/>
  </w:num>
  <w:num w:numId="3">
    <w:abstractNumId w:val="23"/>
  </w:num>
  <w:num w:numId="4">
    <w:abstractNumId w:val="12"/>
  </w:num>
  <w:num w:numId="5">
    <w:abstractNumId w:val="1"/>
  </w:num>
  <w:num w:numId="6">
    <w:abstractNumId w:val="20"/>
  </w:num>
  <w:num w:numId="7">
    <w:abstractNumId w:val="13"/>
  </w:num>
  <w:num w:numId="8">
    <w:abstractNumId w:val="16"/>
  </w:num>
  <w:num w:numId="9">
    <w:abstractNumId w:val="11"/>
  </w:num>
  <w:num w:numId="10">
    <w:abstractNumId w:val="25"/>
  </w:num>
  <w:num w:numId="11">
    <w:abstractNumId w:val="15"/>
  </w:num>
  <w:num w:numId="12">
    <w:abstractNumId w:val="24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2"/>
  </w:num>
  <w:num w:numId="18">
    <w:abstractNumId w:val="17"/>
  </w:num>
  <w:num w:numId="19">
    <w:abstractNumId w:val="4"/>
  </w:num>
  <w:num w:numId="20">
    <w:abstractNumId w:val="9"/>
  </w:num>
  <w:num w:numId="21">
    <w:abstractNumId w:val="19"/>
  </w:num>
  <w:num w:numId="22">
    <w:abstractNumId w:val="7"/>
  </w:num>
  <w:num w:numId="23">
    <w:abstractNumId w:val="26"/>
  </w:num>
  <w:num w:numId="24">
    <w:abstractNumId w:val="22"/>
  </w:num>
  <w:num w:numId="25">
    <w:abstractNumId w:val="10"/>
  </w:num>
  <w:num w:numId="26">
    <w:abstractNumId w:val="5"/>
  </w:num>
  <w:num w:numId="27">
    <w:abstractNumId w:val="27"/>
  </w:num>
  <w:num w:numId="28">
    <w:abstractNumId w:val="2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6"/>
    <w:next w:val="916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link w:val="738"/>
    <w:uiPriority w:val="9"/>
    <w:rPr>
      <w:rFonts w:ascii="Arial" w:hAnsi="Arial" w:eastAsia="Arial" w:cs="Arial"/>
      <w:sz w:val="40"/>
      <w:szCs w:val="40"/>
    </w:rPr>
  </w:style>
  <w:style w:type="paragraph" w:styleId="740">
    <w:name w:val="Heading 2"/>
    <w:basedOn w:val="916"/>
    <w:next w:val="916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link w:val="74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16"/>
    <w:next w:val="916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16"/>
    <w:next w:val="916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6"/>
    <w:next w:val="916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6"/>
    <w:next w:val="916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6"/>
    <w:next w:val="916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6"/>
    <w:next w:val="916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6"/>
    <w:next w:val="916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916"/>
    <w:uiPriority w:val="34"/>
    <w:qFormat/>
    <w:pPr>
      <w:contextualSpacing/>
      <w:ind w:left="720"/>
    </w:pPr>
  </w:style>
  <w:style w:type="paragraph" w:styleId="757">
    <w:name w:val="No Spacing"/>
    <w:uiPriority w:val="1"/>
    <w:qFormat/>
    <w:pPr>
      <w:spacing w:before="0" w:after="0" w:line="240" w:lineRule="auto"/>
    </w:pPr>
  </w:style>
  <w:style w:type="paragraph" w:styleId="758">
    <w:name w:val="Title"/>
    <w:basedOn w:val="916"/>
    <w:next w:val="916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>
    <w:name w:val="Title Char"/>
    <w:link w:val="758"/>
    <w:uiPriority w:val="10"/>
    <w:rPr>
      <w:sz w:val="48"/>
      <w:szCs w:val="48"/>
    </w:rPr>
  </w:style>
  <w:style w:type="paragraph" w:styleId="760">
    <w:name w:val="Subtitle"/>
    <w:basedOn w:val="916"/>
    <w:next w:val="916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link w:val="760"/>
    <w:uiPriority w:val="11"/>
    <w:rPr>
      <w:sz w:val="24"/>
      <w:szCs w:val="24"/>
    </w:rPr>
  </w:style>
  <w:style w:type="paragraph" w:styleId="762">
    <w:name w:val="Quote"/>
    <w:basedOn w:val="916"/>
    <w:next w:val="916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6"/>
    <w:next w:val="916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paragraph" w:styleId="766">
    <w:name w:val="Header"/>
    <w:basedOn w:val="916"/>
    <w:link w:val="7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7">
    <w:name w:val="Header Char"/>
    <w:link w:val="766"/>
    <w:uiPriority w:val="99"/>
  </w:style>
  <w:style w:type="paragraph" w:styleId="768">
    <w:name w:val="Footer"/>
    <w:basedOn w:val="916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>
    <w:name w:val="Footer Char"/>
    <w:link w:val="768"/>
    <w:uiPriority w:val="99"/>
  </w:style>
  <w:style w:type="paragraph" w:styleId="770">
    <w:name w:val="Caption"/>
    <w:basedOn w:val="916"/>
    <w:next w:val="916"/>
    <w:link w:val="7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1">
    <w:name w:val="Caption Char"/>
    <w:basedOn w:val="770"/>
    <w:link w:val="768"/>
    <w:uiPriority w:val="35"/>
  </w:style>
  <w:style w:type="table" w:styleId="77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8">
    <w:name w:val="Hyperlink"/>
    <w:uiPriority w:val="99"/>
    <w:unhideWhenUsed/>
    <w:rPr>
      <w:color w:val="0000ff" w:themeColor="hyperlink"/>
      <w:u w:val="single"/>
    </w:rPr>
  </w:style>
  <w:style w:type="paragraph" w:styleId="899">
    <w:name w:val="footnote text"/>
    <w:basedOn w:val="916"/>
    <w:link w:val="900"/>
    <w:uiPriority w:val="99"/>
    <w:semiHidden/>
    <w:unhideWhenUsed/>
    <w:pPr>
      <w:spacing w:after="40" w:line="240" w:lineRule="auto"/>
    </w:pPr>
    <w:rPr>
      <w:sz w:val="18"/>
    </w:rPr>
  </w:style>
  <w:style w:type="character" w:styleId="900">
    <w:name w:val="Footnote Text Char"/>
    <w:link w:val="899"/>
    <w:uiPriority w:val="99"/>
    <w:rPr>
      <w:sz w:val="18"/>
    </w:rPr>
  </w:style>
  <w:style w:type="character" w:styleId="901">
    <w:name w:val="footnote reference"/>
    <w:uiPriority w:val="99"/>
    <w:unhideWhenUsed/>
    <w:rPr>
      <w:vertAlign w:val="superscript"/>
    </w:rPr>
  </w:style>
  <w:style w:type="paragraph" w:styleId="902">
    <w:name w:val="endnote text"/>
    <w:basedOn w:val="916"/>
    <w:link w:val="903"/>
    <w:uiPriority w:val="99"/>
    <w:semiHidden/>
    <w:unhideWhenUsed/>
    <w:pPr>
      <w:spacing w:after="0" w:line="240" w:lineRule="auto"/>
    </w:pPr>
    <w:rPr>
      <w:sz w:val="20"/>
    </w:rPr>
  </w:style>
  <w:style w:type="character" w:styleId="903">
    <w:name w:val="Endnote Text Char"/>
    <w:link w:val="902"/>
    <w:uiPriority w:val="99"/>
    <w:rPr>
      <w:sz w:val="20"/>
    </w:rPr>
  </w:style>
  <w:style w:type="character" w:styleId="904">
    <w:name w:val="endnote reference"/>
    <w:uiPriority w:val="99"/>
    <w:semiHidden/>
    <w:unhideWhenUsed/>
    <w:rPr>
      <w:vertAlign w:val="superscript"/>
    </w:rPr>
  </w:style>
  <w:style w:type="paragraph" w:styleId="905">
    <w:name w:val="toc 1"/>
    <w:basedOn w:val="916"/>
    <w:next w:val="916"/>
    <w:uiPriority w:val="39"/>
    <w:unhideWhenUsed/>
    <w:pPr>
      <w:ind w:left="0" w:right="0" w:firstLine="0"/>
      <w:spacing w:after="57"/>
    </w:pPr>
  </w:style>
  <w:style w:type="paragraph" w:styleId="906">
    <w:name w:val="toc 2"/>
    <w:basedOn w:val="916"/>
    <w:next w:val="916"/>
    <w:uiPriority w:val="39"/>
    <w:unhideWhenUsed/>
    <w:pPr>
      <w:ind w:left="283" w:right="0" w:firstLine="0"/>
      <w:spacing w:after="57"/>
    </w:pPr>
  </w:style>
  <w:style w:type="paragraph" w:styleId="907">
    <w:name w:val="toc 3"/>
    <w:basedOn w:val="916"/>
    <w:next w:val="916"/>
    <w:uiPriority w:val="39"/>
    <w:unhideWhenUsed/>
    <w:pPr>
      <w:ind w:left="567" w:right="0" w:firstLine="0"/>
      <w:spacing w:after="57"/>
    </w:pPr>
  </w:style>
  <w:style w:type="paragraph" w:styleId="908">
    <w:name w:val="toc 4"/>
    <w:basedOn w:val="916"/>
    <w:next w:val="916"/>
    <w:uiPriority w:val="39"/>
    <w:unhideWhenUsed/>
    <w:pPr>
      <w:ind w:left="850" w:right="0" w:firstLine="0"/>
      <w:spacing w:after="57"/>
    </w:pPr>
  </w:style>
  <w:style w:type="paragraph" w:styleId="909">
    <w:name w:val="toc 5"/>
    <w:basedOn w:val="916"/>
    <w:next w:val="916"/>
    <w:uiPriority w:val="39"/>
    <w:unhideWhenUsed/>
    <w:pPr>
      <w:ind w:left="1134" w:right="0" w:firstLine="0"/>
      <w:spacing w:after="57"/>
    </w:pPr>
  </w:style>
  <w:style w:type="paragraph" w:styleId="910">
    <w:name w:val="toc 6"/>
    <w:basedOn w:val="916"/>
    <w:next w:val="916"/>
    <w:uiPriority w:val="39"/>
    <w:unhideWhenUsed/>
    <w:pPr>
      <w:ind w:left="1417" w:right="0" w:firstLine="0"/>
      <w:spacing w:after="57"/>
    </w:pPr>
  </w:style>
  <w:style w:type="paragraph" w:styleId="911">
    <w:name w:val="toc 7"/>
    <w:basedOn w:val="916"/>
    <w:next w:val="916"/>
    <w:uiPriority w:val="39"/>
    <w:unhideWhenUsed/>
    <w:pPr>
      <w:ind w:left="1701" w:right="0" w:firstLine="0"/>
      <w:spacing w:after="57"/>
    </w:pPr>
  </w:style>
  <w:style w:type="paragraph" w:styleId="912">
    <w:name w:val="toc 8"/>
    <w:basedOn w:val="916"/>
    <w:next w:val="916"/>
    <w:uiPriority w:val="39"/>
    <w:unhideWhenUsed/>
    <w:pPr>
      <w:ind w:left="1984" w:right="0" w:firstLine="0"/>
      <w:spacing w:after="57"/>
    </w:pPr>
  </w:style>
  <w:style w:type="paragraph" w:styleId="913">
    <w:name w:val="toc 9"/>
    <w:basedOn w:val="916"/>
    <w:next w:val="916"/>
    <w:uiPriority w:val="39"/>
    <w:unhideWhenUsed/>
    <w:pPr>
      <w:ind w:left="2268" w:right="0" w:firstLine="0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916"/>
    <w:next w:val="916"/>
    <w:uiPriority w:val="99"/>
    <w:unhideWhenUsed/>
    <w:pPr>
      <w:spacing w:after="0" w:afterAutospacing="0"/>
    </w:pPr>
  </w:style>
  <w:style w:type="paragraph" w:styleId="916" w:default="1">
    <w:name w:val="Normal"/>
    <w:next w:val="916"/>
    <w:link w:val="916"/>
    <w:qFormat/>
    <w:rPr>
      <w:sz w:val="24"/>
      <w:szCs w:val="24"/>
      <w:lang w:val="ru-RU" w:eastAsia="ru-RU" w:bidi="ar-SA"/>
    </w:rPr>
  </w:style>
  <w:style w:type="paragraph" w:styleId="917">
    <w:name w:val="Заголовок 1,H1,.,Название спецификации,h:1,h:1app,TF-Overskrift 1,H11,R1,Titre 0"/>
    <w:basedOn w:val="916"/>
    <w:next w:val="916"/>
    <w:link w:val="957"/>
    <w:qFormat/>
    <w:pPr>
      <w:keepNext/>
      <w:spacing w:before="240" w:after="60" w:line="276" w:lineRule="auto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918">
    <w:name w:val="Заголовок 2,H2,H21,Numbered text 3,h2,Раздел,H22,H23,H24,H211,H25,H212,H221,H231,H241,H2111,H26,H213,H222,H232,H242,H2112,H27,H214,H28,H29,H210,H215,H216,H217,H218,H219,H220,H2110,H223,H2113,H224,H225,H226,H227,H228,H229,H230,H233,H234,H235,H2114,H236,2"/>
    <w:basedOn w:val="916"/>
    <w:next w:val="916"/>
    <w:link w:val="916"/>
    <w:qFormat/>
    <w:pPr>
      <w:numPr>
        <w:ilvl w:val="1"/>
        <w:numId w:val="1"/>
      </w:numPr>
      <w:ind w:left="1418" w:hanging="851"/>
      <w:jc w:val="both"/>
      <w:spacing w:before="120" w:after="120"/>
      <w:tabs>
        <w:tab w:val="clear" w:pos="360" w:leader="none"/>
      </w:tabs>
      <w:outlineLvl w:val="1"/>
    </w:pPr>
    <w:rPr>
      <w:b/>
      <w:szCs w:val="20"/>
    </w:rPr>
  </w:style>
  <w:style w:type="paragraph" w:styleId="919">
    <w:name w:val="Заголовок 3"/>
    <w:basedOn w:val="916"/>
    <w:next w:val="916"/>
    <w:link w:val="916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20">
    <w:name w:val="Заголовок 4,Заголовок 4 (Приложение),H4"/>
    <w:basedOn w:val="916"/>
    <w:next w:val="916"/>
    <w:link w:val="916"/>
    <w:qFormat/>
    <w:pPr>
      <w:numPr>
        <w:ilvl w:val="3"/>
        <w:numId w:val="1"/>
      </w:numPr>
      <w:ind w:left="709" w:hanging="709"/>
      <w:jc w:val="both"/>
      <w:keepNext/>
      <w:spacing w:before="120" w:after="120"/>
      <w:tabs>
        <w:tab w:val="clear" w:pos="1287" w:leader="none"/>
      </w:tabs>
      <w:outlineLvl w:val="3"/>
    </w:pPr>
    <w:rPr>
      <w:szCs w:val="20"/>
    </w:rPr>
  </w:style>
  <w:style w:type="paragraph" w:styleId="921">
    <w:name w:val="Заголовок 5,H5"/>
    <w:basedOn w:val="916"/>
    <w:next w:val="916"/>
    <w:link w:val="916"/>
    <w:qFormat/>
    <w:pPr>
      <w:numPr>
        <w:ilvl w:val="4"/>
        <w:numId w:val="1"/>
      </w:numPr>
      <w:ind w:left="993" w:hanging="709"/>
      <w:jc w:val="both"/>
      <w:spacing w:before="60" w:after="60"/>
      <w:tabs>
        <w:tab w:val="clear" w:pos="2214" w:leader="none"/>
      </w:tabs>
      <w:outlineLvl w:val="4"/>
    </w:pPr>
    <w:rPr>
      <w:szCs w:val="20"/>
    </w:rPr>
  </w:style>
  <w:style w:type="paragraph" w:styleId="922">
    <w:name w:val="Заголовок 6"/>
    <w:basedOn w:val="916"/>
    <w:next w:val="916"/>
    <w:link w:val="916"/>
    <w:qFormat/>
    <w:pPr>
      <w:numPr>
        <w:ilvl w:val="5"/>
        <w:numId w:val="1"/>
      </w:numPr>
      <w:ind w:left="4248" w:hanging="708"/>
      <w:jc w:val="both"/>
      <w:spacing w:before="240" w:after="60"/>
      <w:tabs>
        <w:tab w:val="num" w:pos="0" w:leader="none"/>
        <w:tab w:val="clear" w:pos="2781" w:leader="none"/>
      </w:tabs>
      <w:outlineLvl w:val="5"/>
    </w:pPr>
    <w:rPr>
      <w:i/>
      <w:sz w:val="22"/>
      <w:szCs w:val="20"/>
    </w:rPr>
  </w:style>
  <w:style w:type="paragraph" w:styleId="923">
    <w:name w:val="Заголовок 7"/>
    <w:basedOn w:val="916"/>
    <w:next w:val="916"/>
    <w:link w:val="916"/>
    <w:qFormat/>
    <w:pPr>
      <w:numPr>
        <w:ilvl w:val="6"/>
        <w:numId w:val="1"/>
      </w:numPr>
      <w:ind w:left="4956"/>
      <w:jc w:val="both"/>
      <w:spacing w:before="240" w:after="60"/>
      <w:tabs>
        <w:tab w:val="num" w:pos="0" w:leader="none"/>
        <w:tab w:val="clear" w:pos="5152" w:leader="none"/>
      </w:tabs>
      <w:outlineLvl w:val="6"/>
    </w:pPr>
    <w:rPr>
      <w:sz w:val="20"/>
      <w:szCs w:val="20"/>
    </w:rPr>
  </w:style>
  <w:style w:type="paragraph" w:styleId="924">
    <w:name w:val="Заголовок 8"/>
    <w:basedOn w:val="916"/>
    <w:next w:val="916"/>
    <w:link w:val="916"/>
    <w:qFormat/>
    <w:pPr>
      <w:numPr>
        <w:ilvl w:val="7"/>
        <w:numId w:val="1"/>
      </w:numPr>
      <w:jc w:val="both"/>
      <w:spacing w:before="240" w:after="60"/>
      <w:outlineLvl w:val="7"/>
    </w:pPr>
    <w:rPr>
      <w:i/>
      <w:sz w:val="20"/>
      <w:szCs w:val="20"/>
    </w:rPr>
  </w:style>
  <w:style w:type="paragraph" w:styleId="925">
    <w:name w:val="Заголовок 9"/>
    <w:basedOn w:val="916"/>
    <w:next w:val="916"/>
    <w:link w:val="916"/>
    <w:qFormat/>
    <w:pPr>
      <w:numPr>
        <w:ilvl w:val="8"/>
        <w:numId w:val="1"/>
      </w:numPr>
      <w:ind w:left="6372"/>
      <w:jc w:val="both"/>
      <w:spacing w:before="240" w:after="60"/>
      <w:tabs>
        <w:tab w:val="num" w:pos="0" w:leader="none"/>
        <w:tab w:val="clear" w:pos="6928" w:leader="none"/>
      </w:tabs>
      <w:outlineLvl w:val="8"/>
    </w:pPr>
    <w:rPr>
      <w:i/>
      <w:sz w:val="18"/>
      <w:szCs w:val="20"/>
    </w:rPr>
  </w:style>
  <w:style w:type="character" w:styleId="926">
    <w:name w:val="Основной шрифт абзаца, Знак Знак7 Знак Знак Знак Знак"/>
    <w:next w:val="926"/>
    <w:link w:val="916"/>
    <w:semiHidden/>
  </w:style>
  <w:style w:type="table" w:styleId="927">
    <w:name w:val="Обычная таблица"/>
    <w:next w:val="927"/>
    <w:link w:val="916"/>
    <w:semiHidden/>
    <w:tblPr/>
  </w:style>
  <w:style w:type="numbering" w:styleId="928">
    <w:name w:val="Нет списка"/>
    <w:next w:val="928"/>
    <w:link w:val="916"/>
    <w:semiHidden/>
  </w:style>
  <w:style w:type="paragraph" w:styleId="929">
    <w:name w:val=" Знак Знак7 Знак Знак"/>
    <w:basedOn w:val="916"/>
    <w:next w:val="929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30">
    <w:name w:val="Верхний колонтитул"/>
    <w:basedOn w:val="916"/>
    <w:next w:val="930"/>
    <w:link w:val="931"/>
    <w:pPr>
      <w:ind w:firstLine="567"/>
      <w:jc w:val="both"/>
      <w:tabs>
        <w:tab w:val="center" w:pos="4320" w:leader="none"/>
        <w:tab w:val="right" w:pos="8640" w:leader="none"/>
      </w:tabs>
    </w:pPr>
    <w:rPr>
      <w:szCs w:val="20"/>
    </w:rPr>
  </w:style>
  <w:style w:type="character" w:styleId="931">
    <w:name w:val="Верхний колонтитул Знак"/>
    <w:next w:val="931"/>
    <w:link w:val="930"/>
    <w:rPr>
      <w:sz w:val="24"/>
      <w:lang w:val="ru-RU" w:eastAsia="ru-RU" w:bidi="ar-SA"/>
    </w:rPr>
  </w:style>
  <w:style w:type="paragraph" w:styleId="932">
    <w:name w:val="Основной текст,Çàã1,BO,ID,body indent,andrad,EHPT,Body Text2"/>
    <w:basedOn w:val="916"/>
    <w:next w:val="932"/>
    <w:link w:val="933"/>
    <w:pPr>
      <w:spacing w:after="120"/>
    </w:pPr>
  </w:style>
  <w:style w:type="character" w:styleId="933">
    <w:name w:val="Основной текст Знак,Çàã1 Знак,BO Знак,ID Знак,body indent Знак,andrad Знак,EHPT Знак,Body Text2 Знак"/>
    <w:next w:val="933"/>
    <w:link w:val="932"/>
    <w:rPr>
      <w:sz w:val="24"/>
      <w:szCs w:val="24"/>
      <w:lang w:val="ru-RU" w:eastAsia="ru-RU" w:bidi="ar-SA"/>
    </w:rPr>
  </w:style>
  <w:style w:type="paragraph" w:styleId="934">
    <w:name w:val="Обычный (веб),Обычный (веб)1,Обычный (веб)11,Обычный (Web)"/>
    <w:basedOn w:val="916"/>
    <w:next w:val="934"/>
    <w:link w:val="935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character" w:styleId="935">
    <w:name w:val="Обычный (веб) Знак,Обычный (веб)1 Знак,Обычный (веб)11 Знак,Обычный (Web) Знак"/>
    <w:next w:val="935"/>
    <w:link w:val="934"/>
    <w:rPr>
      <w:rFonts w:ascii="Arial Unicode MS" w:hAnsi="Arial Unicode MS" w:eastAsia="Arial Unicode MS" w:cs="Arial Unicode MS"/>
      <w:sz w:val="24"/>
      <w:szCs w:val="24"/>
      <w:lang w:val="ru-RU" w:eastAsia="ru-RU" w:bidi="ar-SA"/>
    </w:rPr>
  </w:style>
  <w:style w:type="paragraph" w:styleId="936">
    <w:name w:val="Нижний колонтитул"/>
    <w:basedOn w:val="916"/>
    <w:next w:val="936"/>
    <w:link w:val="937"/>
    <w:pPr>
      <w:tabs>
        <w:tab w:val="center" w:pos="4677" w:leader="none"/>
        <w:tab w:val="right" w:pos="9355" w:leader="none"/>
      </w:tabs>
    </w:pPr>
  </w:style>
  <w:style w:type="character" w:styleId="937">
    <w:name w:val="Нижний колонтитул Знак"/>
    <w:next w:val="937"/>
    <w:link w:val="936"/>
    <w:rPr>
      <w:sz w:val="24"/>
      <w:szCs w:val="24"/>
      <w:lang w:val="ru-RU" w:eastAsia="ru-RU" w:bidi="ar-SA"/>
    </w:rPr>
  </w:style>
  <w:style w:type="paragraph" w:styleId="938">
    <w:name w:val="Стиль3"/>
    <w:basedOn w:val="939"/>
    <w:next w:val="938"/>
    <w:link w:val="940"/>
    <w:pPr>
      <w:ind w:left="1260" w:right="0" w:hanging="720"/>
      <w:jc w:val="both"/>
      <w:widowControl w:val="off"/>
      <w:tabs>
        <w:tab w:val="num" w:pos="720" w:leader="none"/>
        <w:tab w:val="num" w:pos="1209" w:leader="none"/>
        <w:tab w:val="num" w:pos="1487" w:leader="none"/>
        <w:tab w:val="num" w:pos="1800" w:leader="none"/>
        <w:tab w:val="clear" w:pos="6120" w:leader="none"/>
        <w:tab w:val="clear" w:pos="9720" w:leader="none"/>
        <w:tab w:val="clear" w:pos="9865" w:leader="none"/>
      </w:tabs>
    </w:pPr>
    <w:rPr>
      <w:sz w:val="24"/>
    </w:rPr>
  </w:style>
  <w:style w:type="paragraph" w:styleId="939">
    <w:name w:val="Основной текст с отступом 2"/>
    <w:basedOn w:val="916"/>
    <w:next w:val="939"/>
    <w:link w:val="916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sz w:val="20"/>
    </w:rPr>
  </w:style>
  <w:style w:type="character" w:styleId="940">
    <w:name w:val="Стиль3 Знак"/>
    <w:next w:val="940"/>
    <w:link w:val="938"/>
    <w:rPr>
      <w:sz w:val="24"/>
      <w:szCs w:val="24"/>
      <w:lang w:val="ru-RU" w:eastAsia="ru-RU" w:bidi="ar-SA"/>
    </w:rPr>
  </w:style>
  <w:style w:type="paragraph" w:styleId="941">
    <w:name w:val="Текст ТД"/>
    <w:basedOn w:val="916"/>
    <w:next w:val="941"/>
    <w:link w:val="942"/>
    <w:qFormat/>
    <w:pPr>
      <w:numPr>
        <w:ilvl w:val="0"/>
        <w:numId w:val="3"/>
      </w:numPr>
      <w:jc w:val="both"/>
      <w:spacing w:after="200"/>
    </w:pPr>
    <w:rPr>
      <w:rFonts w:eastAsia="Calibri"/>
      <w:lang w:eastAsia="en-US"/>
    </w:rPr>
  </w:style>
  <w:style w:type="character" w:styleId="942">
    <w:name w:val="Текст ТД Знак"/>
    <w:next w:val="942"/>
    <w:link w:val="941"/>
    <w:rPr>
      <w:rFonts w:eastAsia="Calibri"/>
      <w:sz w:val="24"/>
      <w:szCs w:val="24"/>
      <w:lang w:val="ru-RU" w:eastAsia="en-US" w:bidi="ar-SA"/>
    </w:rPr>
  </w:style>
  <w:style w:type="paragraph" w:styleId="943">
    <w:name w:val="Основной текст с отступом"/>
    <w:basedOn w:val="916"/>
    <w:next w:val="943"/>
    <w:link w:val="916"/>
    <w:semiHidden/>
    <w:unhideWhenUsed/>
    <w:pPr>
      <w:ind w:left="283"/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44">
    <w:name w:val="Знак1"/>
    <w:basedOn w:val="916"/>
    <w:next w:val="944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45">
    <w:name w:val="Основной текст 3"/>
    <w:basedOn w:val="916"/>
    <w:next w:val="945"/>
    <w:link w:val="916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946">
    <w:name w:val="Текст выноски"/>
    <w:basedOn w:val="916"/>
    <w:next w:val="946"/>
    <w:link w:val="978"/>
    <w:semiHidden/>
    <w:rPr>
      <w:rFonts w:ascii="Tahoma" w:hAnsi="Tahoma" w:cs="Tahoma"/>
      <w:sz w:val="16"/>
      <w:szCs w:val="16"/>
    </w:rPr>
  </w:style>
  <w:style w:type="paragraph" w:styleId="947">
    <w:name w:val="Обычный1"/>
    <w:next w:val="947"/>
    <w:link w:val="916"/>
    <w:pPr>
      <w:ind w:firstLine="720"/>
      <w:spacing w:line="300" w:lineRule="auto"/>
      <w:widowControl w:val="off"/>
    </w:pPr>
    <w:rPr>
      <w:sz w:val="22"/>
      <w:lang w:val="ru-RU" w:eastAsia="ru-RU" w:bidi="ar-SA"/>
    </w:rPr>
  </w:style>
  <w:style w:type="paragraph" w:styleId="948">
    <w:name w:val="Обычный таблица"/>
    <w:basedOn w:val="916"/>
    <w:next w:val="948"/>
    <w:link w:val="949"/>
    <w:rPr>
      <w:rFonts w:eastAsia="Calibri"/>
      <w:sz w:val="18"/>
      <w:szCs w:val="18"/>
    </w:rPr>
  </w:style>
  <w:style w:type="character" w:styleId="949">
    <w:name w:val="Обычный таблица Знак"/>
    <w:next w:val="949"/>
    <w:link w:val="948"/>
    <w:rPr>
      <w:rFonts w:eastAsia="Calibri"/>
      <w:sz w:val="18"/>
      <w:szCs w:val="18"/>
      <w:lang w:val="ru-RU" w:eastAsia="ru-RU" w:bidi="ar-SA"/>
    </w:rPr>
  </w:style>
  <w:style w:type="paragraph" w:styleId="950">
    <w:name w:val="Текст сноски"/>
    <w:basedOn w:val="916"/>
    <w:next w:val="950"/>
    <w:link w:val="952"/>
    <w:semiHidden/>
    <w:rPr>
      <w:sz w:val="20"/>
      <w:szCs w:val="20"/>
    </w:rPr>
  </w:style>
  <w:style w:type="character" w:styleId="951">
    <w:name w:val="Знак сноски"/>
    <w:next w:val="951"/>
    <w:link w:val="916"/>
    <w:semiHidden/>
    <w:rPr>
      <w:rFonts w:cs="Times New Roman"/>
      <w:vertAlign w:val="superscript"/>
    </w:rPr>
  </w:style>
  <w:style w:type="character" w:styleId="952">
    <w:name w:val="Текст сноски Знак"/>
    <w:next w:val="952"/>
    <w:link w:val="950"/>
    <w:rPr>
      <w:lang w:val="ru-RU" w:eastAsia="ru-RU" w:bidi="ar-SA"/>
    </w:rPr>
  </w:style>
  <w:style w:type="paragraph" w:styleId="953">
    <w:name w:val="ConsPlusNormal"/>
    <w:next w:val="953"/>
    <w:link w:val="973"/>
    <w:rPr>
      <w:rFonts w:ascii="Arial" w:hAnsi="Arial" w:cs="Arial"/>
      <w:lang w:val="ru-RU" w:eastAsia="ru-RU" w:bidi="ar-SA"/>
    </w:rPr>
  </w:style>
  <w:style w:type="paragraph" w:styleId="954">
    <w:name w:val=" Char"/>
    <w:basedOn w:val="916"/>
    <w:next w:val="954"/>
    <w:link w:val="916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55">
    <w:name w:val=" Знак Знак5"/>
    <w:basedOn w:val="916"/>
    <w:next w:val="955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56">
    <w:name w:val="Char"/>
    <w:basedOn w:val="916"/>
    <w:next w:val="956"/>
    <w:link w:val="916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character" w:styleId="957">
    <w:name w:val="Заголовок 1 Знак,H1 Знак,. Знак,Название спецификации Знак,h:1 Знак,h:1app Знак,TF-Overskrift 1 Знак,H11 Знак,R1 Знак,Titre 0 Знак"/>
    <w:next w:val="957"/>
    <w:link w:val="917"/>
    <w:rPr>
      <w:rFonts w:ascii="Arial" w:hAnsi="Arial" w:cs="Arial"/>
      <w:b/>
      <w:bCs/>
      <w:sz w:val="32"/>
      <w:szCs w:val="32"/>
      <w:lang w:val="ru-RU" w:eastAsia="ar-SA" w:bidi="ar-SA"/>
    </w:rPr>
  </w:style>
  <w:style w:type="paragraph" w:styleId="958">
    <w:name w:val="FR2"/>
    <w:next w:val="958"/>
    <w:link w:val="916"/>
    <w:pPr>
      <w:ind w:left="720"/>
      <w:jc w:val="center"/>
      <w:spacing w:before="400" w:line="300" w:lineRule="auto"/>
      <w:widowControl w:val="off"/>
    </w:pPr>
    <w:rPr>
      <w:b/>
      <w:bCs/>
      <w:sz w:val="32"/>
      <w:szCs w:val="32"/>
      <w:lang w:val="ru-RU" w:eastAsia="ru-RU" w:bidi="ar-SA"/>
    </w:rPr>
  </w:style>
  <w:style w:type="paragraph" w:styleId="959">
    <w:name w:val="FR1"/>
    <w:next w:val="959"/>
    <w:link w:val="916"/>
    <w:pPr>
      <w:ind w:left="720"/>
      <w:jc w:val="center"/>
      <w:spacing w:before="3640"/>
      <w:widowControl w:val="off"/>
    </w:pPr>
    <w:rPr>
      <w:b/>
      <w:bCs/>
      <w:sz w:val="40"/>
      <w:szCs w:val="40"/>
      <w:lang w:val="ru-RU" w:eastAsia="ru-RU" w:bidi="ar-SA"/>
    </w:rPr>
  </w:style>
  <w:style w:type="character" w:styleId="960">
    <w:name w:val="Гиперссылка"/>
    <w:next w:val="960"/>
    <w:link w:val="916"/>
    <w:rPr>
      <w:color w:val="0000ff"/>
      <w:u w:val="single"/>
    </w:rPr>
  </w:style>
  <w:style w:type="character" w:styleId="961">
    <w:name w:val=" Знак Знак4"/>
    <w:next w:val="961"/>
    <w:link w:val="916"/>
    <w:semiHidden/>
    <w:rPr>
      <w:sz w:val="24"/>
      <w:szCs w:val="24"/>
      <w:lang w:val="ru-RU" w:eastAsia="ru-RU" w:bidi="ar-SA"/>
    </w:rPr>
  </w:style>
  <w:style w:type="character" w:styleId="962">
    <w:name w:val=" Знак Знак3"/>
    <w:next w:val="962"/>
    <w:link w:val="916"/>
    <w:rPr>
      <w:sz w:val="28"/>
      <w:lang w:val="ru-RU" w:eastAsia="ru-RU" w:bidi="ar-SA"/>
    </w:rPr>
  </w:style>
  <w:style w:type="table" w:styleId="963">
    <w:name w:val="Сетка таблицы"/>
    <w:basedOn w:val="927"/>
    <w:next w:val="963"/>
    <w:link w:val="916"/>
    <w:rPr>
      <w:rFonts w:eastAsia="Calibri"/>
      <w:lang w:val="ru-RU" w:eastAsia="ru-RU" w:bidi="ar-SA"/>
    </w:rPr>
    <w:tblPr/>
  </w:style>
  <w:style w:type="paragraph" w:styleId="964">
    <w:name w:val="ConsNormal"/>
    <w:next w:val="964"/>
    <w:link w:val="965"/>
    <w:pPr>
      <w:ind w:firstLine="720"/>
      <w:widowControl w:val="off"/>
    </w:pPr>
    <w:rPr>
      <w:rFonts w:ascii="Arial" w:hAnsi="Arial"/>
      <w:lang w:val="ru-RU" w:eastAsia="ru-RU" w:bidi="ar-SA"/>
    </w:rPr>
  </w:style>
  <w:style w:type="character" w:styleId="965">
    <w:name w:val="ConsNormal Знак"/>
    <w:next w:val="965"/>
    <w:link w:val="964"/>
    <w:rPr>
      <w:rFonts w:ascii="Arial" w:hAnsi="Arial"/>
      <w:lang w:val="ru-RU" w:eastAsia="ru-RU" w:bidi="ar-SA"/>
    </w:rPr>
  </w:style>
  <w:style w:type="paragraph" w:styleId="966">
    <w:name w:val="Основной текст 2"/>
    <w:basedOn w:val="916"/>
    <w:next w:val="966"/>
    <w:link w:val="916"/>
    <w:pPr>
      <w:spacing w:after="120" w:line="480" w:lineRule="auto"/>
    </w:pPr>
    <w:rPr>
      <w:sz w:val="20"/>
      <w:szCs w:val="20"/>
    </w:rPr>
  </w:style>
  <w:style w:type="paragraph" w:styleId="967">
    <w:name w:val="Подраздел"/>
    <w:next w:val="967"/>
    <w:link w:val="916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val="ru-RU" w:eastAsia="ar-SA" w:bidi="ar-SA"/>
    </w:rPr>
  </w:style>
  <w:style w:type="character" w:styleId="968">
    <w:name w:val="Номер страницы"/>
    <w:basedOn w:val="926"/>
    <w:next w:val="968"/>
    <w:link w:val="916"/>
  </w:style>
  <w:style w:type="paragraph" w:styleId="969">
    <w:name w:val="Normal1"/>
    <w:next w:val="969"/>
    <w:link w:val="916"/>
    <w:pPr>
      <w:jc w:val="both"/>
      <w:spacing w:line="360" w:lineRule="auto"/>
      <w:widowControl w:val="off"/>
    </w:pPr>
    <w:rPr>
      <w:sz w:val="28"/>
      <w:lang w:val="ru-RU" w:eastAsia="ru-RU" w:bidi="ar-SA"/>
    </w:rPr>
  </w:style>
  <w:style w:type="paragraph" w:styleId="970">
    <w:name w:val="Îáû÷íûé"/>
    <w:next w:val="970"/>
    <w:link w:val="916"/>
    <w:rPr>
      <w:lang w:val="ru-RU" w:eastAsia="ru-RU" w:bidi="ar-SA"/>
    </w:rPr>
  </w:style>
  <w:style w:type="paragraph" w:styleId="971">
    <w:name w:val="FR3"/>
    <w:next w:val="971"/>
    <w:link w:val="916"/>
    <w:pPr>
      <w:ind w:left="720" w:firstLine="700"/>
      <w:jc w:val="both"/>
      <w:spacing w:line="260" w:lineRule="auto"/>
      <w:widowControl w:val="off"/>
    </w:pPr>
    <w:rPr>
      <w:sz w:val="28"/>
      <w:szCs w:val="28"/>
      <w:lang w:val="ru-RU" w:eastAsia="ru-RU" w:bidi="ar-SA"/>
    </w:rPr>
  </w:style>
  <w:style w:type="paragraph" w:styleId="972">
    <w:name w:val="1 Знак Char Знак Char Знак"/>
    <w:basedOn w:val="916"/>
    <w:next w:val="972"/>
    <w:link w:val="916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973">
    <w:name w:val="ConsPlusNormal Знак"/>
    <w:next w:val="973"/>
    <w:link w:val="953"/>
    <w:rPr>
      <w:rFonts w:ascii="Arial" w:hAnsi="Arial" w:cs="Arial"/>
      <w:lang w:val="ru-RU" w:eastAsia="ru-RU" w:bidi="ar-SA"/>
    </w:rPr>
  </w:style>
  <w:style w:type="paragraph" w:styleId="974">
    <w:name w:val="Название,Заголовок"/>
    <w:basedOn w:val="916"/>
    <w:next w:val="974"/>
    <w:link w:val="975"/>
    <w:qFormat/>
    <w:pPr>
      <w:jc w:val="center"/>
      <w:widowControl w:val="off"/>
    </w:pPr>
    <w:rPr>
      <w:sz w:val="28"/>
      <w:szCs w:val="20"/>
    </w:rPr>
  </w:style>
  <w:style w:type="character" w:styleId="975">
    <w:name w:val="Название Знак,Заголовок Знак"/>
    <w:next w:val="975"/>
    <w:link w:val="974"/>
    <w:rPr>
      <w:sz w:val="28"/>
      <w:lang w:val="ru-RU" w:eastAsia="ru-RU" w:bidi="ar-SA"/>
    </w:rPr>
  </w:style>
  <w:style w:type="paragraph" w:styleId="976">
    <w:name w:val="текст сноски"/>
    <w:basedOn w:val="916"/>
    <w:next w:val="976"/>
    <w:link w:val="916"/>
    <w:pPr>
      <w:widowControl w:val="off"/>
    </w:pPr>
    <w:rPr>
      <w:rFonts w:ascii="Gelvetsky 12pt" w:hAnsi="Gelvetsky 12pt"/>
      <w:szCs w:val="20"/>
      <w:lang w:val="en-US"/>
    </w:rPr>
  </w:style>
  <w:style w:type="paragraph" w:styleId="977">
    <w:name w:val="Указатель 1"/>
    <w:basedOn w:val="916"/>
    <w:next w:val="916"/>
    <w:link w:val="916"/>
    <w:semiHidden/>
    <w:pPr>
      <w:ind w:left="240" w:hanging="240"/>
    </w:pPr>
  </w:style>
  <w:style w:type="character" w:styleId="978">
    <w:name w:val="Текст выноски Знак"/>
    <w:next w:val="978"/>
    <w:link w:val="946"/>
    <w:semiHidden/>
    <w:rPr>
      <w:rFonts w:ascii="Tahoma" w:hAnsi="Tahoma" w:cs="Tahoma"/>
      <w:sz w:val="16"/>
      <w:szCs w:val="16"/>
      <w:lang w:val="ru-RU" w:eastAsia="ru-RU" w:bidi="ar-SA"/>
    </w:rPr>
  </w:style>
  <w:style w:type="character" w:styleId="979">
    <w:name w:val="Строгий"/>
    <w:next w:val="979"/>
    <w:link w:val="916"/>
    <w:rPr>
      <w:b/>
      <w:bCs/>
    </w:rPr>
  </w:style>
  <w:style w:type="paragraph" w:styleId="980">
    <w:name w:val="Оглавление 3"/>
    <w:basedOn w:val="916"/>
    <w:next w:val="916"/>
    <w:link w:val="916"/>
    <w:pPr>
      <w:jc w:val="both"/>
      <w:keepLines/>
      <w:keepNext/>
      <w:widowControl w:val="off"/>
      <w:tabs>
        <w:tab w:val="right" w:pos="8780" w:leader="dot"/>
      </w:tabs>
      <w:suppressLineNumbers/>
    </w:pPr>
    <w:rPr>
      <w:rFonts w:eastAsia="Lucida Sans Unicode"/>
      <w:b/>
      <w:lang w:eastAsia="ar-SA"/>
    </w:rPr>
  </w:style>
  <w:style w:type="paragraph" w:styleId="981">
    <w:name w:val="Содержимое таблицы"/>
    <w:basedOn w:val="916"/>
    <w:next w:val="981"/>
    <w:link w:val="916"/>
    <w:pPr>
      <w:suppressLineNumbers/>
    </w:pPr>
    <w:rPr>
      <w:sz w:val="20"/>
      <w:szCs w:val="20"/>
      <w:lang w:val="en-US" w:eastAsia="en-US"/>
    </w:rPr>
  </w:style>
  <w:style w:type="paragraph" w:styleId="982">
    <w:name w:val="ConsNonformat"/>
    <w:next w:val="982"/>
    <w:link w:val="916"/>
    <w:pPr>
      <w:widowControl w:val="off"/>
    </w:pPr>
    <w:rPr>
      <w:rFonts w:ascii="Consultant" w:hAnsi="Consultant" w:eastAsia="Arial"/>
      <w:lang w:val="ru-RU" w:eastAsia="ar-SA" w:bidi="ar-SA"/>
    </w:rPr>
  </w:style>
  <w:style w:type="paragraph" w:styleId="983">
    <w:name w:val="Основной текст 31"/>
    <w:basedOn w:val="916"/>
    <w:next w:val="983"/>
    <w:link w:val="916"/>
    <w:pPr>
      <w:spacing w:after="120"/>
    </w:pPr>
    <w:rPr>
      <w:sz w:val="16"/>
      <w:szCs w:val="16"/>
      <w:lang w:eastAsia="ar-SA"/>
    </w:rPr>
  </w:style>
  <w:style w:type="paragraph" w:styleId="984">
    <w:name w:val="ConsPlusNonformat"/>
    <w:next w:val="984"/>
    <w:link w:val="916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5">
    <w:name w:val="Стандартный HTML"/>
    <w:basedOn w:val="916"/>
    <w:next w:val="985"/>
    <w:link w:val="916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986">
    <w:name w:val="iceouttxt53"/>
    <w:next w:val="986"/>
    <w:link w:val="916"/>
    <w:rPr>
      <w:rFonts w:ascii="Arial" w:hAnsi="Arial" w:cs="Arial"/>
      <w:color w:val="666666"/>
      <w:sz w:val="17"/>
      <w:szCs w:val="17"/>
    </w:rPr>
  </w:style>
  <w:style w:type="paragraph" w:styleId="987">
    <w:name w:val="Знак"/>
    <w:basedOn w:val="916"/>
    <w:next w:val="987"/>
    <w:link w:val="916"/>
    <w:pPr>
      <w:ind w:firstLine="709"/>
      <w:jc w:val="both"/>
      <w:spacing w:after="160" w:line="240" w:lineRule="exact"/>
      <w:shd w:val="clear" w:color="auto" w:fill="ffffff"/>
      <w:widowControl w:val="off"/>
    </w:pPr>
    <w:rPr>
      <w:rFonts w:ascii="Verdana" w:hAnsi="Verdana"/>
      <w:sz w:val="22"/>
      <w:szCs w:val="22"/>
      <w:lang w:val="en-US" w:eastAsia="en-US"/>
    </w:rPr>
  </w:style>
  <w:style w:type="paragraph" w:styleId="988">
    <w:name w:val="Iacaaiea"/>
    <w:basedOn w:val="916"/>
    <w:next w:val="988"/>
    <w:link w:val="916"/>
    <w:pPr>
      <w:ind w:firstLine="709"/>
      <w:jc w:val="center"/>
      <w:spacing w:before="120" w:line="360" w:lineRule="atLeast"/>
      <w:shd w:val="clear" w:color="auto" w:fill="ffffff"/>
      <w:widowControl w:val="off"/>
      <w:tabs>
        <w:tab w:val="left" w:pos="426" w:leader="none"/>
      </w:tabs>
    </w:pPr>
    <w:rPr>
      <w:b/>
      <w:bCs/>
      <w:sz w:val="22"/>
      <w:szCs w:val="22"/>
    </w:rPr>
  </w:style>
  <w:style w:type="character" w:styleId="989">
    <w:name w:val="iceouttxt1"/>
    <w:next w:val="989"/>
    <w:link w:val="916"/>
    <w:rPr>
      <w:rFonts w:ascii="Arial" w:hAnsi="Arial" w:cs="Arial"/>
      <w:color w:val="666666"/>
      <w:sz w:val="17"/>
      <w:szCs w:val="17"/>
    </w:rPr>
  </w:style>
  <w:style w:type="character" w:styleId="990">
    <w:name w:val="rs_err_mark1"/>
    <w:next w:val="990"/>
    <w:link w:val="916"/>
    <w:rPr>
      <w:color w:val="ff0000"/>
    </w:rPr>
  </w:style>
  <w:style w:type="paragraph" w:styleId="991">
    <w:name w:val="Абзац списка"/>
    <w:basedOn w:val="916"/>
    <w:next w:val="991"/>
    <w:link w:val="916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92">
    <w:name w:val="Основной текст с отступом 3"/>
    <w:basedOn w:val="916"/>
    <w:next w:val="992"/>
    <w:link w:val="916"/>
    <w:pPr>
      <w:ind w:left="283"/>
      <w:spacing w:after="120"/>
    </w:pPr>
    <w:rPr>
      <w:sz w:val="16"/>
      <w:szCs w:val="16"/>
    </w:rPr>
  </w:style>
  <w:style w:type="paragraph" w:styleId="993">
    <w:name w:val="Без интервала"/>
    <w:next w:val="993"/>
    <w:link w:val="916"/>
    <w:qFormat/>
    <w:rPr>
      <w:sz w:val="24"/>
      <w:szCs w:val="24"/>
      <w:lang w:val="ru-RU" w:eastAsia="ru-RU" w:bidi="ar-SA"/>
    </w:rPr>
  </w:style>
  <w:style w:type="paragraph" w:styleId="994">
    <w:name w:val="Схема документа"/>
    <w:basedOn w:val="916"/>
    <w:next w:val="994"/>
    <w:link w:val="916"/>
    <w:semiHidden/>
    <w:unhideWhenUsed/>
    <w:rPr>
      <w:rFonts w:ascii="Tahoma" w:hAnsi="Tahoma" w:eastAsia="Calibri" w:cs="Tahoma"/>
      <w:sz w:val="16"/>
      <w:szCs w:val="16"/>
      <w:lang w:eastAsia="en-US"/>
    </w:rPr>
  </w:style>
  <w:style w:type="paragraph" w:styleId="995">
    <w:name w:val="1 Знак Знак Знак Знак"/>
    <w:basedOn w:val="916"/>
    <w:next w:val="916"/>
    <w:link w:val="916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996">
    <w:name w:val="Основной шрифт абзаца1"/>
    <w:next w:val="996"/>
    <w:link w:val="916"/>
  </w:style>
  <w:style w:type="paragraph" w:styleId="997">
    <w:name w:val="Указатель1"/>
    <w:basedOn w:val="916"/>
    <w:next w:val="997"/>
    <w:link w:val="916"/>
    <w:pPr>
      <w:suppressLineNumbers/>
    </w:pPr>
    <w:rPr>
      <w:rFonts w:ascii="Arial" w:hAnsi="Arial" w:eastAsia="Batang" w:cs="Tahoma"/>
      <w:lang w:eastAsia="ar-SA"/>
    </w:rPr>
  </w:style>
  <w:style w:type="paragraph" w:styleId="998">
    <w:name w:val="çàãîëîâîê 2"/>
    <w:basedOn w:val="916"/>
    <w:next w:val="916"/>
    <w:link w:val="916"/>
    <w:pPr>
      <w:jc w:val="both"/>
      <w:keepNext/>
    </w:pPr>
    <w:rPr>
      <w:szCs w:val="20"/>
    </w:rPr>
  </w:style>
  <w:style w:type="paragraph" w:styleId="999">
    <w:name w:val="Стиль1"/>
    <w:basedOn w:val="916"/>
    <w:next w:val="999"/>
    <w:link w:val="916"/>
    <w:pPr>
      <w:numPr>
        <w:ilvl w:val="0"/>
        <w:numId w:val="2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1000">
    <w:name w:val="Стиль2"/>
    <w:basedOn w:val="1001"/>
    <w:next w:val="1000"/>
    <w:link w:val="916"/>
    <w:pPr>
      <w:numPr>
        <w:ilvl w:val="0"/>
        <w:numId w:val="0"/>
      </w:numPr>
      <w:ind w:left="1836" w:hanging="576"/>
      <w:jc w:val="both"/>
      <w:keepLines/>
      <w:keepNext/>
      <w:spacing w:after="60"/>
      <w:widowControl w:val="off"/>
      <w:tabs>
        <w:tab w:val="num" w:pos="1836" w:leader="none"/>
      </w:tabs>
      <w:suppressLineNumbers/>
    </w:pPr>
    <w:rPr>
      <w:b/>
      <w:sz w:val="24"/>
    </w:rPr>
  </w:style>
  <w:style w:type="paragraph" w:styleId="1001">
    <w:name w:val="Нумерованный список 2"/>
    <w:basedOn w:val="916"/>
    <w:next w:val="1001"/>
    <w:link w:val="916"/>
    <w:pPr>
      <w:numPr>
        <w:ilvl w:val="0"/>
        <w:numId w:val="3"/>
      </w:numPr>
      <w:ind w:left="480" w:hanging="480"/>
      <w:tabs>
        <w:tab w:val="num" w:pos="480" w:leader="none"/>
      </w:tabs>
    </w:pPr>
    <w:rPr>
      <w:sz w:val="20"/>
      <w:szCs w:val="20"/>
    </w:rPr>
  </w:style>
  <w:style w:type="paragraph" w:styleId="1002">
    <w:name w:val="3"/>
    <w:basedOn w:val="916"/>
    <w:next w:val="1002"/>
    <w:link w:val="916"/>
    <w:pPr>
      <w:numPr>
        <w:ilvl w:val="1"/>
        <w:numId w:val="3"/>
      </w:numPr>
      <w:ind w:left="0" w:firstLine="0"/>
      <w:jc w:val="both"/>
    </w:pPr>
  </w:style>
  <w:style w:type="paragraph" w:styleId="1003">
    <w:name w:val="western"/>
    <w:basedOn w:val="916"/>
    <w:next w:val="1003"/>
    <w:link w:val="916"/>
    <w:pPr>
      <w:spacing w:before="100" w:beforeAutospacing="1" w:after="100" w:afterAutospacing="1"/>
    </w:pPr>
  </w:style>
  <w:style w:type="character" w:styleId="1004">
    <w:name w:val="highlight highlight_active"/>
    <w:basedOn w:val="926"/>
    <w:next w:val="1004"/>
    <w:link w:val="916"/>
  </w:style>
  <w:style w:type="character" w:styleId="1005">
    <w:name w:val="Просмотренная гиперссылка"/>
    <w:next w:val="1005"/>
    <w:link w:val="916"/>
    <w:rPr>
      <w:color w:val="800080"/>
      <w:u w:val="single"/>
    </w:rPr>
  </w:style>
  <w:style w:type="paragraph" w:styleId="1006">
    <w:name w:val="Подподпункт"/>
    <w:basedOn w:val="916"/>
    <w:next w:val="1006"/>
    <w:link w:val="916"/>
    <w:uiPriority w:val="99"/>
    <w:pPr>
      <w:jc w:val="both"/>
      <w:spacing w:line="360" w:lineRule="auto"/>
    </w:pPr>
    <w:rPr>
      <w:sz w:val="28"/>
      <w:szCs w:val="28"/>
    </w:rPr>
  </w:style>
  <w:style w:type="paragraph" w:styleId="1007">
    <w:name w:val=" Знак Знак5 Знак Знак Знак Знак"/>
    <w:basedOn w:val="916"/>
    <w:next w:val="1007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08">
    <w:name w:val="Пункт Договора"/>
    <w:basedOn w:val="916"/>
    <w:next w:val="1008"/>
    <w:link w:val="916"/>
    <w:pPr>
      <w:numPr>
        <w:ilvl w:val="1"/>
        <w:numId w:val="24"/>
      </w:numPr>
      <w:jc w:val="both"/>
      <w:widowControl w:val="off"/>
    </w:pPr>
    <w:rPr>
      <w:rFonts w:ascii="Cambria" w:hAnsi="Cambria" w:cs="Cambria"/>
      <w:lang w:eastAsia="en-US"/>
    </w:rPr>
  </w:style>
  <w:style w:type="paragraph" w:styleId="1009">
    <w:name w:val="Часть Договора"/>
    <w:basedOn w:val="916"/>
    <w:next w:val="1009"/>
    <w:link w:val="916"/>
    <w:pPr>
      <w:numPr>
        <w:ilvl w:val="0"/>
        <w:numId w:val="24"/>
      </w:numPr>
      <w:jc w:val="center"/>
      <w:keepNext/>
      <w:spacing w:before="240" w:after="120"/>
    </w:pPr>
    <w:rPr>
      <w:rFonts w:ascii="Cambria" w:hAnsi="Cambria" w:cs="Cambria"/>
      <w:b/>
      <w:bCs/>
      <w:lang w:eastAsia="en-US"/>
    </w:rPr>
  </w:style>
  <w:style w:type="character" w:styleId="1010">
    <w:name w:val="normal__char1"/>
    <w:next w:val="1010"/>
    <w:link w:val="916"/>
    <w:rPr>
      <w:rFonts w:ascii="Courier New" w:hAnsi="Courier New" w:cs="Courier New"/>
      <w:sz w:val="20"/>
      <w:szCs w:val="20"/>
    </w:rPr>
  </w:style>
  <w:style w:type="character" w:styleId="1011" w:default="1">
    <w:name w:val="Default Paragraph Font"/>
    <w:uiPriority w:val="1"/>
    <w:semiHidden/>
    <w:unhideWhenUsed/>
  </w:style>
  <w:style w:type="numbering" w:styleId="1012" w:default="1">
    <w:name w:val="No List"/>
    <w:uiPriority w:val="99"/>
    <w:semiHidden/>
    <w:unhideWhenUsed/>
  </w:style>
  <w:style w:type="table" w:styleId="10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ntci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образец не является обязательным для заполнения и служит примером формы</dc:title>
  <dc:creator>vorobyova</dc:creator>
  <cp:lastModifiedBy>isenova_gm</cp:lastModifiedBy>
  <cp:revision>371</cp:revision>
  <dcterms:created xsi:type="dcterms:W3CDTF">2014-03-03T09:32:00Z</dcterms:created>
  <dcterms:modified xsi:type="dcterms:W3CDTF">2026-08-05T03:12:36Z</dcterms:modified>
  <cp:version>983040</cp:version>
</cp:coreProperties>
</file>