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4D0" w:rsidRDefault="008874D0" w:rsidP="008874D0">
      <w:pPr>
        <w:widowControl w:val="0"/>
        <w:jc w:val="both"/>
        <w:rPr>
          <w:sz w:val="21"/>
          <w:szCs w:val="21"/>
        </w:rPr>
      </w:pPr>
    </w:p>
    <w:p w:rsidR="008874D0" w:rsidRDefault="008874D0" w:rsidP="008874D0">
      <w:pPr>
        <w:widowControl w:val="0"/>
        <w:jc w:val="right"/>
        <w:rPr>
          <w:b/>
          <w:sz w:val="22"/>
          <w:szCs w:val="22"/>
        </w:rPr>
      </w:pPr>
    </w:p>
    <w:p w:rsidR="008874D0" w:rsidRDefault="008874D0" w:rsidP="008874D0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ОБОСНОВАНИЕ НАЧАЛЬНОЙ (МАКСИМАЛЬНОЙ) ЦЕНЫ КОНТРАКТА </w:t>
      </w:r>
    </w:p>
    <w:p w:rsidR="008874D0" w:rsidRDefault="008874D0" w:rsidP="008874D0">
      <w:pPr>
        <w:suppressAutoHyphen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поставку почтовых бумажных маркированных конвертов, марок.</w:t>
      </w:r>
    </w:p>
    <w:p w:rsidR="008874D0" w:rsidRDefault="008874D0" w:rsidP="008874D0">
      <w:pPr>
        <w:suppressAutoHyphens/>
        <w:jc w:val="center"/>
        <w:rPr>
          <w:b/>
          <w:sz w:val="24"/>
          <w:szCs w:val="24"/>
        </w:rPr>
      </w:pPr>
    </w:p>
    <w:p w:rsidR="008874D0" w:rsidRDefault="008874D0" w:rsidP="008874D0">
      <w:pPr>
        <w:widowControl w:val="0"/>
        <w:rPr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10774" w:type="dxa"/>
        <w:tblInd w:w="-1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2"/>
        <w:gridCol w:w="7202"/>
      </w:tblGrid>
      <w:tr w:rsidR="008874D0" w:rsidTr="00751D5A">
        <w:trPr>
          <w:trHeight w:val="289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D0" w:rsidRDefault="008874D0">
            <w:pPr>
              <w:widowControl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Наименование объекта закупки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D0" w:rsidRDefault="008874D0">
            <w:pPr>
              <w:tabs>
                <w:tab w:val="left" w:pos="1031"/>
              </w:tabs>
              <w:suppressAutoHyphens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Поставка почтовых бумажных маркированных конвертов, марок.</w:t>
            </w:r>
          </w:p>
        </w:tc>
      </w:tr>
      <w:tr w:rsidR="008874D0" w:rsidTr="00751D5A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D0" w:rsidRDefault="008874D0">
            <w:pPr>
              <w:widowControl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Используемый метод определения начальной (максимальной) цены контракта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D0" w:rsidRDefault="008874D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Метод сопоставимых рыночных цен (анализ рынка) </w:t>
            </w:r>
          </w:p>
        </w:tc>
      </w:tr>
      <w:tr w:rsidR="008874D0" w:rsidTr="00751D5A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D0" w:rsidRDefault="008874D0">
            <w:pPr>
              <w:widowControl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Обоснование использования выбранного метода 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D0" w:rsidRDefault="008874D0">
            <w:pPr>
              <w:widowControl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Метод сопоставимых рыночных цен (анализ рынка) – является приоритетным методом обоснования на основании ч.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  <w:tr w:rsidR="008874D0" w:rsidTr="00751D5A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D0" w:rsidRDefault="008874D0">
            <w:pPr>
              <w:widowControl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Расчёт начальной (максимальной) цены контракта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D0" w:rsidRDefault="008874D0">
            <w:pPr>
              <w:spacing w:line="27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Начальная (максимальная) цена контракта определена в соответствии с требованиями статьи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нужд",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Методическими рекомендациями по применению методов определения начальной (максимальной) цены контракта установленных приказом Министерства экономического развития РФ № 567 от 02.10.2013 «</w:t>
            </w:r>
            <w:r>
              <w:rPr>
                <w:bCs/>
                <w:sz w:val="22"/>
                <w:szCs w:val="22"/>
                <w:lang w:eastAsia="en-US"/>
              </w:rPr>
              <w:t>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исполнителем)".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8874D0" w:rsidRDefault="008874D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Расчет начальной (максимальной) цены контракта произведен на основании сопоставления рыночных цен (анализа рынка). Источниками информации для определения начальной (максимальной) цены контракта на поставку почтовых бумажных маркированных конвертов послужили сведения, полученные </w:t>
            </w:r>
            <w:r>
              <w:rPr>
                <w:bCs/>
                <w:sz w:val="22"/>
                <w:szCs w:val="22"/>
                <w:lang w:eastAsia="en-US"/>
              </w:rPr>
              <w:t xml:space="preserve">из информационно-телекоммуникационной сети «Интернет»: </w:t>
            </w:r>
            <w:hyperlink r:id="rId4" w:history="1">
              <w:r>
                <w:rPr>
                  <w:rStyle w:val="a3"/>
                  <w:bCs/>
                  <w:sz w:val="22"/>
                  <w:szCs w:val="22"/>
                  <w:lang w:eastAsia="en-US"/>
                </w:rPr>
                <w:t>https://3angular.ru</w:t>
              </w:r>
            </w:hyperlink>
            <w:r>
              <w:rPr>
                <w:bCs/>
                <w:sz w:val="22"/>
                <w:szCs w:val="22"/>
                <w:lang w:eastAsia="en-US"/>
              </w:rPr>
              <w:t xml:space="preserve"> и на основании двух коммерческих предложений.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874D0" w:rsidTr="00751D5A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D0" w:rsidRDefault="008874D0">
            <w:pPr>
              <w:shd w:val="clear" w:color="auto" w:fill="FFFFFF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Валюта,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используемая для формирования начальной (максимальной) цены контракта и расчетов с поставщиком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0" w:rsidRDefault="008874D0">
            <w:pPr>
              <w:spacing w:line="276" w:lineRule="auto"/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Российский рубль</w:t>
            </w:r>
          </w:p>
          <w:p w:rsidR="008874D0" w:rsidRDefault="008874D0">
            <w:pPr>
              <w:shd w:val="clear" w:color="auto" w:fill="FFFFFF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874D0" w:rsidTr="00751D5A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D0" w:rsidRDefault="008874D0">
            <w:pPr>
              <w:shd w:val="clear" w:color="auto" w:fill="FFFFFF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</w:t>
            </w:r>
            <w:r>
              <w:rPr>
                <w:color w:val="FF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D0" w:rsidRDefault="008874D0">
            <w:pPr>
              <w:shd w:val="clear" w:color="auto" w:fill="FFFFFF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Не установлен</w:t>
            </w:r>
          </w:p>
        </w:tc>
      </w:tr>
    </w:tbl>
    <w:p w:rsidR="008874D0" w:rsidRDefault="008874D0" w:rsidP="008874D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</w:rPr>
      </w:pPr>
    </w:p>
    <w:p w:rsidR="008874D0" w:rsidRDefault="008874D0" w:rsidP="008874D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</w:rPr>
      </w:pPr>
    </w:p>
    <w:p w:rsidR="008874D0" w:rsidRDefault="008874D0" w:rsidP="008874D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b/>
        </w:rPr>
        <w:t>1. Результаты изучения рынка:</w:t>
      </w:r>
    </w:p>
    <w:p w:rsidR="008874D0" w:rsidRDefault="008874D0" w:rsidP="008874D0">
      <w:pPr>
        <w:rPr>
          <w:bCs/>
          <w:sz w:val="22"/>
          <w:szCs w:val="22"/>
        </w:rPr>
      </w:pPr>
    </w:p>
    <w:tbl>
      <w:tblPr>
        <w:tblW w:w="10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6"/>
        <w:gridCol w:w="850"/>
        <w:gridCol w:w="851"/>
        <w:gridCol w:w="1286"/>
        <w:gridCol w:w="1417"/>
        <w:gridCol w:w="1339"/>
        <w:gridCol w:w="1245"/>
        <w:gridCol w:w="1186"/>
      </w:tblGrid>
      <w:tr w:rsidR="008874D0" w:rsidTr="008874D0">
        <w:trPr>
          <w:trHeight w:val="1615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D0" w:rsidRDefault="008874D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Наименование товара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D0" w:rsidRDefault="008874D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Единица измерения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D0" w:rsidRDefault="008874D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Кол-во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D0" w:rsidRDefault="008874D0">
            <w:pPr>
              <w:spacing w:line="276" w:lineRule="auto"/>
              <w:jc w:val="center"/>
              <w:rPr>
                <w:bCs/>
                <w:lang w:eastAsia="en-US"/>
              </w:rPr>
            </w:pPr>
            <w:bookmarkStart w:id="0" w:name="OLE_LINK1"/>
            <w:bookmarkStart w:id="1" w:name="OLE_LINK2"/>
            <w:r>
              <w:rPr>
                <w:bCs/>
                <w:lang w:eastAsia="en-US"/>
              </w:rPr>
              <w:t>Ценовая</w:t>
            </w:r>
          </w:p>
          <w:p w:rsidR="008874D0" w:rsidRDefault="008874D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информация</w:t>
            </w:r>
            <w:bookmarkEnd w:id="0"/>
            <w:bookmarkEnd w:id="1"/>
          </w:p>
          <w:p w:rsidR="008874D0" w:rsidRDefault="008874D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  <w:p w:rsidR="008874D0" w:rsidRDefault="008874D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(руб.)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D0" w:rsidRDefault="008874D0">
            <w:pPr>
              <w:spacing w:line="276" w:lineRule="auto"/>
              <w:jc w:val="center"/>
              <w:rPr>
                <w:bCs/>
                <w:lang w:eastAsia="en-US"/>
              </w:rPr>
            </w:pPr>
            <w:bookmarkStart w:id="2" w:name="OLE_LINK3"/>
            <w:bookmarkStart w:id="3" w:name="OLE_LINK4"/>
            <w:bookmarkStart w:id="4" w:name="OLE_LINK5"/>
            <w:r>
              <w:rPr>
                <w:bCs/>
                <w:lang w:eastAsia="en-US"/>
              </w:rPr>
              <w:t>Ценовая информация</w:t>
            </w:r>
            <w:bookmarkEnd w:id="2"/>
            <w:bookmarkEnd w:id="3"/>
            <w:bookmarkEnd w:id="4"/>
          </w:p>
          <w:p w:rsidR="008874D0" w:rsidRDefault="008874D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2</w:t>
            </w:r>
          </w:p>
          <w:p w:rsidR="008874D0" w:rsidRDefault="008874D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(руб.)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D0" w:rsidRDefault="008874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Ценовая информация 2</w:t>
            </w:r>
          </w:p>
          <w:p w:rsidR="008874D0" w:rsidRDefault="008874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(руб.)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D0" w:rsidRDefault="008874D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color w:val="000000"/>
                <w:lang w:eastAsia="en-US"/>
              </w:rPr>
              <w:t>Средняя арифметическая величина цены за единицу, (руб.)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0" w:rsidRDefault="008874D0">
            <w:pPr>
              <w:spacing w:line="276" w:lineRule="auto"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  <w:t>Начальная</w:t>
            </w:r>
          </w:p>
          <w:p w:rsidR="008874D0" w:rsidRDefault="008874D0">
            <w:pPr>
              <w:spacing w:line="276" w:lineRule="auto"/>
              <w:ind w:right="175"/>
              <w:jc w:val="center"/>
              <w:rPr>
                <w:lang w:val="x-none" w:eastAsia="x-none"/>
              </w:rPr>
            </w:pPr>
            <w:r>
              <w:rPr>
                <w:lang w:eastAsia="x-none"/>
              </w:rPr>
              <w:t>(</w:t>
            </w:r>
            <w:r>
              <w:rPr>
                <w:lang w:val="x-none" w:eastAsia="x-none"/>
              </w:rPr>
              <w:t>максимальная</w:t>
            </w:r>
            <w:r>
              <w:rPr>
                <w:lang w:eastAsia="x-none"/>
              </w:rPr>
              <w:t xml:space="preserve">) </w:t>
            </w:r>
            <w:r>
              <w:rPr>
                <w:lang w:val="x-none" w:eastAsia="x-none"/>
              </w:rPr>
              <w:t>цена</w:t>
            </w:r>
          </w:p>
          <w:p w:rsidR="008874D0" w:rsidRDefault="008874D0">
            <w:pPr>
              <w:spacing w:line="276" w:lineRule="auto"/>
              <w:ind w:right="-250"/>
              <w:jc w:val="center"/>
              <w:rPr>
                <w:lang w:eastAsia="x-none"/>
              </w:rPr>
            </w:pPr>
            <w:r>
              <w:rPr>
                <w:lang w:val="x-none" w:eastAsia="x-none"/>
              </w:rPr>
              <w:t>контракта,</w:t>
            </w:r>
          </w:p>
          <w:p w:rsidR="008874D0" w:rsidRDefault="008874D0">
            <w:pPr>
              <w:spacing w:line="276" w:lineRule="auto"/>
              <w:ind w:right="-250"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(</w:t>
            </w:r>
            <w:proofErr w:type="spellStart"/>
            <w:r>
              <w:rPr>
                <w:lang w:eastAsia="x-none"/>
              </w:rPr>
              <w:t>руб</w:t>
            </w:r>
            <w:proofErr w:type="spellEnd"/>
            <w:r>
              <w:rPr>
                <w:lang w:eastAsia="x-none"/>
              </w:rPr>
              <w:t>).</w:t>
            </w:r>
          </w:p>
          <w:p w:rsidR="008874D0" w:rsidRDefault="008874D0">
            <w:pPr>
              <w:spacing w:line="276" w:lineRule="auto"/>
              <w:ind w:right="-250"/>
              <w:jc w:val="center"/>
              <w:rPr>
                <w:lang w:val="x-none" w:eastAsia="x-none"/>
              </w:rPr>
            </w:pPr>
          </w:p>
          <w:p w:rsidR="008874D0" w:rsidRDefault="008874D0">
            <w:pPr>
              <w:spacing w:line="276" w:lineRule="auto"/>
              <w:jc w:val="center"/>
              <w:rPr>
                <w:lang w:val="x-none" w:eastAsia="x-none"/>
              </w:rPr>
            </w:pPr>
          </w:p>
        </w:tc>
      </w:tr>
      <w:tr w:rsidR="008874D0" w:rsidTr="008874D0">
        <w:trPr>
          <w:trHeight w:val="1615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D0" w:rsidRDefault="008874D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Конвер</w:t>
            </w:r>
            <w:r w:rsidR="00F47E40">
              <w:rPr>
                <w:bCs/>
                <w:lang w:eastAsia="en-US"/>
              </w:rPr>
              <w:t>т почто</w:t>
            </w:r>
            <w:r w:rsidR="00751D5A">
              <w:rPr>
                <w:bCs/>
                <w:lang w:eastAsia="en-US"/>
              </w:rPr>
              <w:t>вый бумажный формата А5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4D0" w:rsidRDefault="008874D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штука</w:t>
            </w:r>
          </w:p>
          <w:p w:rsidR="008874D0" w:rsidRDefault="008874D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(шт.)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4D0" w:rsidRDefault="00751D5A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4D0" w:rsidRDefault="00F47E4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40</w:t>
            </w:r>
            <w:r w:rsidR="008874D0">
              <w:rPr>
                <w:bCs/>
                <w:lang w:eastAsia="en-US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4D0" w:rsidRDefault="00F47E4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40</w:t>
            </w:r>
            <w:r w:rsidR="008874D0">
              <w:rPr>
                <w:bCs/>
                <w:lang w:eastAsia="en-US"/>
              </w:rPr>
              <w:t>,00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4D0" w:rsidRDefault="00F47E40" w:rsidP="00F47E4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40,</w:t>
            </w:r>
            <w:r w:rsidR="008874D0">
              <w:rPr>
                <w:bCs/>
                <w:lang w:eastAsia="en-US"/>
              </w:rPr>
              <w:t>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4D0" w:rsidRDefault="00F47E4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40</w:t>
            </w:r>
            <w:r w:rsidR="008874D0">
              <w:rPr>
                <w:bCs/>
                <w:lang w:eastAsia="en-US"/>
              </w:rPr>
              <w:t>,00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4D0" w:rsidRDefault="00751D5A" w:rsidP="00F47E40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800</w:t>
            </w:r>
            <w:r w:rsidR="00F47E40">
              <w:rPr>
                <w:bCs/>
                <w:lang w:eastAsia="en-US"/>
              </w:rPr>
              <w:t>,00</w:t>
            </w:r>
          </w:p>
        </w:tc>
      </w:tr>
      <w:tr w:rsidR="008874D0" w:rsidTr="008874D0">
        <w:trPr>
          <w:trHeight w:val="1615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D0" w:rsidRDefault="008874D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Конверт почтовый бумажный  с литерой  «А»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4D0" w:rsidRDefault="008874D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штука</w:t>
            </w:r>
          </w:p>
          <w:p w:rsidR="008874D0" w:rsidRDefault="008874D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(шт.)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4D0" w:rsidRDefault="00751D5A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4D0" w:rsidRDefault="00F47E4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60</w:t>
            </w:r>
            <w:r w:rsidR="008874D0">
              <w:rPr>
                <w:bCs/>
                <w:lang w:eastAsia="en-US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4D0" w:rsidRDefault="00F47E4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60</w:t>
            </w:r>
            <w:r w:rsidR="008874D0">
              <w:rPr>
                <w:bCs/>
                <w:lang w:eastAsia="en-US"/>
              </w:rPr>
              <w:t>,00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4D0" w:rsidRDefault="00F47E40" w:rsidP="00F47E4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60.</w:t>
            </w:r>
            <w:r w:rsidR="008874D0">
              <w:rPr>
                <w:bCs/>
                <w:lang w:eastAsia="en-US"/>
              </w:rPr>
              <w:t>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4D0" w:rsidRDefault="00F47E4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60</w:t>
            </w:r>
            <w:r w:rsidR="008874D0">
              <w:rPr>
                <w:bCs/>
                <w:lang w:eastAsia="en-US"/>
              </w:rPr>
              <w:t>,00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4D0" w:rsidRDefault="00751D5A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24000</w:t>
            </w:r>
            <w:r w:rsidR="008874D0">
              <w:rPr>
                <w:bCs/>
                <w:lang w:eastAsia="en-US"/>
              </w:rPr>
              <w:t>,00</w:t>
            </w:r>
          </w:p>
        </w:tc>
      </w:tr>
      <w:tr w:rsidR="008874D0" w:rsidTr="008874D0">
        <w:trPr>
          <w:trHeight w:val="528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4D0" w:rsidRDefault="008874D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4D0" w:rsidRDefault="008874D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4D0" w:rsidRDefault="008874D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4D0" w:rsidRDefault="008874D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4D0" w:rsidRDefault="008874D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0" w:rsidRDefault="008874D0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4D0" w:rsidRDefault="008874D0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4D0" w:rsidRDefault="00751D5A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24800</w:t>
            </w:r>
            <w:r w:rsidR="00F47E40">
              <w:rPr>
                <w:b/>
                <w:bCs/>
                <w:lang w:eastAsia="en-US"/>
              </w:rPr>
              <w:t>,00</w:t>
            </w:r>
          </w:p>
        </w:tc>
      </w:tr>
    </w:tbl>
    <w:p w:rsidR="008874D0" w:rsidRDefault="008874D0" w:rsidP="008874D0">
      <w:pPr>
        <w:rPr>
          <w:sz w:val="22"/>
          <w:szCs w:val="22"/>
        </w:rPr>
      </w:pPr>
    </w:p>
    <w:p w:rsidR="008874D0" w:rsidRDefault="008874D0" w:rsidP="008874D0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</w:p>
    <w:p w:rsidR="008874D0" w:rsidRDefault="008874D0" w:rsidP="008874D0">
      <w:pPr>
        <w:rPr>
          <w:rFonts w:eastAsia="Calibri Light"/>
          <w:b/>
          <w:bCs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rFonts w:eastAsia="Calibri Light"/>
          <w:bCs/>
          <w:sz w:val="22"/>
          <w:szCs w:val="22"/>
        </w:rPr>
        <w:t xml:space="preserve">В целях определения однородности совокупности значений выявленных цен, используемых в расчете начальной (максимальной) цены контракта определен </w:t>
      </w:r>
      <w:r>
        <w:rPr>
          <w:rFonts w:eastAsia="Calibri Light"/>
          <w:b/>
          <w:bCs/>
          <w:sz w:val="22"/>
          <w:szCs w:val="22"/>
        </w:rPr>
        <w:t>коэффициент вариации:</w:t>
      </w:r>
    </w:p>
    <w:p w:rsidR="008874D0" w:rsidRDefault="008874D0" w:rsidP="008874D0">
      <w:pPr>
        <w:autoSpaceDE w:val="0"/>
        <w:autoSpaceDN w:val="0"/>
        <w:adjustRightInd w:val="0"/>
        <w:rPr>
          <w:rFonts w:eastAsia="Calibri Light"/>
          <w:bCs/>
          <w:sz w:val="22"/>
          <w:szCs w:val="22"/>
        </w:rPr>
      </w:pPr>
      <w:r>
        <w:rPr>
          <w:rFonts w:eastAsia="Calibri Light"/>
          <w:bCs/>
          <w:position w:val="-28"/>
          <w:sz w:val="22"/>
          <w:szCs w:val="22"/>
        </w:rPr>
        <w:t xml:space="preserve">         </w:t>
      </w:r>
      <w:r>
        <w:rPr>
          <w:rFonts w:eastAsia="Calibri Light"/>
          <w:noProof/>
          <w:position w:val="-28"/>
          <w:sz w:val="22"/>
          <w:szCs w:val="22"/>
        </w:rPr>
        <w:drawing>
          <wp:inline distT="0" distB="0" distL="0" distR="0">
            <wp:extent cx="1209675" cy="4191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 Light"/>
          <w:bCs/>
          <w:sz w:val="22"/>
          <w:szCs w:val="22"/>
        </w:rPr>
        <w:t>,</w:t>
      </w:r>
    </w:p>
    <w:p w:rsidR="008874D0" w:rsidRDefault="008874D0" w:rsidP="008874D0">
      <w:pPr>
        <w:autoSpaceDE w:val="0"/>
        <w:autoSpaceDN w:val="0"/>
        <w:adjustRightInd w:val="0"/>
        <w:ind w:firstLine="540"/>
        <w:jc w:val="both"/>
        <w:rPr>
          <w:rFonts w:eastAsia="Calibri Light"/>
          <w:bCs/>
          <w:sz w:val="22"/>
          <w:szCs w:val="22"/>
        </w:rPr>
      </w:pPr>
      <w:r>
        <w:rPr>
          <w:rFonts w:eastAsia="Calibri Light"/>
          <w:bCs/>
          <w:sz w:val="22"/>
          <w:szCs w:val="22"/>
        </w:rPr>
        <w:t>где:</w:t>
      </w:r>
    </w:p>
    <w:p w:rsidR="008874D0" w:rsidRDefault="008874D0" w:rsidP="008874D0">
      <w:pPr>
        <w:autoSpaceDE w:val="0"/>
        <w:autoSpaceDN w:val="0"/>
        <w:adjustRightInd w:val="0"/>
        <w:ind w:firstLine="540"/>
        <w:jc w:val="both"/>
        <w:rPr>
          <w:rFonts w:eastAsia="Calibri Light"/>
          <w:bCs/>
          <w:sz w:val="22"/>
          <w:szCs w:val="22"/>
        </w:rPr>
      </w:pPr>
      <w:r>
        <w:rPr>
          <w:rFonts w:eastAsia="Calibri Light"/>
          <w:bCs/>
          <w:sz w:val="22"/>
          <w:szCs w:val="22"/>
        </w:rPr>
        <w:t>V - коэффициент вариации;</w:t>
      </w:r>
    </w:p>
    <w:p w:rsidR="008874D0" w:rsidRDefault="008874D0" w:rsidP="008874D0">
      <w:pPr>
        <w:autoSpaceDE w:val="0"/>
        <w:autoSpaceDN w:val="0"/>
        <w:adjustRightInd w:val="0"/>
        <w:ind w:firstLine="540"/>
        <w:jc w:val="both"/>
        <w:rPr>
          <w:rFonts w:eastAsia="Calibri Light"/>
          <w:bCs/>
          <w:sz w:val="22"/>
          <w:szCs w:val="22"/>
        </w:rPr>
      </w:pPr>
      <w:r>
        <w:rPr>
          <w:rFonts w:eastAsia="Calibri Light"/>
          <w:noProof/>
          <w:position w:val="-26"/>
          <w:sz w:val="22"/>
          <w:szCs w:val="22"/>
        </w:rPr>
        <w:drawing>
          <wp:inline distT="0" distB="0" distL="0" distR="0">
            <wp:extent cx="1590675" cy="5429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 Light"/>
          <w:bCs/>
          <w:sz w:val="22"/>
          <w:szCs w:val="22"/>
        </w:rPr>
        <w:t xml:space="preserve"> - среднее квадратичное отклонение;</w:t>
      </w:r>
    </w:p>
    <w:p w:rsidR="008874D0" w:rsidRDefault="008874D0" w:rsidP="008874D0">
      <w:pPr>
        <w:autoSpaceDE w:val="0"/>
        <w:autoSpaceDN w:val="0"/>
        <w:adjustRightInd w:val="0"/>
        <w:ind w:firstLine="540"/>
        <w:jc w:val="both"/>
        <w:rPr>
          <w:rFonts w:eastAsia="Calibri Light"/>
          <w:bCs/>
          <w:sz w:val="22"/>
          <w:szCs w:val="22"/>
        </w:rPr>
      </w:pPr>
      <w:r>
        <w:rPr>
          <w:rFonts w:eastAsia="Calibri Light"/>
          <w:noProof/>
          <w:position w:val="-12"/>
          <w:sz w:val="22"/>
          <w:szCs w:val="22"/>
        </w:rPr>
        <w:drawing>
          <wp:inline distT="0" distB="0" distL="0" distR="0">
            <wp:extent cx="152400" cy="228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 Light"/>
          <w:bCs/>
          <w:sz w:val="22"/>
          <w:szCs w:val="22"/>
        </w:rPr>
        <w:t xml:space="preserve"> - цена единицы товара, указанная в источнике с номером i;</w:t>
      </w:r>
    </w:p>
    <w:p w:rsidR="008874D0" w:rsidRDefault="008874D0" w:rsidP="008874D0">
      <w:pPr>
        <w:autoSpaceDE w:val="0"/>
        <w:autoSpaceDN w:val="0"/>
        <w:adjustRightInd w:val="0"/>
        <w:ind w:firstLine="540"/>
        <w:jc w:val="both"/>
        <w:rPr>
          <w:rFonts w:eastAsia="Calibri Light"/>
          <w:bCs/>
          <w:sz w:val="22"/>
          <w:szCs w:val="22"/>
        </w:rPr>
      </w:pPr>
      <w:r>
        <w:rPr>
          <w:rFonts w:eastAsia="Calibri Light"/>
          <w:bCs/>
          <w:sz w:val="22"/>
          <w:szCs w:val="22"/>
        </w:rPr>
        <w:t>&lt;ц&gt; - средняя арифметическая величина цены единицы товара;</w:t>
      </w:r>
    </w:p>
    <w:p w:rsidR="008874D0" w:rsidRDefault="008874D0" w:rsidP="008874D0">
      <w:pPr>
        <w:autoSpaceDE w:val="0"/>
        <w:autoSpaceDN w:val="0"/>
        <w:adjustRightInd w:val="0"/>
        <w:ind w:firstLine="540"/>
        <w:jc w:val="both"/>
        <w:rPr>
          <w:rFonts w:eastAsia="Calibri Light"/>
          <w:bCs/>
          <w:sz w:val="22"/>
          <w:szCs w:val="22"/>
        </w:rPr>
      </w:pPr>
      <w:r>
        <w:rPr>
          <w:rFonts w:eastAsia="Calibri Light"/>
          <w:bCs/>
          <w:sz w:val="22"/>
          <w:szCs w:val="22"/>
        </w:rPr>
        <w:t>n - количество значений, используемых в расчете.</w:t>
      </w:r>
    </w:p>
    <w:p w:rsidR="008874D0" w:rsidRDefault="008874D0" w:rsidP="008874D0">
      <w:pPr>
        <w:autoSpaceDE w:val="0"/>
        <w:autoSpaceDN w:val="0"/>
        <w:adjustRightInd w:val="0"/>
        <w:ind w:firstLine="540"/>
        <w:jc w:val="both"/>
        <w:rPr>
          <w:rFonts w:eastAsia="Calibri Light"/>
          <w:bCs/>
          <w:sz w:val="22"/>
          <w:szCs w:val="22"/>
        </w:rPr>
      </w:pPr>
      <w:r>
        <w:rPr>
          <w:rFonts w:eastAsia="Calibri Light"/>
          <w:bCs/>
          <w:sz w:val="22"/>
          <w:szCs w:val="22"/>
        </w:rPr>
        <w:t xml:space="preserve">Коэффициент вариации цены не превышает 33%, поэтому совокупность значений, используемых в расчете, является однородной. </w:t>
      </w:r>
    </w:p>
    <w:p w:rsidR="008874D0" w:rsidRDefault="008874D0" w:rsidP="008874D0">
      <w:pPr>
        <w:autoSpaceDE w:val="0"/>
        <w:autoSpaceDN w:val="0"/>
        <w:adjustRightInd w:val="0"/>
        <w:ind w:firstLine="540"/>
        <w:jc w:val="both"/>
        <w:rPr>
          <w:rFonts w:eastAsia="Calibri Light"/>
          <w:bCs/>
          <w:sz w:val="22"/>
          <w:szCs w:val="22"/>
        </w:rPr>
      </w:pPr>
      <w:r>
        <w:rPr>
          <w:rFonts w:eastAsia="Calibri Light"/>
          <w:b/>
          <w:bCs/>
          <w:sz w:val="22"/>
          <w:szCs w:val="22"/>
        </w:rPr>
        <w:t>Начальная максимальная цена контракта (НМЦК)</w:t>
      </w:r>
      <w:r>
        <w:rPr>
          <w:rFonts w:eastAsia="Calibri Light"/>
          <w:bCs/>
          <w:sz w:val="22"/>
          <w:szCs w:val="22"/>
        </w:rPr>
        <w:t xml:space="preserve"> определена по формуле:</w:t>
      </w:r>
    </w:p>
    <w:p w:rsidR="008874D0" w:rsidRDefault="008874D0" w:rsidP="008874D0">
      <w:pPr>
        <w:autoSpaceDE w:val="0"/>
        <w:autoSpaceDN w:val="0"/>
        <w:adjustRightInd w:val="0"/>
        <w:ind w:firstLine="540"/>
        <w:jc w:val="both"/>
        <w:rPr>
          <w:rFonts w:eastAsia="Calibri Light"/>
          <w:bCs/>
          <w:sz w:val="22"/>
          <w:szCs w:val="22"/>
        </w:rPr>
      </w:pPr>
      <w:r>
        <w:rPr>
          <w:rFonts w:eastAsia="Calibri Light"/>
          <w:noProof/>
          <w:sz w:val="22"/>
          <w:szCs w:val="22"/>
        </w:rPr>
        <w:drawing>
          <wp:inline distT="0" distB="0" distL="0" distR="0">
            <wp:extent cx="1628775" cy="4000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 Light"/>
          <w:bCs/>
          <w:sz w:val="22"/>
          <w:szCs w:val="22"/>
        </w:rPr>
        <w:t>,</w:t>
      </w:r>
    </w:p>
    <w:p w:rsidR="008874D0" w:rsidRDefault="008874D0" w:rsidP="008874D0">
      <w:pPr>
        <w:autoSpaceDE w:val="0"/>
        <w:autoSpaceDN w:val="0"/>
        <w:adjustRightInd w:val="0"/>
        <w:ind w:firstLine="540"/>
        <w:jc w:val="both"/>
        <w:rPr>
          <w:rFonts w:eastAsia="Calibri Light"/>
          <w:bCs/>
          <w:sz w:val="22"/>
          <w:szCs w:val="22"/>
        </w:rPr>
      </w:pPr>
      <w:r>
        <w:rPr>
          <w:rFonts w:eastAsia="Calibri Light"/>
          <w:bCs/>
          <w:sz w:val="22"/>
          <w:szCs w:val="22"/>
        </w:rPr>
        <w:t>где:</w:t>
      </w:r>
    </w:p>
    <w:p w:rsidR="008874D0" w:rsidRDefault="008874D0" w:rsidP="008874D0">
      <w:pPr>
        <w:autoSpaceDE w:val="0"/>
        <w:autoSpaceDN w:val="0"/>
        <w:adjustRightInd w:val="0"/>
        <w:ind w:firstLine="540"/>
        <w:jc w:val="both"/>
        <w:rPr>
          <w:rFonts w:eastAsia="Calibri Light"/>
          <w:bCs/>
          <w:sz w:val="22"/>
          <w:szCs w:val="22"/>
        </w:rPr>
      </w:pPr>
      <w:r>
        <w:rPr>
          <w:rFonts w:eastAsia="Calibri Light"/>
          <w:noProof/>
          <w:sz w:val="22"/>
          <w:szCs w:val="22"/>
        </w:rPr>
        <w:drawing>
          <wp:inline distT="0" distB="0" distL="0" distR="0">
            <wp:extent cx="676275" cy="228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 Light"/>
          <w:bCs/>
          <w:sz w:val="22"/>
          <w:szCs w:val="22"/>
        </w:rPr>
        <w:t xml:space="preserve"> - НМЦК, определяемая методом сопоставимых рыночных цен (анализа рынка);</w:t>
      </w:r>
    </w:p>
    <w:p w:rsidR="008874D0" w:rsidRDefault="008874D0" w:rsidP="008874D0">
      <w:pPr>
        <w:autoSpaceDE w:val="0"/>
        <w:autoSpaceDN w:val="0"/>
        <w:adjustRightInd w:val="0"/>
        <w:ind w:firstLine="540"/>
        <w:jc w:val="both"/>
        <w:rPr>
          <w:rFonts w:eastAsia="Calibri Light"/>
          <w:bCs/>
          <w:sz w:val="22"/>
          <w:szCs w:val="22"/>
        </w:rPr>
      </w:pPr>
      <w:r>
        <w:rPr>
          <w:rFonts w:eastAsia="Calibri Light"/>
          <w:bCs/>
          <w:sz w:val="22"/>
          <w:szCs w:val="22"/>
        </w:rPr>
        <w:t>v – количество закупаемого товара;</w:t>
      </w:r>
    </w:p>
    <w:p w:rsidR="008874D0" w:rsidRDefault="008874D0" w:rsidP="008874D0">
      <w:pPr>
        <w:autoSpaceDE w:val="0"/>
        <w:autoSpaceDN w:val="0"/>
        <w:adjustRightInd w:val="0"/>
        <w:ind w:firstLine="540"/>
        <w:jc w:val="both"/>
        <w:rPr>
          <w:rFonts w:eastAsia="Calibri Light"/>
          <w:bCs/>
          <w:sz w:val="22"/>
          <w:szCs w:val="22"/>
        </w:rPr>
      </w:pPr>
      <w:r>
        <w:rPr>
          <w:rFonts w:eastAsia="Calibri Light"/>
          <w:bCs/>
          <w:sz w:val="22"/>
          <w:szCs w:val="22"/>
        </w:rPr>
        <w:t>n - количество значений, используемых в расчете;</w:t>
      </w:r>
    </w:p>
    <w:p w:rsidR="008874D0" w:rsidRDefault="008874D0" w:rsidP="008874D0">
      <w:pPr>
        <w:autoSpaceDE w:val="0"/>
        <w:autoSpaceDN w:val="0"/>
        <w:adjustRightInd w:val="0"/>
        <w:ind w:firstLine="540"/>
        <w:jc w:val="both"/>
        <w:rPr>
          <w:rFonts w:eastAsia="Calibri Light"/>
          <w:bCs/>
          <w:sz w:val="22"/>
          <w:szCs w:val="22"/>
        </w:rPr>
      </w:pPr>
      <w:r>
        <w:rPr>
          <w:rFonts w:eastAsia="Calibri Light"/>
          <w:bCs/>
          <w:sz w:val="22"/>
          <w:szCs w:val="22"/>
        </w:rPr>
        <w:t>i - номер источника ценовой информации;</w:t>
      </w:r>
    </w:p>
    <w:p w:rsidR="008874D0" w:rsidRDefault="008874D0" w:rsidP="008874D0">
      <w:pPr>
        <w:autoSpaceDE w:val="0"/>
        <w:autoSpaceDN w:val="0"/>
        <w:adjustRightInd w:val="0"/>
        <w:ind w:firstLine="540"/>
        <w:jc w:val="both"/>
        <w:rPr>
          <w:rFonts w:eastAsia="Calibri Light"/>
          <w:bCs/>
          <w:sz w:val="22"/>
          <w:szCs w:val="22"/>
        </w:rPr>
      </w:pPr>
      <w:r>
        <w:rPr>
          <w:rFonts w:eastAsia="Calibri Light"/>
          <w:noProof/>
          <w:sz w:val="22"/>
          <w:szCs w:val="22"/>
        </w:rPr>
        <w:drawing>
          <wp:inline distT="0" distB="0" distL="0" distR="0">
            <wp:extent cx="1524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 Light"/>
          <w:bCs/>
          <w:sz w:val="22"/>
          <w:szCs w:val="22"/>
        </w:rPr>
        <w:t xml:space="preserve"> - цена единицы товара, представленная в источнике с номером i,</w:t>
      </w:r>
    </w:p>
    <w:p w:rsidR="008874D0" w:rsidRDefault="00751D5A" w:rsidP="008874D0">
      <w:pPr>
        <w:ind w:firstLine="720"/>
        <w:rPr>
          <w:rFonts w:eastAsia="Calibri Light"/>
          <w:b/>
          <w:sz w:val="22"/>
          <w:szCs w:val="22"/>
        </w:rPr>
      </w:pPr>
      <w:r>
        <w:rPr>
          <w:rFonts w:eastAsia="Calibri Light"/>
          <w:b/>
          <w:sz w:val="22"/>
          <w:szCs w:val="22"/>
        </w:rPr>
        <w:t>24800,00  (двадцать четыре тысячи восемьсот</w:t>
      </w:r>
      <w:bookmarkStart w:id="5" w:name="_GoBack"/>
      <w:bookmarkEnd w:id="5"/>
      <w:r w:rsidR="008874D0">
        <w:rPr>
          <w:rFonts w:eastAsia="Calibri Light"/>
          <w:b/>
          <w:sz w:val="22"/>
          <w:szCs w:val="22"/>
        </w:rPr>
        <w:t>) рублей  00 копеек.</w:t>
      </w:r>
    </w:p>
    <w:p w:rsidR="00877C86" w:rsidRDefault="00751D5A"/>
    <w:sectPr w:rsidR="00877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32B"/>
    <w:rsid w:val="0007232B"/>
    <w:rsid w:val="00177447"/>
    <w:rsid w:val="0064543F"/>
    <w:rsid w:val="00751D5A"/>
    <w:rsid w:val="008874D0"/>
    <w:rsid w:val="00F4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F7B5F"/>
  <w15:docId w15:val="{79F0D8F1-68E1-4C07-815F-FE29D825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4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874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874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74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8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4" Type="http://schemas.openxmlformats.org/officeDocument/2006/relationships/hyperlink" Target="https://3angular.ru" TargetMode="Externa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KorytnayaEG</dc:creator>
  <cp:keywords/>
  <dc:description/>
  <cp:lastModifiedBy>AntonovPS</cp:lastModifiedBy>
  <cp:revision>4</cp:revision>
  <dcterms:created xsi:type="dcterms:W3CDTF">2025-01-16T11:03:00Z</dcterms:created>
  <dcterms:modified xsi:type="dcterms:W3CDTF">2026-08-24T06:46:00Z</dcterms:modified>
</cp:coreProperties>
</file>