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_rels/document.xml.rels" ContentType="application/vnd.openxmlformats-package.relationships+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FR1"/>
        <w:tabs>
          <w:tab w:val="clear" w:pos="708"/>
          <w:tab w:val="left" w:pos="897" w:leader="none"/>
        </w:tabs>
        <w:spacing w:before="0" w:after="0"/>
        <w:ind w:left="0" w:hanging="0"/>
        <w:jc w:val="center"/>
        <w:rPr>
          <w:sz w:val="26"/>
          <w:szCs w:val="26"/>
        </w:rPr>
      </w:pPr>
      <w:r>
        <w:rPr>
          <w:i/>
          <w:sz w:val="26"/>
          <w:szCs w:val="26"/>
        </w:rPr>
        <w:t>(ПРОЕКТ КОНТРАКТА)</w:t>
      </w:r>
    </w:p>
    <w:p>
      <w:pPr>
        <w:pStyle w:val="1"/>
        <w:numPr>
          <w:ilvl w:val="0"/>
          <w:numId w:val="0"/>
        </w:numPr>
        <w:spacing w:before="0" w:after="0"/>
        <w:ind w:left="0" w:hanging="0"/>
        <w:jc w:val="center"/>
        <w:rPr>
          <w:rFonts w:ascii="Times New Roman" w:hAnsi="Times New Roman" w:cs="Times New Roman"/>
          <w:sz w:val="26"/>
          <w:szCs w:val="26"/>
        </w:rPr>
      </w:pPr>
      <w:r>
        <w:rPr>
          <w:rFonts w:cs="Times New Roman" w:ascii="Times New Roman" w:hAnsi="Times New Roman"/>
          <w:sz w:val="26"/>
          <w:szCs w:val="26"/>
        </w:rPr>
        <w:t>ГОСУДАРСТВЕННЫЙ КОНТРАКТ №</w:t>
      </w:r>
    </w:p>
    <w:p>
      <w:pPr>
        <w:pStyle w:val="Normal"/>
        <w:spacing w:lineRule="auto" w:line="240" w:before="0" w:after="0"/>
        <w:ind w:left="0" w:firstLine="709"/>
        <w:jc w:val="center"/>
        <w:rPr>
          <w:rFonts w:ascii="Times New Roman" w:hAnsi="Times New Roman" w:cs="Times New Roman"/>
          <w:sz w:val="26"/>
          <w:szCs w:val="26"/>
        </w:rPr>
      </w:pPr>
      <w:r>
        <w:rPr>
          <w:rFonts w:cs="Times New Roman"/>
          <w:sz w:val="26"/>
          <w:szCs w:val="26"/>
        </w:rPr>
      </w:r>
    </w:p>
    <w:p>
      <w:pPr>
        <w:pStyle w:val="NoSpacing"/>
        <w:ind w:left="0" w:hanging="0"/>
        <w:jc w:val="center"/>
        <w:rPr>
          <w:bCs/>
          <w:color w:val="000000"/>
          <w:sz w:val="26"/>
          <w:szCs w:val="26"/>
        </w:rPr>
      </w:pPr>
      <w:r>
        <w:rPr>
          <w:sz w:val="26"/>
          <w:szCs w:val="26"/>
        </w:rPr>
        <w:t>Идентификационный код закупки –</w:t>
      </w:r>
    </w:p>
    <w:p>
      <w:pPr>
        <w:pStyle w:val="Normal"/>
        <w:tabs>
          <w:tab w:val="clear" w:pos="708"/>
          <w:tab w:val="left" w:pos="7230" w:leader="none"/>
        </w:tabs>
        <w:spacing w:lineRule="auto" w:line="240" w:before="0" w:after="0"/>
        <w:ind w:left="0" w:firstLine="709"/>
        <w:rPr>
          <w:sz w:val="26"/>
          <w:szCs w:val="26"/>
          <w:lang w:eastAsia="ru-RU"/>
        </w:rPr>
      </w:pPr>
      <w:r>
        <w:rPr>
          <w:bCs/>
          <w:color w:val="000000"/>
          <w:sz w:val="26"/>
          <w:szCs w:val="26"/>
        </w:rPr>
        <w:tab/>
      </w:r>
    </w:p>
    <w:p>
      <w:pPr>
        <w:pStyle w:val="Normal"/>
        <w:spacing w:lineRule="auto" w:line="240" w:before="0" w:after="0"/>
        <w:ind w:left="0" w:hanging="0"/>
        <w:jc w:val="both"/>
        <w:rPr/>
      </w:pPr>
      <w:r>
        <w:rPr>
          <w:sz w:val="26"/>
          <w:szCs w:val="26"/>
          <w:lang w:eastAsia="ru-RU"/>
        </w:rPr>
        <w:t xml:space="preserve">«___» _________ 2026 г. </w:t>
        <w:tab/>
        <w:tab/>
        <w:tab/>
        <w:tab/>
        <w:tab/>
        <w:tab/>
        <w:tab/>
        <w:t xml:space="preserve">           г. Архангельск</w:t>
      </w:r>
      <w:r>
        <w:rPr>
          <w:sz w:val="26"/>
          <w:szCs w:val="26"/>
        </w:rPr>
        <w:t xml:space="preserve"> </w:t>
      </w:r>
    </w:p>
    <w:p>
      <w:pPr>
        <w:pStyle w:val="Normal"/>
        <w:spacing w:lineRule="auto" w:line="240" w:before="0" w:after="0"/>
        <w:ind w:left="0" w:hanging="0"/>
        <w:jc w:val="both"/>
        <w:rPr>
          <w:sz w:val="26"/>
          <w:szCs w:val="26"/>
        </w:rPr>
      </w:pPr>
      <w:r>
        <w:rPr>
          <w:sz w:val="26"/>
          <w:szCs w:val="26"/>
        </w:rPr>
      </w:r>
    </w:p>
    <w:p>
      <w:pPr>
        <w:pStyle w:val="Normal"/>
        <w:spacing w:lineRule="auto" w:line="240" w:before="0" w:after="0"/>
        <w:ind w:left="0" w:firstLine="709"/>
        <w:jc w:val="both"/>
        <w:rPr>
          <w:sz w:val="26"/>
          <w:szCs w:val="26"/>
        </w:rPr>
      </w:pPr>
      <w:r>
        <w:rPr>
          <w:color w:val="000000"/>
          <w:sz w:val="26"/>
          <w:szCs w:val="26"/>
          <w:lang w:eastAsia="ru-RU"/>
        </w:rPr>
        <w:t xml:space="preserve">Федеральное казенное учреждение «Главное управление по обеспечению деятельности оперативных подразделений Федеральной службы исполнения наказаний» (далее - ФКУ ГУОДОП ФСИН России), именуемое в дальнейшем «Государственный заказчик», в лице ______ начальника Управления </w:t>
        <w:br/>
        <w:t xml:space="preserve">по Архангельской области федерального казенного учреждения «Главное управление по обеспечению деятельности оперативных подразделений Федеральной службы исполнения наказаний» (далее - Управление по Архангельской области ФКУ ГУОДОП ФСИН России) </w:t>
      </w:r>
      <w:r>
        <w:rPr>
          <w:sz w:val="26"/>
          <w:szCs w:val="26"/>
          <w:lang w:eastAsia="ru-RU"/>
        </w:rPr>
        <w:t xml:space="preserve">___________________________, действующего </w:t>
        <w:br/>
        <w:t>на основании Положения и доверенности от _________ № ______</w:t>
      </w:r>
      <w:r>
        <w:rPr>
          <w:color w:val="000000"/>
          <w:sz w:val="26"/>
          <w:szCs w:val="26"/>
          <w:lang w:eastAsia="ru-RU"/>
        </w:rPr>
        <w:t xml:space="preserve">, в целях обеспечения государственных </w:t>
      </w:r>
      <w:r>
        <w:rPr>
          <w:sz w:val="26"/>
          <w:szCs w:val="26"/>
          <w:lang w:eastAsia="ru-RU"/>
        </w:rPr>
        <w:t xml:space="preserve">нужд, и выступающее от имени Российской Федерации, с одной стороны, и ____________________, именуемое в дальнейшем «Поставщик», в лице ______________________, действующего на основании _________________________________, с другой стороны, в дальнейшем вместе именуемые «Стороны», а по отдельности – «Сторона», </w:t>
      </w:r>
      <w:r>
        <w:rPr>
          <w:sz w:val="26"/>
          <w:szCs w:val="26"/>
        </w:rPr>
        <w:t xml:space="preserve">на основании итогового протокола закупочной сессии № _________ от __________ на ЕАТ «Березка», </w:t>
        <w:br/>
        <w:t xml:space="preserve">в соответствии с п. 4 ч. 1 ст. 93 Федерального закона от 05.04.2013 № 44-ФЗ </w:t>
        <w:br/>
        <w:t>«О контрактной системе в сфере закупок товаров, работ, услуг для обеспечения государственных и муниципальных нужд» (далее – Закон 44-ФЗ), заключили настоящий Государственный контракт (далее – Контракт)  о нижеследующем:</w:t>
      </w:r>
    </w:p>
    <w:p>
      <w:pPr>
        <w:pStyle w:val="Normal"/>
        <w:spacing w:lineRule="auto" w:line="240" w:before="0" w:after="0"/>
        <w:ind w:left="0" w:firstLine="709"/>
        <w:jc w:val="both"/>
        <w:rPr>
          <w:sz w:val="26"/>
          <w:szCs w:val="26"/>
        </w:rPr>
      </w:pPr>
      <w:r>
        <w:rPr>
          <w:sz w:val="26"/>
          <w:szCs w:val="26"/>
        </w:rPr>
      </w:r>
    </w:p>
    <w:p>
      <w:pPr>
        <w:pStyle w:val="Normal"/>
        <w:widowControl w:val="false"/>
        <w:numPr>
          <w:ilvl w:val="0"/>
          <w:numId w:val="2"/>
        </w:numPr>
        <w:tabs>
          <w:tab w:val="clear" w:pos="708"/>
        </w:tabs>
        <w:spacing w:lineRule="auto" w:line="240" w:before="0" w:after="0"/>
        <w:ind w:left="0" w:hanging="0"/>
        <w:jc w:val="center"/>
        <w:rPr>
          <w:spacing w:val="-4"/>
          <w:sz w:val="26"/>
          <w:szCs w:val="26"/>
        </w:rPr>
      </w:pPr>
      <w:r>
        <w:rPr>
          <w:b/>
          <w:bCs/>
          <w:sz w:val="26"/>
          <w:szCs w:val="26"/>
        </w:rPr>
        <w:t>Предмет Контракта</w:t>
      </w:r>
    </w:p>
    <w:p>
      <w:pPr>
        <w:pStyle w:val="Normal"/>
        <w:widowControl w:val="false"/>
        <w:spacing w:lineRule="auto" w:line="240" w:before="0" w:after="0"/>
        <w:ind w:left="0" w:firstLine="709"/>
        <w:jc w:val="both"/>
        <w:rPr>
          <w:spacing w:val="-4"/>
          <w:sz w:val="26"/>
          <w:szCs w:val="26"/>
        </w:rPr>
      </w:pPr>
      <w:r>
        <w:rPr>
          <w:spacing w:val="-4"/>
          <w:sz w:val="26"/>
          <w:szCs w:val="26"/>
        </w:rPr>
        <w:t xml:space="preserve">Поставщик обязуется осуществить поставку </w:t>
      </w:r>
      <w:r>
        <w:rPr>
          <w:bCs/>
          <w:sz w:val="26"/>
          <w:szCs w:val="26"/>
          <w:shd w:fill="FFFFFF" w:val="clear"/>
          <w:lang w:eastAsia="ru-RU" w:bidi="ru-RU"/>
        </w:rPr>
        <w:t>автомобильных аккумуляторных батарей</w:t>
      </w:r>
      <w:r>
        <w:rPr>
          <w:bCs/>
          <w:color w:val="FF0000"/>
          <w:sz w:val="26"/>
          <w:szCs w:val="26"/>
          <w:shd w:fill="FFFFFF" w:val="clear"/>
          <w:lang w:eastAsia="ru-RU" w:bidi="ru-RU"/>
        </w:rPr>
        <w:t xml:space="preserve">  </w:t>
      </w:r>
      <w:r>
        <w:rPr>
          <w:spacing w:val="-4"/>
          <w:sz w:val="26"/>
          <w:szCs w:val="26"/>
        </w:rPr>
        <w:t xml:space="preserve">(далее – Товар) в соответствии с Техническим заданием (Приложение </w:t>
        <w:br/>
        <w:t>к Контракту) в порядке и сроки, предусмотренные Контрактом, а Государственный заказчик обязуется принять и оплатить Товар в соответствии с условиями Контракта.</w:t>
      </w:r>
    </w:p>
    <w:p>
      <w:pPr>
        <w:pStyle w:val="Normal"/>
        <w:tabs>
          <w:tab w:val="clear" w:pos="708"/>
          <w:tab w:val="left" w:pos="-7797" w:leader="none"/>
        </w:tabs>
        <w:spacing w:lineRule="auto" w:line="240" w:before="0" w:after="0"/>
        <w:ind w:left="0" w:firstLine="709"/>
        <w:jc w:val="both"/>
        <w:rPr>
          <w:spacing w:val="-4"/>
          <w:sz w:val="26"/>
          <w:szCs w:val="26"/>
        </w:rPr>
      </w:pPr>
      <w:r>
        <w:rPr>
          <w:spacing w:val="-4"/>
          <w:sz w:val="26"/>
          <w:szCs w:val="26"/>
        </w:rPr>
      </w:r>
    </w:p>
    <w:p>
      <w:pPr>
        <w:pStyle w:val="Normal"/>
        <w:widowControl w:val="false"/>
        <w:numPr>
          <w:ilvl w:val="0"/>
          <w:numId w:val="2"/>
        </w:numPr>
        <w:tabs>
          <w:tab w:val="clear" w:pos="708"/>
        </w:tabs>
        <w:spacing w:lineRule="auto" w:line="240" w:before="0" w:after="0"/>
        <w:ind w:left="0" w:hanging="0"/>
        <w:jc w:val="center"/>
        <w:rPr>
          <w:b/>
          <w:sz w:val="26"/>
          <w:szCs w:val="26"/>
        </w:rPr>
      </w:pPr>
      <w:r>
        <w:rPr>
          <w:b/>
          <w:bCs/>
          <w:color w:val="000000"/>
          <w:sz w:val="26"/>
          <w:szCs w:val="26"/>
        </w:rPr>
        <w:t>Права и обязанности Сторон</w:t>
      </w:r>
    </w:p>
    <w:p>
      <w:pPr>
        <w:pStyle w:val="Normal"/>
        <w:widowControl w:val="false"/>
        <w:numPr>
          <w:ilvl w:val="1"/>
          <w:numId w:val="2"/>
        </w:numPr>
        <w:tabs>
          <w:tab w:val="clear" w:pos="708"/>
          <w:tab w:val="left" w:pos="1200" w:leader="none"/>
        </w:tabs>
        <w:spacing w:lineRule="auto" w:line="240" w:before="0" w:after="0"/>
        <w:ind w:left="0" w:firstLine="709"/>
        <w:rPr>
          <w:sz w:val="26"/>
          <w:szCs w:val="26"/>
          <w:lang w:val="ru-RU" w:eastAsia="ru-RU"/>
        </w:rPr>
      </w:pPr>
      <w:r>
        <w:rPr>
          <w:b/>
          <w:sz w:val="26"/>
          <w:szCs w:val="26"/>
        </w:rPr>
        <w:t xml:space="preserve">Поставщик </w:t>
      </w:r>
      <w:r>
        <w:rPr>
          <w:b/>
          <w:bCs/>
          <w:sz w:val="26"/>
          <w:szCs w:val="26"/>
        </w:rPr>
        <w:t>обязан</w:t>
      </w:r>
    </w:p>
    <w:p>
      <w:pPr>
        <w:pStyle w:val="Normal"/>
        <w:widowControl w:val="false"/>
        <w:numPr>
          <w:ilvl w:val="2"/>
          <w:numId w:val="2"/>
        </w:numPr>
        <w:spacing w:lineRule="auto" w:line="240" w:before="0" w:after="0"/>
        <w:ind w:left="0" w:firstLine="709"/>
        <w:jc w:val="both"/>
        <w:rPr>
          <w:sz w:val="26"/>
          <w:szCs w:val="26"/>
        </w:rPr>
      </w:pPr>
      <w:r>
        <w:rPr>
          <w:sz w:val="26"/>
          <w:szCs w:val="26"/>
          <w:lang w:val="ru-RU" w:eastAsia="ru-RU"/>
        </w:rPr>
        <w:t xml:space="preserve">Поставить Государственному заказчику Товар в соответствии </w:t>
        <w:br/>
        <w:t>с условиями Контракта.</w:t>
      </w:r>
    </w:p>
    <w:p>
      <w:pPr>
        <w:pStyle w:val="Normal"/>
        <w:widowControl w:val="false"/>
        <w:numPr>
          <w:ilvl w:val="2"/>
          <w:numId w:val="2"/>
        </w:numPr>
        <w:shd w:fill="FFFFFF" w:val="clear"/>
        <w:spacing w:lineRule="auto" w:line="240" w:before="0" w:after="0"/>
        <w:ind w:left="0" w:firstLine="709"/>
        <w:jc w:val="both"/>
        <w:rPr>
          <w:sz w:val="26"/>
          <w:szCs w:val="26"/>
        </w:rPr>
      </w:pPr>
      <w:r>
        <w:rPr>
          <w:sz w:val="26"/>
          <w:szCs w:val="26"/>
        </w:rPr>
        <w:t xml:space="preserve">Уведомить Государственного заказчика о готовности поставить (передать) Товар в соответствии с условиями Контракта, </w:t>
      </w:r>
      <w:r>
        <w:rPr>
          <w:spacing w:val="-4"/>
          <w:sz w:val="26"/>
          <w:szCs w:val="26"/>
        </w:rPr>
        <w:t>Техническим заданием</w:t>
      </w:r>
      <w:r>
        <w:rPr>
          <w:sz w:val="26"/>
          <w:szCs w:val="26"/>
        </w:rPr>
        <w:t xml:space="preserve"> </w:t>
      </w:r>
      <w:r>
        <w:rPr>
          <w:spacing w:val="-4"/>
          <w:sz w:val="26"/>
          <w:szCs w:val="26"/>
        </w:rPr>
        <w:t xml:space="preserve">(Приложение к Контракту), не позднее, чем за 1 (один) рабочий день </w:t>
      </w:r>
      <w:r>
        <w:rPr>
          <w:sz w:val="26"/>
          <w:szCs w:val="26"/>
          <w:lang w:val="ru-RU" w:eastAsia="ru-RU"/>
        </w:rPr>
        <w:t>с использованием любых средств связи</w:t>
      </w:r>
      <w:r>
        <w:rPr>
          <w:sz w:val="26"/>
          <w:szCs w:val="26"/>
        </w:rPr>
        <w:t xml:space="preserve"> с указанием: даты и времени поставки Товара.</w:t>
      </w:r>
    </w:p>
    <w:p>
      <w:pPr>
        <w:pStyle w:val="Normal"/>
        <w:widowControl w:val="false"/>
        <w:numPr>
          <w:ilvl w:val="2"/>
          <w:numId w:val="2"/>
        </w:numPr>
        <w:shd w:fill="FFFFFF" w:val="clear"/>
        <w:spacing w:lineRule="auto" w:line="240" w:before="0" w:after="0"/>
        <w:ind w:left="0" w:firstLine="709"/>
        <w:jc w:val="both"/>
        <w:rPr>
          <w:sz w:val="26"/>
          <w:szCs w:val="26"/>
        </w:rPr>
      </w:pPr>
      <w:r>
        <w:rPr>
          <w:sz w:val="26"/>
          <w:szCs w:val="26"/>
        </w:rPr>
        <w:t xml:space="preserve">Своими силами и за свой счет произвести поставку, разгрузку, перенос </w:t>
        <w:br/>
        <w:t>и складирование Товара в указанном Государственным заказчиком месте в порядке, предусмотренном Контрактом.</w:t>
      </w:r>
    </w:p>
    <w:p>
      <w:pPr>
        <w:pStyle w:val="Normal"/>
        <w:widowControl w:val="false"/>
        <w:numPr>
          <w:ilvl w:val="2"/>
          <w:numId w:val="2"/>
        </w:numPr>
        <w:shd w:fill="FFFFFF" w:val="clear"/>
        <w:spacing w:lineRule="auto" w:line="240" w:before="0" w:after="0"/>
        <w:ind w:left="0" w:firstLine="709"/>
        <w:jc w:val="both"/>
        <w:rPr>
          <w:sz w:val="26"/>
          <w:szCs w:val="26"/>
        </w:rPr>
      </w:pPr>
      <w:r>
        <w:rPr>
          <w:sz w:val="26"/>
          <w:szCs w:val="26"/>
        </w:rPr>
        <w:t xml:space="preserve">Поставить Государственному заказчику новый Товар (не бывший </w:t>
        <w:br/>
        <w:t>в употреблении, в том числе, не восстановленный, у которого не были восстановлены потребительские свойства), не обремененный любыми правами третьих лиц (в том числе не заложенный, не арестованный, не являющийся предметом спора).</w:t>
      </w:r>
    </w:p>
    <w:p>
      <w:pPr>
        <w:pStyle w:val="Normal"/>
        <w:widowControl w:val="false"/>
        <w:numPr>
          <w:ilvl w:val="2"/>
          <w:numId w:val="2"/>
        </w:numPr>
        <w:shd w:fill="FFFFFF" w:val="clear"/>
        <w:spacing w:lineRule="auto" w:line="240" w:before="0" w:after="0"/>
        <w:ind w:left="0" w:firstLine="709"/>
        <w:jc w:val="both"/>
        <w:rPr>
          <w:sz w:val="26"/>
          <w:szCs w:val="26"/>
        </w:rPr>
      </w:pPr>
      <w:r>
        <w:rPr>
          <w:sz w:val="26"/>
          <w:szCs w:val="26"/>
        </w:rPr>
        <w:t>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предоставить результаты поставки Товара, предусмотренные Контрактом.</w:t>
      </w:r>
    </w:p>
    <w:p>
      <w:pPr>
        <w:pStyle w:val="Normal"/>
        <w:widowControl w:val="false"/>
        <w:numPr>
          <w:ilvl w:val="2"/>
          <w:numId w:val="2"/>
        </w:numPr>
        <w:shd w:fill="FFFFFF" w:val="clear"/>
        <w:tabs>
          <w:tab w:val="clear" w:pos="708"/>
          <w:tab w:val="left" w:pos="1418" w:leader="none"/>
        </w:tabs>
        <w:spacing w:lineRule="auto" w:line="240" w:before="0" w:after="0"/>
        <w:ind w:left="0" w:firstLine="709"/>
        <w:jc w:val="both"/>
        <w:rPr>
          <w:sz w:val="26"/>
          <w:szCs w:val="26"/>
        </w:rPr>
      </w:pPr>
      <w:r>
        <w:rPr>
          <w:sz w:val="26"/>
          <w:szCs w:val="26"/>
        </w:rPr>
        <w:t>Гарантировать целостность и сохранность Товара при его передаче (доставке, вручении), разгрузке, переносе и складировании Государственному заказчику.</w:t>
      </w:r>
    </w:p>
    <w:p>
      <w:pPr>
        <w:pStyle w:val="Normal"/>
        <w:widowControl w:val="false"/>
        <w:numPr>
          <w:ilvl w:val="2"/>
          <w:numId w:val="2"/>
        </w:numPr>
        <w:shd w:fill="FFFFFF" w:val="clear"/>
        <w:tabs>
          <w:tab w:val="clear" w:pos="708"/>
          <w:tab w:val="left" w:pos="1560" w:leader="none"/>
        </w:tabs>
        <w:spacing w:lineRule="auto" w:line="240" w:before="0" w:after="0"/>
        <w:ind w:left="0" w:firstLine="709"/>
        <w:jc w:val="both"/>
        <w:rPr>
          <w:sz w:val="26"/>
          <w:szCs w:val="26"/>
        </w:rPr>
      </w:pPr>
      <w:r>
        <w:rPr>
          <w:sz w:val="26"/>
          <w:szCs w:val="26"/>
        </w:rPr>
        <w:t>В случаях несоответствия поставляемого Товара требованиям Контракта, (поставки Товара ненадлежащего качества, обнаружения производственных дефектов, либо дефектов, возникших в ходе транспортировки, погрузочно-разгрузочных работах) Поставщик по требованию Государственного заказчика, обязан в течение 10 рабочих дней безвозмездно устранить выявленные недостатки или заменить Товар, если не докажет, что недостатки возникли по вине Государственный заказчика.</w:t>
      </w:r>
    </w:p>
    <w:p>
      <w:pPr>
        <w:pStyle w:val="Normal"/>
        <w:widowControl w:val="false"/>
        <w:numPr>
          <w:ilvl w:val="2"/>
          <w:numId w:val="2"/>
        </w:numPr>
        <w:shd w:fill="FFFFFF" w:val="clear"/>
        <w:spacing w:lineRule="auto" w:line="240" w:before="0" w:after="0"/>
        <w:ind w:left="0" w:firstLine="709"/>
        <w:jc w:val="both"/>
        <w:rPr>
          <w:sz w:val="26"/>
          <w:szCs w:val="26"/>
          <w:lang w:val="ru-RU" w:eastAsia="ru-RU"/>
        </w:rPr>
      </w:pPr>
      <w:r>
        <w:rPr>
          <w:sz w:val="26"/>
          <w:szCs w:val="26"/>
        </w:rPr>
        <w:t xml:space="preserve">В случае изменения реквизитов в течение 1 (одного) рабочего дня </w:t>
        <w:br/>
        <w:t>в письменной форме сообщить об этом Государственному заказчику, указав новые реквизиты. В противном случае, все риски, связанные с перечислением Государственным заказчиком денежных средств по указанным в настоящем Контракте реквизитам Поставщика, несет Поставщик.</w:t>
      </w:r>
    </w:p>
    <w:p>
      <w:pPr>
        <w:pStyle w:val="Normal"/>
        <w:widowControl w:val="false"/>
        <w:numPr>
          <w:ilvl w:val="2"/>
          <w:numId w:val="2"/>
        </w:numPr>
        <w:spacing w:lineRule="auto" w:line="240" w:before="0" w:after="0"/>
        <w:ind w:left="0" w:firstLine="709"/>
        <w:jc w:val="both"/>
        <w:rPr>
          <w:sz w:val="26"/>
          <w:szCs w:val="26"/>
        </w:rPr>
      </w:pPr>
      <w:r>
        <w:rPr>
          <w:sz w:val="26"/>
          <w:szCs w:val="26"/>
          <w:lang w:val="ru-RU" w:eastAsia="ru-RU"/>
        </w:rPr>
        <w:t>В случае принятия решения об одностороннем отказе от исполнения Контракта не позднее чем в течение 5 (пяти) рабочих дней с даты принятия такого решения, уведомить Государственного заказчика с использованием любых средств связи</w:t>
      </w:r>
      <w:r>
        <w:rPr>
          <w:i/>
          <w:sz w:val="26"/>
          <w:szCs w:val="26"/>
          <w:lang w:val="ru-RU" w:eastAsia="ru-RU"/>
        </w:rPr>
        <w:t xml:space="preserve">. </w:t>
      </w:r>
      <w:r>
        <w:rPr>
          <w:sz w:val="26"/>
          <w:szCs w:val="26"/>
          <w:lang w:val="ru-RU" w:eastAsia="ru-RU"/>
        </w:rPr>
        <w:t xml:space="preserve">Выполнение Поставщиком требований настоящего пункта считается надлежащим уведомлением Государственного заказчика об одностороннем отказе </w:t>
        <w:br/>
        <w:t>от исполнения Контракта.</w:t>
      </w:r>
    </w:p>
    <w:p>
      <w:pPr>
        <w:pStyle w:val="Normal"/>
        <w:widowControl w:val="false"/>
        <w:numPr>
          <w:ilvl w:val="2"/>
          <w:numId w:val="2"/>
        </w:numPr>
        <w:shd w:fill="FFFFFF" w:val="clear"/>
        <w:tabs>
          <w:tab w:val="clear" w:pos="708"/>
          <w:tab w:val="left" w:pos="1560" w:leader="none"/>
        </w:tabs>
        <w:spacing w:lineRule="auto" w:line="240" w:before="0" w:after="0"/>
        <w:ind w:left="0" w:firstLine="709"/>
        <w:jc w:val="both"/>
        <w:rPr>
          <w:sz w:val="26"/>
          <w:szCs w:val="26"/>
        </w:rPr>
      </w:pPr>
      <w:r>
        <w:rPr>
          <w:sz w:val="26"/>
          <w:szCs w:val="26"/>
        </w:rPr>
        <w:t>Выполнить в полном объеме иные обязанности, предусмотренные законодательством Российской Федерации и настоящим Контрактом.</w:t>
      </w:r>
    </w:p>
    <w:p>
      <w:pPr>
        <w:pStyle w:val="Normal"/>
        <w:widowControl w:val="false"/>
        <w:shd w:fill="FFFFFF" w:val="clear"/>
        <w:tabs>
          <w:tab w:val="clear" w:pos="708"/>
          <w:tab w:val="left" w:pos="1560" w:leader="none"/>
        </w:tabs>
        <w:spacing w:lineRule="auto" w:line="240" w:before="0" w:after="0"/>
        <w:ind w:left="0" w:hanging="0"/>
        <w:jc w:val="both"/>
        <w:rPr>
          <w:sz w:val="26"/>
          <w:szCs w:val="26"/>
        </w:rPr>
      </w:pPr>
      <w:r>
        <w:rPr>
          <w:sz w:val="26"/>
          <w:szCs w:val="26"/>
        </w:rPr>
      </w:r>
    </w:p>
    <w:p>
      <w:pPr>
        <w:pStyle w:val="Style25"/>
        <w:numPr>
          <w:ilvl w:val="1"/>
          <w:numId w:val="2"/>
        </w:numPr>
        <w:spacing w:before="0" w:after="0"/>
        <w:ind w:left="0" w:right="0" w:firstLine="709"/>
        <w:rPr>
          <w:rFonts w:eastAsia="Droid Sans;MS Mincho"/>
          <w:bCs/>
          <w:kern w:val="2"/>
          <w:sz w:val="26"/>
          <w:szCs w:val="26"/>
        </w:rPr>
      </w:pPr>
      <w:r>
        <w:rPr>
          <w:b/>
          <w:sz w:val="26"/>
          <w:szCs w:val="26"/>
        </w:rPr>
        <w:t>Поставщик имеет право</w:t>
      </w:r>
    </w:p>
    <w:p>
      <w:pPr>
        <w:pStyle w:val="Normal"/>
        <w:widowControl w:val="false"/>
        <w:numPr>
          <w:ilvl w:val="2"/>
          <w:numId w:val="2"/>
        </w:numPr>
        <w:shd w:fill="FFFFFF" w:val="clear"/>
        <w:spacing w:lineRule="auto" w:line="240" w:before="0" w:after="0"/>
        <w:ind w:left="0" w:firstLine="709"/>
        <w:jc w:val="both"/>
        <w:rPr>
          <w:sz w:val="26"/>
          <w:szCs w:val="26"/>
        </w:rPr>
      </w:pPr>
      <w:r>
        <w:rPr>
          <w:rFonts w:eastAsia="Droid Sans;MS Mincho"/>
          <w:bCs/>
          <w:kern w:val="2"/>
          <w:sz w:val="26"/>
          <w:szCs w:val="26"/>
        </w:rPr>
        <w:t xml:space="preserve">Требовать от Государственного заказчика произвести приемку Товара </w:t>
        <w:br/>
        <w:t>в порядке и в сроки, предусмотренные Контрактом.</w:t>
      </w:r>
    </w:p>
    <w:p>
      <w:pPr>
        <w:pStyle w:val="Normal"/>
        <w:widowControl w:val="false"/>
        <w:numPr>
          <w:ilvl w:val="2"/>
          <w:numId w:val="2"/>
        </w:numPr>
        <w:shd w:fill="FFFFFF" w:val="clear"/>
        <w:spacing w:lineRule="auto" w:line="240" w:before="0" w:after="0"/>
        <w:ind w:left="0" w:firstLine="709"/>
        <w:jc w:val="both"/>
        <w:rPr>
          <w:sz w:val="26"/>
          <w:szCs w:val="26"/>
        </w:rPr>
      </w:pPr>
      <w:r>
        <w:rPr>
          <w:sz w:val="26"/>
          <w:szCs w:val="26"/>
        </w:rPr>
        <w:t>Участвовать в приемке Товара.</w:t>
      </w:r>
    </w:p>
    <w:p>
      <w:pPr>
        <w:pStyle w:val="Normal"/>
        <w:widowControl w:val="false"/>
        <w:numPr>
          <w:ilvl w:val="2"/>
          <w:numId w:val="2"/>
        </w:numPr>
        <w:shd w:fill="FFFFFF" w:val="clear"/>
        <w:spacing w:lineRule="auto" w:line="240" w:before="0" w:after="0"/>
        <w:ind w:left="0" w:firstLine="709"/>
        <w:jc w:val="both"/>
        <w:rPr>
          <w:sz w:val="26"/>
          <w:szCs w:val="26"/>
        </w:rPr>
      </w:pPr>
      <w:r>
        <w:rPr>
          <w:sz w:val="26"/>
          <w:szCs w:val="26"/>
        </w:rPr>
        <w:t xml:space="preserve">Представить Государственному заказчику письменный отказ от участия в приемке Товара, направив его вместе с Товаром и документом об отгрузке </w:t>
      </w:r>
      <w:r>
        <w:rPr>
          <w:rFonts w:eastAsia="Droid Sans;MS Mincho"/>
          <w:bCs/>
          <w:kern w:val="2"/>
          <w:sz w:val="26"/>
          <w:szCs w:val="26"/>
        </w:rPr>
        <w:t>(транспортная накладная или  универсальный передаточной документ)</w:t>
      </w:r>
      <w:r>
        <w:rPr>
          <w:sz w:val="26"/>
          <w:szCs w:val="26"/>
        </w:rPr>
        <w:t>.</w:t>
      </w:r>
    </w:p>
    <w:p>
      <w:pPr>
        <w:pStyle w:val="Normal"/>
        <w:widowControl w:val="false"/>
        <w:numPr>
          <w:ilvl w:val="2"/>
          <w:numId w:val="2"/>
        </w:numPr>
        <w:shd w:fill="FFFFFF" w:val="clear"/>
        <w:spacing w:lineRule="auto" w:line="240" w:before="0" w:after="0"/>
        <w:ind w:left="0" w:firstLine="709"/>
        <w:jc w:val="both"/>
        <w:rPr>
          <w:sz w:val="26"/>
          <w:szCs w:val="26"/>
        </w:rPr>
      </w:pPr>
      <w:r>
        <w:rPr>
          <w:sz w:val="26"/>
          <w:szCs w:val="26"/>
        </w:rPr>
        <w:t>При согласии Государственного заказчика, осуществить поставку (передачу) Товара досрочно.</w:t>
      </w:r>
    </w:p>
    <w:p>
      <w:pPr>
        <w:pStyle w:val="Normal"/>
        <w:widowControl w:val="false"/>
        <w:numPr>
          <w:ilvl w:val="2"/>
          <w:numId w:val="2"/>
        </w:numPr>
        <w:shd w:fill="FFFFFF" w:val="clear"/>
        <w:spacing w:lineRule="auto" w:line="240" w:before="0" w:after="0"/>
        <w:ind w:left="0" w:firstLine="709"/>
        <w:jc w:val="both"/>
        <w:rPr>
          <w:rFonts w:eastAsia="Droid Sans;MS Mincho"/>
          <w:bCs/>
          <w:kern w:val="2"/>
          <w:sz w:val="26"/>
          <w:szCs w:val="26"/>
        </w:rPr>
      </w:pPr>
      <w:r>
        <w:rPr>
          <w:sz w:val="26"/>
          <w:szCs w:val="26"/>
        </w:rPr>
        <w:t>Требовать от Государственного заказчика оплаты поставленного Товара в порядке, предусмотренном настоящим Контрактом.</w:t>
      </w:r>
    </w:p>
    <w:p>
      <w:pPr>
        <w:pStyle w:val="Normal"/>
        <w:widowControl w:val="false"/>
        <w:numPr>
          <w:ilvl w:val="2"/>
          <w:numId w:val="2"/>
        </w:numPr>
        <w:shd w:fill="FFFFFF" w:val="clear"/>
        <w:spacing w:lineRule="auto" w:line="240" w:before="0" w:after="0"/>
        <w:ind w:left="0" w:firstLine="709"/>
        <w:jc w:val="both"/>
        <w:rPr>
          <w:sz w:val="26"/>
          <w:szCs w:val="26"/>
        </w:rPr>
      </w:pPr>
      <w:r>
        <w:rPr>
          <w:rFonts w:eastAsia="Droid Sans;MS Mincho"/>
          <w:bCs/>
          <w:kern w:val="2"/>
          <w:sz w:val="26"/>
          <w:szCs w:val="26"/>
        </w:rPr>
        <w:t xml:space="preserve">По согласованию с Государственным заказчиком (путем заключения дополнительного соглашения) поставить Товар, качество, технические </w:t>
        <w:br/>
        <w:t xml:space="preserve">и функциональные характеристики которого являются улучшенными по сравнению </w:t>
        <w:br/>
        <w:t>с качеством и соответствующими техническими и функциональными характеристиками, указанными в Контракте.</w:t>
      </w:r>
    </w:p>
    <w:p>
      <w:pPr>
        <w:pStyle w:val="Normal"/>
        <w:widowControl w:val="false"/>
        <w:numPr>
          <w:ilvl w:val="2"/>
          <w:numId w:val="2"/>
        </w:numPr>
        <w:shd w:fill="FFFFFF" w:val="clear"/>
        <w:spacing w:lineRule="auto" w:line="240" w:before="0" w:after="0"/>
        <w:ind w:left="0" w:firstLine="709"/>
        <w:jc w:val="both"/>
        <w:rPr>
          <w:sz w:val="26"/>
          <w:szCs w:val="26"/>
        </w:rPr>
      </w:pPr>
      <w:r>
        <w:rPr>
          <w:sz w:val="26"/>
          <w:szCs w:val="26"/>
        </w:rPr>
        <w:t xml:space="preserve">Принять решение об одностороннем отказе от исполнения Контракта, </w:t>
        <w:br/>
        <w:t xml:space="preserve">по основаниям, предусмотренным действующим законодательством </w:t>
        <w:br/>
        <w:t>Российской Федерации для одностороннего отказа от исполнения отдельных видов обязательств.</w:t>
      </w:r>
    </w:p>
    <w:p>
      <w:pPr>
        <w:pStyle w:val="Normal"/>
        <w:widowControl w:val="false"/>
        <w:shd w:fill="FFFFFF" w:val="clear"/>
        <w:spacing w:lineRule="auto" w:line="240" w:before="0" w:after="0"/>
        <w:ind w:left="0" w:hanging="0"/>
        <w:jc w:val="both"/>
        <w:rPr>
          <w:sz w:val="26"/>
          <w:szCs w:val="26"/>
        </w:rPr>
      </w:pPr>
      <w:r>
        <w:rPr>
          <w:sz w:val="26"/>
          <w:szCs w:val="26"/>
        </w:rPr>
      </w:r>
    </w:p>
    <w:p>
      <w:pPr>
        <w:pStyle w:val="Normal"/>
        <w:numPr>
          <w:ilvl w:val="1"/>
          <w:numId w:val="2"/>
        </w:numPr>
        <w:tabs>
          <w:tab w:val="clear" w:pos="708"/>
          <w:tab w:val="left" w:pos="1134" w:leader="none"/>
        </w:tabs>
        <w:spacing w:lineRule="auto" w:line="240" w:before="0" w:after="0"/>
        <w:ind w:left="0" w:firstLine="709"/>
        <w:rPr>
          <w:sz w:val="26"/>
          <w:szCs w:val="26"/>
        </w:rPr>
      </w:pPr>
      <w:r>
        <w:rPr>
          <w:b/>
          <w:sz w:val="26"/>
          <w:szCs w:val="26"/>
          <w:lang w:val="ru-RU" w:eastAsia="ru-RU"/>
        </w:rPr>
        <w:t xml:space="preserve">Государственный заказчик </w:t>
      </w:r>
      <w:r>
        <w:rPr>
          <w:b/>
          <w:bCs/>
          <w:sz w:val="26"/>
          <w:szCs w:val="26"/>
        </w:rPr>
        <w:t>обязан</w:t>
      </w:r>
    </w:p>
    <w:p>
      <w:pPr>
        <w:pStyle w:val="Normal"/>
        <w:numPr>
          <w:ilvl w:val="2"/>
          <w:numId w:val="2"/>
        </w:numPr>
        <w:autoSpaceDE w:val="false"/>
        <w:spacing w:lineRule="auto" w:line="240" w:before="0" w:after="0"/>
        <w:ind w:left="0" w:firstLine="709"/>
        <w:jc w:val="both"/>
        <w:rPr>
          <w:sz w:val="26"/>
          <w:szCs w:val="26"/>
        </w:rPr>
      </w:pPr>
      <w:r>
        <w:rPr>
          <w:sz w:val="26"/>
          <w:szCs w:val="26"/>
        </w:rPr>
        <w:t xml:space="preserve">Принять поставленный Поставщиком Товар надлежащего качества, </w:t>
        <w:br/>
        <w:t>в порядке и сроки, предусмотренные Контрактом.</w:t>
      </w:r>
    </w:p>
    <w:p>
      <w:pPr>
        <w:pStyle w:val="Normal"/>
        <w:numPr>
          <w:ilvl w:val="2"/>
          <w:numId w:val="2"/>
        </w:numPr>
        <w:autoSpaceDE w:val="false"/>
        <w:spacing w:lineRule="auto" w:line="240" w:before="0" w:after="0"/>
        <w:ind w:left="0" w:firstLine="709"/>
        <w:jc w:val="both"/>
        <w:rPr>
          <w:sz w:val="26"/>
          <w:szCs w:val="26"/>
        </w:rPr>
      </w:pPr>
      <w:r>
        <w:rPr>
          <w:sz w:val="26"/>
          <w:szCs w:val="26"/>
        </w:rPr>
        <w:t xml:space="preserve">При приемке Товара осуществить проверку его качества, количества </w:t>
        <w:br/>
        <w:t xml:space="preserve">и комплектности, в соответствии с </w:t>
      </w:r>
      <w:r>
        <w:rPr>
          <w:spacing w:val="-4"/>
          <w:sz w:val="26"/>
          <w:szCs w:val="26"/>
        </w:rPr>
        <w:t>Техническим заданием</w:t>
      </w:r>
      <w:r>
        <w:rPr>
          <w:sz w:val="26"/>
          <w:szCs w:val="26"/>
        </w:rPr>
        <w:t xml:space="preserve"> поставляемого Товара (Приложение к Контракту) и условиями Контракта.</w:t>
      </w:r>
    </w:p>
    <w:p>
      <w:pPr>
        <w:pStyle w:val="Normal"/>
        <w:numPr>
          <w:ilvl w:val="2"/>
          <w:numId w:val="2"/>
        </w:numPr>
        <w:autoSpaceDE w:val="false"/>
        <w:spacing w:lineRule="auto" w:line="240" w:before="0" w:after="0"/>
        <w:ind w:left="0" w:firstLine="709"/>
        <w:jc w:val="both"/>
        <w:rPr>
          <w:sz w:val="26"/>
          <w:szCs w:val="26"/>
        </w:rPr>
      </w:pPr>
      <w:r>
        <w:rPr>
          <w:sz w:val="26"/>
          <w:szCs w:val="26"/>
        </w:rPr>
        <w:t xml:space="preserve">Провести экспертизу поставленного Поставщиком Товара в части его соответствия условиям Контракта. </w:t>
      </w:r>
    </w:p>
    <w:p>
      <w:pPr>
        <w:pStyle w:val="Normal"/>
        <w:numPr>
          <w:ilvl w:val="2"/>
          <w:numId w:val="2"/>
        </w:numPr>
        <w:autoSpaceDE w:val="false"/>
        <w:spacing w:lineRule="auto" w:line="240" w:before="0" w:after="0"/>
        <w:ind w:left="0" w:firstLine="709"/>
        <w:jc w:val="both"/>
        <w:rPr>
          <w:sz w:val="26"/>
          <w:szCs w:val="26"/>
        </w:rPr>
      </w:pPr>
      <w:r>
        <w:rPr>
          <w:sz w:val="26"/>
          <w:szCs w:val="26"/>
        </w:rPr>
        <w:t>Оплатить поставленный Товар в порядке и сроки, установленные Контрактом.</w:t>
      </w:r>
    </w:p>
    <w:p>
      <w:pPr>
        <w:pStyle w:val="Normal"/>
        <w:numPr>
          <w:ilvl w:val="2"/>
          <w:numId w:val="2"/>
        </w:numPr>
        <w:autoSpaceDE w:val="false"/>
        <w:spacing w:lineRule="auto" w:line="240" w:before="0" w:after="0"/>
        <w:ind w:left="0" w:firstLine="709"/>
        <w:jc w:val="both"/>
        <w:rPr>
          <w:sz w:val="26"/>
          <w:szCs w:val="26"/>
        </w:rPr>
      </w:pPr>
      <w:r>
        <w:rPr>
          <w:sz w:val="26"/>
          <w:szCs w:val="26"/>
        </w:rPr>
        <w:t xml:space="preserve">Уменьшить сумму, подлежащую уплате Государственным заказчиком Поставщику на размер налогов, сборов и иных обязательных платежей в бюджеты бюджетной системы Российской Федерации, связанные с оплатой Контракта, если </w:t>
        <w:br/>
        <w:t>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pPr>
        <w:pStyle w:val="Normal"/>
        <w:numPr>
          <w:ilvl w:val="2"/>
          <w:numId w:val="2"/>
        </w:numPr>
        <w:autoSpaceDE w:val="false"/>
        <w:spacing w:lineRule="auto" w:line="240" w:before="0" w:after="0"/>
        <w:ind w:left="0" w:firstLine="709"/>
        <w:jc w:val="both"/>
        <w:rPr>
          <w:rFonts w:eastAsia="Droid Sans;MS Mincho"/>
          <w:bCs/>
          <w:kern w:val="2"/>
          <w:sz w:val="26"/>
          <w:szCs w:val="26"/>
        </w:rPr>
      </w:pPr>
      <w:r>
        <w:rPr>
          <w:sz w:val="26"/>
          <w:szCs w:val="26"/>
        </w:rPr>
        <w:t xml:space="preserve">Взыскать неустойку (пени, штраф) в соответствии с разделом </w:t>
        <w:br/>
        <w:t>10 Контракта за неисполнение, ненадлежащее исполнение Поставщиком обязательств, предусмотренных Контрактом.</w:t>
      </w:r>
    </w:p>
    <w:p>
      <w:pPr>
        <w:pStyle w:val="Normal"/>
        <w:numPr>
          <w:ilvl w:val="2"/>
          <w:numId w:val="2"/>
        </w:numPr>
        <w:autoSpaceDE w:val="false"/>
        <w:spacing w:lineRule="auto" w:line="240" w:before="0" w:after="0"/>
        <w:ind w:left="0" w:firstLine="709"/>
        <w:jc w:val="both"/>
        <w:rPr>
          <w:rFonts w:eastAsia="Droid Sans;MS Mincho"/>
          <w:bCs/>
          <w:kern w:val="2"/>
          <w:sz w:val="26"/>
          <w:szCs w:val="26"/>
        </w:rPr>
      </w:pPr>
      <w:r>
        <w:rPr>
          <w:rFonts w:eastAsia="Droid Sans;MS Mincho"/>
          <w:bCs/>
          <w:kern w:val="2"/>
          <w:sz w:val="26"/>
          <w:szCs w:val="26"/>
        </w:rPr>
        <w:t xml:space="preserve">Принять решение об одностороннем отказе от исполнения Контракта </w:t>
        <w:br/>
        <w:t xml:space="preserve">в случае, если в ходе исполнения Контракта установлено, что Поставщик </w:t>
        <w:br/>
        <w:t xml:space="preserve">и (или) поставляемый Товар не соответствуют установленным извещением </w:t>
        <w:br/>
        <w:t>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
    <w:p>
      <w:pPr>
        <w:pStyle w:val="Normal"/>
        <w:numPr>
          <w:ilvl w:val="2"/>
          <w:numId w:val="2"/>
        </w:numPr>
        <w:autoSpaceDE w:val="false"/>
        <w:spacing w:lineRule="auto" w:line="240" w:before="0" w:after="0"/>
        <w:ind w:left="0" w:firstLine="709"/>
        <w:jc w:val="both"/>
        <w:rPr>
          <w:sz w:val="26"/>
          <w:szCs w:val="26"/>
          <w:lang w:val="ru-RU" w:eastAsia="ru-RU"/>
        </w:rPr>
      </w:pPr>
      <w:r>
        <w:rPr>
          <w:rFonts w:eastAsia="Droid Sans;MS Mincho"/>
          <w:bCs/>
          <w:kern w:val="2"/>
          <w:sz w:val="26"/>
          <w:szCs w:val="26"/>
        </w:rPr>
        <w:t>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Поставщику информацию с использованием любых средств связи.</w:t>
      </w:r>
    </w:p>
    <w:p>
      <w:pPr>
        <w:pStyle w:val="Normal"/>
        <w:numPr>
          <w:ilvl w:val="2"/>
          <w:numId w:val="2"/>
        </w:numPr>
        <w:autoSpaceDE w:val="false"/>
        <w:spacing w:lineRule="auto" w:line="240" w:before="0" w:after="0"/>
        <w:ind w:left="0" w:firstLine="709"/>
        <w:jc w:val="both"/>
        <w:rPr>
          <w:sz w:val="26"/>
          <w:szCs w:val="26"/>
        </w:rPr>
      </w:pPr>
      <w:r>
        <w:rPr>
          <w:sz w:val="26"/>
          <w:szCs w:val="26"/>
          <w:lang w:val="ru-RU" w:eastAsia="ru-RU"/>
        </w:rPr>
        <w:t>Выполнить в полном объеме иные обязанности, предусмотренные законодательством Российской Федерации и Контрактом.</w:t>
      </w:r>
    </w:p>
    <w:p>
      <w:pPr>
        <w:pStyle w:val="Normal"/>
        <w:autoSpaceDE w:val="false"/>
        <w:spacing w:lineRule="auto" w:line="240" w:before="0" w:after="0"/>
        <w:ind w:left="0" w:hanging="0"/>
        <w:jc w:val="both"/>
        <w:rPr>
          <w:sz w:val="26"/>
          <w:szCs w:val="26"/>
        </w:rPr>
      </w:pPr>
      <w:r>
        <w:rPr>
          <w:sz w:val="26"/>
          <w:szCs w:val="26"/>
        </w:rPr>
      </w:r>
    </w:p>
    <w:p>
      <w:pPr>
        <w:pStyle w:val="Normal"/>
        <w:numPr>
          <w:ilvl w:val="1"/>
          <w:numId w:val="2"/>
        </w:numPr>
        <w:tabs>
          <w:tab w:val="clear" w:pos="708"/>
          <w:tab w:val="left" w:pos="1134" w:leader="none"/>
        </w:tabs>
        <w:spacing w:lineRule="auto" w:line="240" w:before="0" w:after="0"/>
        <w:ind w:left="0" w:firstLine="709"/>
        <w:rPr>
          <w:sz w:val="26"/>
          <w:szCs w:val="26"/>
          <w:lang w:val="ru-RU" w:eastAsia="ru-RU"/>
        </w:rPr>
      </w:pPr>
      <w:r>
        <w:rPr>
          <w:b/>
          <w:sz w:val="26"/>
          <w:szCs w:val="26"/>
          <w:lang w:val="ru-RU" w:eastAsia="ru-RU"/>
        </w:rPr>
        <w:t xml:space="preserve">Государственный заказчик </w:t>
      </w:r>
      <w:r>
        <w:rPr>
          <w:b/>
          <w:bCs/>
          <w:sz w:val="26"/>
          <w:szCs w:val="26"/>
        </w:rPr>
        <w:t>имеет право</w:t>
      </w:r>
    </w:p>
    <w:p>
      <w:pPr>
        <w:pStyle w:val="Normal"/>
        <w:numPr>
          <w:ilvl w:val="2"/>
          <w:numId w:val="2"/>
        </w:numPr>
        <w:autoSpaceDE w:val="false"/>
        <w:spacing w:lineRule="auto" w:line="240" w:before="0" w:after="0"/>
        <w:ind w:left="0" w:firstLine="709"/>
        <w:jc w:val="both"/>
        <w:rPr>
          <w:sz w:val="26"/>
          <w:szCs w:val="26"/>
        </w:rPr>
      </w:pPr>
      <w:r>
        <w:rPr>
          <w:sz w:val="26"/>
          <w:szCs w:val="26"/>
          <w:lang w:val="ru-RU" w:eastAsia="ru-RU"/>
        </w:rPr>
        <w:t>В случае нарушения Поставщиком требований к качеству, количеству</w:t>
        <w:br/>
        <w:t xml:space="preserve"> и комплектности Товара по своему выбору потребовать:</w:t>
      </w:r>
    </w:p>
    <w:p>
      <w:pPr>
        <w:pStyle w:val="Normal"/>
        <w:autoSpaceDE w:val="false"/>
        <w:spacing w:lineRule="auto" w:line="240" w:before="0" w:after="0"/>
        <w:ind w:left="0" w:firstLine="709"/>
        <w:jc w:val="both"/>
        <w:rPr>
          <w:sz w:val="26"/>
          <w:szCs w:val="26"/>
        </w:rPr>
      </w:pPr>
      <w:r>
        <w:rPr>
          <w:sz w:val="26"/>
          <w:szCs w:val="26"/>
        </w:rPr>
        <w:t>- устранения недостатков;</w:t>
      </w:r>
    </w:p>
    <w:p>
      <w:pPr>
        <w:pStyle w:val="Normal"/>
        <w:autoSpaceDE w:val="false"/>
        <w:spacing w:lineRule="auto" w:line="240" w:before="0" w:after="0"/>
        <w:ind w:left="0" w:firstLine="709"/>
        <w:jc w:val="both"/>
        <w:rPr>
          <w:sz w:val="26"/>
          <w:szCs w:val="26"/>
        </w:rPr>
      </w:pPr>
      <w:r>
        <w:rPr>
          <w:sz w:val="26"/>
          <w:szCs w:val="26"/>
        </w:rPr>
        <w:t>- замены Товара, Товаром, соответствующим Контракту.</w:t>
      </w:r>
    </w:p>
    <w:p>
      <w:pPr>
        <w:pStyle w:val="Normal"/>
        <w:numPr>
          <w:ilvl w:val="2"/>
          <w:numId w:val="2"/>
        </w:numPr>
        <w:autoSpaceDE w:val="false"/>
        <w:spacing w:lineRule="auto" w:line="240" w:before="0" w:after="0"/>
        <w:ind w:left="0" w:firstLine="709"/>
        <w:jc w:val="both"/>
        <w:rPr>
          <w:rFonts w:eastAsia="Droid Sans;MS Mincho"/>
          <w:bCs/>
          <w:kern w:val="2"/>
          <w:sz w:val="26"/>
          <w:szCs w:val="26"/>
        </w:rPr>
      </w:pPr>
      <w:r>
        <w:rPr>
          <w:sz w:val="26"/>
          <w:szCs w:val="26"/>
          <w:lang w:val="ru-RU" w:eastAsia="ru-RU"/>
        </w:rPr>
        <w:t>Предъявлять непосредственно Поставщику требования к качеству, количеству, комплектности, предусмотренным условиями Контракта, срокам поставки Товара и иные требования, установленные законодательством Российской Федерации и настоящим Контрактом.</w:t>
      </w:r>
    </w:p>
    <w:p>
      <w:pPr>
        <w:pStyle w:val="Normal"/>
        <w:numPr>
          <w:ilvl w:val="2"/>
          <w:numId w:val="2"/>
        </w:numPr>
        <w:autoSpaceDE w:val="false"/>
        <w:spacing w:lineRule="auto" w:line="240" w:before="0" w:after="0"/>
        <w:ind w:left="0" w:firstLine="709"/>
        <w:jc w:val="both"/>
        <w:rPr>
          <w:sz w:val="26"/>
          <w:szCs w:val="26"/>
          <w:lang w:val="ru-RU" w:eastAsia="ru-RU"/>
        </w:rPr>
      </w:pPr>
      <w:r>
        <w:rPr>
          <w:rFonts w:eastAsia="Droid Sans;MS Mincho"/>
          <w:bCs/>
          <w:kern w:val="2"/>
          <w:sz w:val="26"/>
          <w:szCs w:val="26"/>
        </w:rPr>
        <w:t>Отказаться от приемки и оплаты Товара, не соответствующего условиям Контракта</w:t>
      </w:r>
    </w:p>
    <w:p>
      <w:pPr>
        <w:pStyle w:val="Normal"/>
        <w:numPr>
          <w:ilvl w:val="2"/>
          <w:numId w:val="2"/>
        </w:numPr>
        <w:autoSpaceDE w:val="false"/>
        <w:spacing w:lineRule="auto" w:line="240" w:before="0" w:after="0"/>
        <w:ind w:left="0" w:firstLine="709"/>
        <w:jc w:val="both"/>
        <w:rPr>
          <w:sz w:val="26"/>
          <w:szCs w:val="26"/>
          <w:lang w:val="ru-RU" w:eastAsia="ru-RU"/>
        </w:rPr>
      </w:pPr>
      <w:r>
        <w:rPr>
          <w:sz w:val="26"/>
          <w:szCs w:val="26"/>
          <w:lang w:val="ru-RU" w:eastAsia="ru-RU"/>
        </w:rPr>
        <w:t xml:space="preserve">Принять решение об одностороннем отказе от исполнения Контракта </w:t>
        <w:br/>
        <w:t xml:space="preserve">по основаниям, предусмотренным Гражданским кодексом Российской Федерации </w:t>
        <w:br/>
        <w:t>для одностороннего отказа от исполнения отдельных видов обязательств.</w:t>
      </w:r>
    </w:p>
    <w:p>
      <w:pPr>
        <w:pStyle w:val="Normal"/>
        <w:autoSpaceDE w:val="false"/>
        <w:spacing w:lineRule="auto" w:line="240" w:before="0" w:after="0"/>
        <w:ind w:left="0" w:hanging="0"/>
        <w:jc w:val="both"/>
        <w:rPr>
          <w:sz w:val="26"/>
          <w:szCs w:val="26"/>
          <w:lang w:val="ru-RU" w:eastAsia="ru-RU"/>
        </w:rPr>
      </w:pPr>
      <w:r>
        <w:rPr>
          <w:sz w:val="26"/>
          <w:szCs w:val="26"/>
          <w:lang w:val="ru-RU" w:eastAsia="ru-RU"/>
        </w:rPr>
      </w:r>
    </w:p>
    <w:p>
      <w:pPr>
        <w:pStyle w:val="Normal"/>
        <w:widowControl w:val="false"/>
        <w:numPr>
          <w:ilvl w:val="0"/>
          <w:numId w:val="2"/>
        </w:numPr>
        <w:spacing w:lineRule="auto" w:line="240" w:before="0" w:after="0"/>
        <w:ind w:left="0" w:hanging="0"/>
        <w:jc w:val="center"/>
        <w:rPr>
          <w:sz w:val="26"/>
          <w:szCs w:val="26"/>
          <w:lang w:eastAsia="ru-RU"/>
        </w:rPr>
      </w:pPr>
      <w:r>
        <w:rPr>
          <w:b/>
          <w:sz w:val="26"/>
          <w:szCs w:val="26"/>
        </w:rPr>
        <w:t>Цена Контракта и порядок расчетов</w:t>
      </w:r>
    </w:p>
    <w:p>
      <w:pPr>
        <w:pStyle w:val="Normal"/>
        <w:widowControl w:val="false"/>
        <w:numPr>
          <w:ilvl w:val="1"/>
          <w:numId w:val="2"/>
        </w:numPr>
        <w:autoSpaceDE w:val="false"/>
        <w:spacing w:lineRule="auto" w:line="240" w:before="0" w:after="0"/>
        <w:jc w:val="both"/>
        <w:rPr>
          <w:sz w:val="26"/>
          <w:szCs w:val="26"/>
        </w:rPr>
      </w:pPr>
      <w:r>
        <w:rPr>
          <w:sz w:val="26"/>
          <w:szCs w:val="26"/>
          <w:lang w:eastAsia="ru-RU"/>
        </w:rPr>
        <w:t>Цена Контракта составляет ____ (___________________) рублей __ копеек, в том числе НДС __ % _______ (сумма прописью) (</w:t>
      </w:r>
      <w:r>
        <w:rPr>
          <w:i/>
          <w:sz w:val="26"/>
          <w:szCs w:val="26"/>
          <w:lang w:eastAsia="ru-RU"/>
        </w:rPr>
        <w:t>если НДС не облагается, указать основание, по которому Поставщик освобожден от оплаты НДС).</w:t>
      </w:r>
    </w:p>
    <w:p>
      <w:pPr>
        <w:pStyle w:val="Normal"/>
        <w:numPr>
          <w:ilvl w:val="1"/>
          <w:numId w:val="2"/>
        </w:numPr>
        <w:shd w:fill="FFFFFF" w:val="clear"/>
        <w:spacing w:lineRule="auto" w:line="240" w:before="0" w:after="0"/>
        <w:ind w:left="0" w:firstLine="709"/>
        <w:jc w:val="both"/>
        <w:rPr>
          <w:color w:val="000000"/>
          <w:sz w:val="26"/>
          <w:szCs w:val="26"/>
        </w:rPr>
      </w:pPr>
      <w:r>
        <w:rPr>
          <w:color w:val="000000"/>
          <w:sz w:val="26"/>
          <w:szCs w:val="26"/>
        </w:rPr>
        <w:t xml:space="preserve">Цена Контракта является твердой и определяется на весь срок его исполнения и не может изменяться в ходе его исполнения. </w:t>
      </w:r>
    </w:p>
    <w:p>
      <w:pPr>
        <w:pStyle w:val="Normal"/>
        <w:numPr>
          <w:ilvl w:val="1"/>
          <w:numId w:val="2"/>
        </w:numPr>
        <w:shd w:fill="FFFFFF" w:val="clear"/>
        <w:spacing w:lineRule="auto" w:line="240" w:before="0" w:after="0"/>
        <w:ind w:left="0" w:firstLine="709"/>
        <w:jc w:val="both"/>
        <w:rPr>
          <w:sz w:val="26"/>
          <w:szCs w:val="26"/>
        </w:rPr>
      </w:pPr>
      <w:r>
        <w:rPr>
          <w:color w:val="000000"/>
          <w:sz w:val="26"/>
          <w:szCs w:val="26"/>
        </w:rPr>
        <w:t xml:space="preserve">Государственный заказчик по согласованию с Поставщиком в ходе исполнения Контракта вправе увеличить предусмотренное Контрактом количество Товара, не более чем на десять процентов или уменьшить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w:t>
        <w:br/>
        <w:t>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pPr>
        <w:pStyle w:val="Normal"/>
        <w:numPr>
          <w:ilvl w:val="1"/>
          <w:numId w:val="2"/>
        </w:numPr>
        <w:shd w:fill="FFFFFF" w:val="clear"/>
        <w:spacing w:lineRule="auto" w:line="240" w:before="0" w:after="0"/>
        <w:ind w:left="0" w:firstLine="709"/>
        <w:jc w:val="both"/>
        <w:rPr>
          <w:sz w:val="26"/>
          <w:szCs w:val="26"/>
        </w:rPr>
      </w:pPr>
      <w:r>
        <w:rPr>
          <w:sz w:val="26"/>
          <w:szCs w:val="26"/>
        </w:rPr>
        <w:t>Авансирование по настоящему Контракту не производится</w:t>
      </w:r>
      <w:r>
        <w:rPr>
          <w:rFonts w:eastAsia="Droid Sans;MS Mincho"/>
          <w:kern w:val="2"/>
          <w:sz w:val="26"/>
          <w:szCs w:val="26"/>
        </w:rPr>
        <w:t>.</w:t>
      </w:r>
    </w:p>
    <w:p>
      <w:pPr>
        <w:pStyle w:val="Normal"/>
        <w:numPr>
          <w:ilvl w:val="1"/>
          <w:numId w:val="2"/>
        </w:numPr>
        <w:shd w:fill="FFFFFF" w:val="clear"/>
        <w:spacing w:lineRule="auto" w:line="240" w:before="0" w:after="0"/>
        <w:ind w:left="0" w:firstLine="709"/>
        <w:jc w:val="both"/>
        <w:rPr>
          <w:spacing w:val="-4"/>
          <w:sz w:val="26"/>
          <w:szCs w:val="26"/>
          <w:lang w:val="ru-RU" w:eastAsia="ru-RU"/>
        </w:rPr>
      </w:pPr>
      <w:r>
        <w:rPr>
          <w:sz w:val="26"/>
          <w:szCs w:val="26"/>
        </w:rPr>
        <w:t xml:space="preserve">Оплата по Контракту производится Государственным заказчиком </w:t>
        <w:br/>
        <w:t>по безналичному расчету путем перечисления на расчетный счет Поставщика денежных средств, выделенных из федерального бюджета, в пределах доведенных до Государственного заказчика лимитов бюджетных обязательств на 2026 финансовый период, по факту поставки Товара в объеме согласно Технического задания, но не выше цены Контракта в срок, не более 7 (семи) рабочих дней со дня подписания Государственным заказчиком (или его уполномоченным представителем) акта приемки товаров работ, услуг, на основании выставленного Поставщиком счета, но не позднее, чем за один рабочий день до окончания соответствующего финансового года.</w:t>
      </w:r>
    </w:p>
    <w:p>
      <w:pPr>
        <w:pStyle w:val="Normal"/>
        <w:numPr>
          <w:ilvl w:val="1"/>
          <w:numId w:val="2"/>
        </w:numPr>
        <w:shd w:fill="FFFFFF" w:val="clear"/>
        <w:spacing w:lineRule="auto" w:line="240" w:before="0" w:after="0"/>
        <w:ind w:left="0" w:firstLine="709"/>
        <w:jc w:val="both"/>
        <w:rPr>
          <w:color w:val="000000"/>
          <w:sz w:val="26"/>
          <w:szCs w:val="26"/>
        </w:rPr>
      </w:pPr>
      <w:r>
        <w:rPr>
          <w:spacing w:val="-4"/>
          <w:sz w:val="26"/>
          <w:szCs w:val="26"/>
          <w:lang w:val="ru-RU" w:eastAsia="ru-RU"/>
        </w:rPr>
        <w:t xml:space="preserve">Обязательства Государственного заказчика по оплате Товара, считаются исполненными с момента списания денежных средств со счета Государственного заказчика. </w:t>
      </w:r>
    </w:p>
    <w:p>
      <w:pPr>
        <w:pStyle w:val="Normal"/>
        <w:numPr>
          <w:ilvl w:val="1"/>
          <w:numId w:val="2"/>
        </w:numPr>
        <w:shd w:fill="FFFFFF" w:val="clear"/>
        <w:spacing w:lineRule="auto" w:line="240" w:before="0" w:after="0"/>
        <w:ind w:left="0" w:firstLine="709"/>
        <w:jc w:val="both"/>
        <w:rPr>
          <w:color w:val="000000"/>
          <w:sz w:val="26"/>
          <w:szCs w:val="26"/>
        </w:rPr>
      </w:pPr>
      <w:r>
        <w:rPr>
          <w:spacing w:val="-4"/>
          <w:sz w:val="26"/>
          <w:szCs w:val="26"/>
          <w:lang w:val="ru-RU" w:eastAsia="ru-RU"/>
        </w:rPr>
        <w:t>В случае неисполнения или ненадлежащего исполнения Поставщиком обязательств, предусмотренных настоящим Контрактом, Государственный заказчик вправе удержать сумму неустоек (штрафов, пеней) неисполненных Поставщиком требований об уплате неустоек (штрафов, пеней), предъявленных Государственным заказчиком в соответствии с Законом № 44-Ф3, из суммы подлежащей оплате  Поставщику.</w:t>
      </w:r>
    </w:p>
    <w:p>
      <w:pPr>
        <w:pStyle w:val="Normal"/>
        <w:shd w:fill="FFFFFF" w:val="clear"/>
        <w:spacing w:lineRule="auto" w:line="240" w:before="0" w:after="0"/>
        <w:ind w:left="0" w:hanging="0"/>
        <w:jc w:val="both"/>
        <w:rPr>
          <w:color w:val="000000"/>
          <w:sz w:val="26"/>
          <w:szCs w:val="26"/>
        </w:rPr>
      </w:pPr>
      <w:r>
        <w:rPr>
          <w:color w:val="000000"/>
          <w:sz w:val="26"/>
          <w:szCs w:val="26"/>
        </w:rPr>
      </w:r>
    </w:p>
    <w:p>
      <w:pPr>
        <w:pStyle w:val="Normal"/>
        <w:shd w:fill="FFFFFF" w:val="clear"/>
        <w:spacing w:lineRule="auto" w:line="240" w:before="0" w:after="0"/>
        <w:ind w:left="0" w:hanging="0"/>
        <w:jc w:val="both"/>
        <w:rPr>
          <w:color w:val="000000"/>
          <w:sz w:val="26"/>
          <w:szCs w:val="26"/>
        </w:rPr>
      </w:pPr>
      <w:r>
        <w:rPr>
          <w:color w:val="000000"/>
          <w:sz w:val="26"/>
          <w:szCs w:val="26"/>
        </w:rPr>
      </w:r>
    </w:p>
    <w:p>
      <w:pPr>
        <w:pStyle w:val="Normal"/>
        <w:shd w:fill="FFFFFF" w:val="clear"/>
        <w:spacing w:lineRule="auto" w:line="240" w:before="0" w:after="0"/>
        <w:ind w:left="0" w:hanging="0"/>
        <w:jc w:val="both"/>
        <w:rPr>
          <w:color w:val="000000"/>
          <w:sz w:val="26"/>
          <w:szCs w:val="26"/>
        </w:rPr>
      </w:pPr>
      <w:r>
        <w:rPr>
          <w:color w:val="000000"/>
          <w:sz w:val="26"/>
          <w:szCs w:val="26"/>
        </w:rPr>
      </w:r>
    </w:p>
    <w:p>
      <w:pPr>
        <w:pStyle w:val="Normal"/>
        <w:shd w:fill="FFFFFF" w:val="clear"/>
        <w:spacing w:lineRule="auto" w:line="240" w:before="0" w:after="0"/>
        <w:ind w:left="0" w:hanging="0"/>
        <w:jc w:val="both"/>
        <w:rPr>
          <w:color w:val="000000"/>
          <w:sz w:val="26"/>
          <w:szCs w:val="26"/>
        </w:rPr>
      </w:pPr>
      <w:r>
        <w:rPr>
          <w:color w:val="000000"/>
          <w:sz w:val="26"/>
          <w:szCs w:val="26"/>
        </w:rPr>
      </w:r>
    </w:p>
    <w:p>
      <w:pPr>
        <w:pStyle w:val="4"/>
        <w:numPr>
          <w:ilvl w:val="0"/>
          <w:numId w:val="2"/>
        </w:numPr>
        <w:tabs>
          <w:tab w:val="clear" w:pos="708"/>
        </w:tabs>
        <w:spacing w:lineRule="auto" w:line="240" w:before="0" w:after="0"/>
        <w:ind w:left="0" w:right="-71" w:hanging="0"/>
        <w:contextualSpacing/>
        <w:jc w:val="center"/>
        <w:rPr>
          <w:sz w:val="26"/>
          <w:szCs w:val="26"/>
        </w:rPr>
      </w:pPr>
      <w:r>
        <w:rPr>
          <w:b/>
          <w:sz w:val="26"/>
          <w:szCs w:val="26"/>
        </w:rPr>
        <w:t>Тара, упаковка и маркировка</w:t>
      </w:r>
    </w:p>
    <w:p>
      <w:pPr>
        <w:pStyle w:val="ListParagraph"/>
        <w:numPr>
          <w:ilvl w:val="1"/>
          <w:numId w:val="2"/>
        </w:numPr>
        <w:shd w:fill="FFFFFF" w:val="clear"/>
        <w:spacing w:before="0" w:after="0"/>
        <w:ind w:left="0" w:right="0" w:firstLine="709"/>
        <w:contextualSpacing/>
        <w:jc w:val="both"/>
        <w:rPr>
          <w:sz w:val="26"/>
          <w:szCs w:val="26"/>
        </w:rPr>
      </w:pPr>
      <w:r>
        <w:rPr>
          <w:sz w:val="26"/>
          <w:szCs w:val="26"/>
        </w:rPr>
        <w:t>Товар должен быть затарен, упакован и замаркирован, в соответствии</w:t>
        <w:br/>
        <w:t xml:space="preserve">с действующими стандартами, техническими условиями и условиями Контракта таким образом, чтобы обеспечить его сохранность при транспортировке различными видами транспорта до пункта назначения с учетом многочисленных перегрузок </w:t>
        <w:br/>
        <w:t>и хранения.</w:t>
      </w:r>
    </w:p>
    <w:p>
      <w:pPr>
        <w:pStyle w:val="ListParagraph"/>
        <w:numPr>
          <w:ilvl w:val="1"/>
          <w:numId w:val="2"/>
        </w:numPr>
        <w:shd w:fill="FFFFFF" w:val="clear"/>
        <w:spacing w:before="0" w:after="0"/>
        <w:ind w:left="0" w:right="0" w:firstLine="709"/>
        <w:contextualSpacing/>
        <w:jc w:val="both"/>
        <w:rPr>
          <w:sz w:val="26"/>
          <w:szCs w:val="26"/>
        </w:rPr>
      </w:pPr>
      <w:r>
        <w:rPr>
          <w:sz w:val="26"/>
          <w:szCs w:val="26"/>
        </w:rPr>
        <w:t xml:space="preserve">Тара и упаковка возврату не подлежат, их стоимость включена в цену Контракта. </w:t>
      </w:r>
    </w:p>
    <w:p>
      <w:pPr>
        <w:pStyle w:val="ListParagraph"/>
        <w:numPr>
          <w:ilvl w:val="1"/>
          <w:numId w:val="2"/>
        </w:numPr>
        <w:shd w:fill="FFFFFF" w:val="clear"/>
        <w:spacing w:before="0" w:after="0"/>
        <w:ind w:left="0" w:right="0" w:firstLine="709"/>
        <w:contextualSpacing/>
        <w:jc w:val="both"/>
        <w:rPr>
          <w:sz w:val="26"/>
          <w:szCs w:val="26"/>
        </w:rPr>
      </w:pPr>
      <w:r>
        <w:rPr>
          <w:sz w:val="26"/>
          <w:szCs w:val="26"/>
        </w:rPr>
        <w:t xml:space="preserve">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ненадлежащей маркировки, считается </w:t>
        <w:br/>
        <w:t>непоставленным и приемке не подлежит.</w:t>
      </w:r>
    </w:p>
    <w:p>
      <w:pPr>
        <w:pStyle w:val="ListParagraph"/>
        <w:shd w:fill="FFFFFF" w:val="clear"/>
        <w:spacing w:before="0" w:after="0"/>
        <w:ind w:left="1" w:right="0" w:hanging="0"/>
        <w:contextualSpacing/>
        <w:jc w:val="both"/>
        <w:rPr>
          <w:sz w:val="26"/>
          <w:szCs w:val="26"/>
        </w:rPr>
      </w:pPr>
      <w:r>
        <w:rPr>
          <w:sz w:val="26"/>
          <w:szCs w:val="26"/>
        </w:rPr>
      </w:r>
    </w:p>
    <w:p>
      <w:pPr>
        <w:pStyle w:val="ListParagraph"/>
        <w:numPr>
          <w:ilvl w:val="0"/>
          <w:numId w:val="2"/>
        </w:numPr>
        <w:tabs>
          <w:tab w:val="clear" w:pos="708"/>
        </w:tabs>
        <w:ind w:left="0" w:right="0" w:hanging="0"/>
        <w:jc w:val="center"/>
        <w:rPr>
          <w:sz w:val="26"/>
          <w:szCs w:val="26"/>
          <w:lang w:val="ru-RU" w:eastAsia="ru-RU"/>
        </w:rPr>
      </w:pPr>
      <w:r>
        <w:rPr>
          <w:b/>
          <w:color w:val="000000"/>
          <w:sz w:val="26"/>
          <w:szCs w:val="26"/>
        </w:rPr>
        <w:t xml:space="preserve">Порядок, сроки, условия поставки </w:t>
      </w:r>
      <w:r>
        <w:rPr>
          <w:b/>
          <w:sz w:val="26"/>
          <w:szCs w:val="26"/>
        </w:rPr>
        <w:t>и приемки Товара</w:t>
      </w:r>
    </w:p>
    <w:p>
      <w:pPr>
        <w:pStyle w:val="Normal"/>
        <w:numPr>
          <w:ilvl w:val="1"/>
          <w:numId w:val="2"/>
        </w:numPr>
        <w:autoSpaceDE w:val="false"/>
        <w:spacing w:lineRule="auto" w:line="240" w:before="0" w:after="0"/>
        <w:contextualSpacing/>
        <w:jc w:val="both"/>
        <w:rPr>
          <w:sz w:val="26"/>
          <w:szCs w:val="26"/>
        </w:rPr>
      </w:pPr>
      <w:r>
        <w:rPr>
          <w:sz w:val="26"/>
          <w:szCs w:val="26"/>
          <w:lang w:val="ru-RU" w:eastAsia="ru-RU"/>
        </w:rPr>
        <w:t>Срок поставки Товара Государственный заказчику – в течении</w:t>
        <w:br/>
        <w:t xml:space="preserve">15 (пятнадцати) рабочих дней с момента заключения Контракта. </w:t>
      </w:r>
    </w:p>
    <w:p>
      <w:pPr>
        <w:pStyle w:val="Normal"/>
        <w:autoSpaceDE w:val="false"/>
        <w:spacing w:lineRule="auto" w:line="240" w:before="0" w:after="0"/>
        <w:ind w:left="1" w:firstLine="709"/>
        <w:contextualSpacing/>
        <w:jc w:val="both"/>
        <w:rPr>
          <w:sz w:val="26"/>
          <w:szCs w:val="26"/>
        </w:rPr>
      </w:pPr>
      <w:r>
        <w:rPr>
          <w:sz w:val="26"/>
          <w:szCs w:val="26"/>
        </w:rPr>
        <w:t xml:space="preserve">Время поставки (время московское): с 9:00 до 13:00 и с 14:00 до 17:30 </w:t>
        <w:br/>
        <w:t xml:space="preserve">с понедельника по четверг и с 9:00 до 13:00 и с 14:00 до 16:15 – в пятницу. </w:t>
        <w:br/>
        <w:t>В предпраздничные дни указанное время сокращается на 1 час, до 16:30 и 15:15 соответственно.</w:t>
      </w:r>
    </w:p>
    <w:p>
      <w:pPr>
        <w:pStyle w:val="ListParagraph"/>
        <w:numPr>
          <w:ilvl w:val="1"/>
          <w:numId w:val="2"/>
        </w:numPr>
        <w:shd w:fill="FFFFFF" w:val="clear"/>
        <w:spacing w:before="0" w:after="0"/>
        <w:contextualSpacing/>
        <w:jc w:val="both"/>
        <w:rPr>
          <w:sz w:val="26"/>
          <w:szCs w:val="26"/>
        </w:rPr>
      </w:pPr>
      <w:r>
        <w:rPr>
          <w:sz w:val="26"/>
          <w:szCs w:val="26"/>
          <w:lang w:val="ru-RU" w:eastAsia="ru-RU"/>
        </w:rPr>
        <w:t xml:space="preserve">Поставщик обязуется произвести поставку Товара и разгрузку Товара </w:t>
        <w:br/>
        <w:t>на первом этаже административного здания УФСИН России по Архангельской области по адресу: г. Архангельск, пр-кт Троицкий, д. 96.</w:t>
      </w:r>
    </w:p>
    <w:p>
      <w:pPr>
        <w:pStyle w:val="ListParagraph"/>
        <w:numPr>
          <w:ilvl w:val="1"/>
          <w:numId w:val="2"/>
        </w:numPr>
        <w:shd w:fill="FFFFFF" w:val="clear"/>
        <w:spacing w:before="0" w:after="0"/>
        <w:contextualSpacing/>
        <w:jc w:val="both"/>
        <w:rPr>
          <w:sz w:val="26"/>
          <w:szCs w:val="26"/>
        </w:rPr>
      </w:pPr>
      <w:r>
        <w:rPr>
          <w:sz w:val="26"/>
          <w:szCs w:val="26"/>
        </w:rPr>
        <w:t>Поставщик уведомляет Государственного заказчика о готовности поставки (передачи) Товара в порядке, предусмотренном в п. 2.1.2 Контракта.</w:t>
      </w:r>
    </w:p>
    <w:p>
      <w:pPr>
        <w:pStyle w:val="Normal"/>
        <w:spacing w:lineRule="auto" w:line="240" w:before="0" w:after="0"/>
        <w:ind w:left="0" w:firstLine="709"/>
        <w:jc w:val="both"/>
        <w:rPr>
          <w:sz w:val="26"/>
          <w:szCs w:val="26"/>
        </w:rPr>
      </w:pPr>
      <w:r>
        <w:rPr>
          <w:sz w:val="26"/>
          <w:szCs w:val="26"/>
        </w:rPr>
        <w:t xml:space="preserve">5.4. Приемка Товара осуществляется путем передачи Поставщиком Товара </w:t>
        <w:br/>
        <w:t>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pPr>
        <w:pStyle w:val="Normal"/>
        <w:spacing w:lineRule="auto" w:line="240" w:before="0" w:after="0"/>
        <w:ind w:left="0" w:firstLine="709"/>
        <w:jc w:val="both"/>
        <w:rPr>
          <w:sz w:val="26"/>
          <w:szCs w:val="26"/>
        </w:rPr>
      </w:pPr>
      <w:r>
        <w:rPr>
          <w:sz w:val="26"/>
          <w:szCs w:val="26"/>
        </w:rPr>
        <w:t>5.5. Государственный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pPr>
        <w:pStyle w:val="Normal"/>
        <w:spacing w:lineRule="auto" w:line="240" w:before="0" w:after="0"/>
        <w:ind w:left="0" w:firstLine="709"/>
        <w:jc w:val="both"/>
        <w:rPr>
          <w:sz w:val="26"/>
          <w:szCs w:val="26"/>
        </w:rPr>
      </w:pPr>
      <w:r>
        <w:rPr>
          <w:sz w:val="26"/>
          <w:szCs w:val="26"/>
        </w:rPr>
        <w:t>5.6.  Приемка товара по качеству и количеству производится Государственным заказчиком, в соответствии с порядком определенным настоящим Контрактом  в сроки предусмотренные настоящим Контрактом.</w:t>
      </w:r>
    </w:p>
    <w:p>
      <w:pPr>
        <w:pStyle w:val="Normal"/>
        <w:spacing w:lineRule="auto" w:line="240" w:before="0" w:after="0"/>
        <w:ind w:left="0" w:firstLine="709"/>
        <w:jc w:val="both"/>
        <w:rPr>
          <w:sz w:val="26"/>
          <w:szCs w:val="26"/>
        </w:rPr>
      </w:pPr>
      <w:r>
        <w:rPr>
          <w:sz w:val="26"/>
          <w:szCs w:val="26"/>
        </w:rPr>
        <w:t xml:space="preserve">5.7. Приемка товара по качеству осуществляется путем проверки соответствия товара предъявляемым к нему настоящим Контрактом требованиям, с учетом данных товарно-сопроводительных документов, содержащих данные о качестве товара, проверки комплектности Товара, его маркировки и упаковки, соблюдения требований к перевозке Товара и другое. Государственный заказчик вправе при осуществлении приемки товара вскрыть тару и исследовать товар, на предмет его соответствия предусмотренным Контрактом требованиям. </w:t>
      </w:r>
    </w:p>
    <w:p>
      <w:pPr>
        <w:pStyle w:val="Normal"/>
        <w:spacing w:lineRule="auto" w:line="240" w:before="0" w:after="0"/>
        <w:ind w:left="0" w:firstLine="709"/>
        <w:jc w:val="both"/>
        <w:rPr>
          <w:sz w:val="26"/>
          <w:szCs w:val="26"/>
        </w:rPr>
      </w:pPr>
      <w:r>
        <w:rPr>
          <w:sz w:val="26"/>
          <w:szCs w:val="26"/>
        </w:rPr>
        <w:t>По количеству, путем сверки фактически поставленного в адрес Государственного заказчика товара с данными товарно-сопроводительных документов, отражающих количество отгруженного Поставщиком товара.</w:t>
      </w:r>
    </w:p>
    <w:p>
      <w:pPr>
        <w:pStyle w:val="Normal"/>
        <w:spacing w:lineRule="auto" w:line="232" w:before="0" w:after="0"/>
        <w:ind w:left="0" w:firstLine="709"/>
        <w:jc w:val="both"/>
        <w:rPr>
          <w:sz w:val="26"/>
          <w:szCs w:val="26"/>
        </w:rPr>
      </w:pPr>
      <w:r>
        <w:rPr>
          <w:sz w:val="26"/>
          <w:szCs w:val="26"/>
        </w:rPr>
        <w:t xml:space="preserve">5.8. В случае обнаружения недостачи товара, товар принимается Государственным заказчиком по его фактическому наличию, а при обнаружении некачественного товара составляется Акт об установленном расхождении </w:t>
        <w:br/>
        <w:t>по количеству и качеству при приемке товарно-материальных ценностей (далее – Акт о расхождении). При указанных обстоятельствах товарная накладная подписывается Государственным заказчиком с учетом Акта о расхождении.</w:t>
      </w:r>
    </w:p>
    <w:p>
      <w:pPr>
        <w:pStyle w:val="Normal"/>
        <w:spacing w:lineRule="auto" w:line="232" w:before="0" w:after="0"/>
        <w:ind w:left="0" w:firstLine="709"/>
        <w:jc w:val="both"/>
        <w:rPr>
          <w:sz w:val="26"/>
          <w:szCs w:val="26"/>
        </w:rPr>
      </w:pPr>
      <w:r>
        <w:rPr>
          <w:sz w:val="26"/>
          <w:szCs w:val="26"/>
        </w:rPr>
        <w:t>5.9. Факт выгрузки товара подтверждается Государственным заказчиком и отражается в товарной накладной, с указанием фактического количества Товара предъявленного к поставке.</w:t>
      </w:r>
    </w:p>
    <w:p>
      <w:pPr>
        <w:pStyle w:val="Normal"/>
        <w:widowControl w:val="false"/>
        <w:autoSpaceDE w:val="false"/>
        <w:spacing w:lineRule="auto" w:line="232" w:before="0" w:after="0"/>
        <w:ind w:left="0" w:firstLine="709"/>
        <w:jc w:val="both"/>
        <w:rPr>
          <w:sz w:val="26"/>
          <w:szCs w:val="26"/>
        </w:rPr>
      </w:pPr>
      <w:r>
        <w:rPr>
          <w:sz w:val="26"/>
          <w:szCs w:val="26"/>
          <w:lang w:eastAsia="ru-RU"/>
        </w:rPr>
        <w:t xml:space="preserve">5.10. При отсутствии претензий относительно количества Товара, упаковки, комплектности, Товара, комплекта, качества и безопасности Товара, в том числе </w:t>
        <w:br/>
        <w:t xml:space="preserve">на основании заключения по результатам экспертизы, проведенной путем выборочной проверки качества и безопасности Товара, </w:t>
      </w:r>
      <w:r>
        <w:rPr>
          <w:sz w:val="26"/>
          <w:szCs w:val="26"/>
        </w:rPr>
        <w:t xml:space="preserve">Государственный заказчик </w:t>
      </w:r>
      <w:r>
        <w:rPr>
          <w:sz w:val="26"/>
          <w:szCs w:val="26"/>
          <w:lang w:eastAsia="ru-RU"/>
        </w:rPr>
        <w:t>подписывает документ о приемке.</w:t>
      </w:r>
    </w:p>
    <w:p>
      <w:pPr>
        <w:pStyle w:val="Normal"/>
        <w:widowControl w:val="false"/>
        <w:autoSpaceDE w:val="false"/>
        <w:spacing w:lineRule="auto" w:line="232" w:before="0" w:after="0"/>
        <w:ind w:left="0" w:firstLine="709"/>
        <w:jc w:val="both"/>
        <w:rPr>
          <w:sz w:val="26"/>
          <w:szCs w:val="26"/>
        </w:rPr>
      </w:pPr>
      <w:r>
        <w:rPr>
          <w:sz w:val="26"/>
          <w:szCs w:val="26"/>
          <w:lang w:eastAsia="ru-RU"/>
        </w:rPr>
        <w:t xml:space="preserve">5.11. В случае обнаружения </w:t>
      </w:r>
      <w:r>
        <w:rPr>
          <w:sz w:val="26"/>
          <w:szCs w:val="26"/>
        </w:rPr>
        <w:t>Государственным заказчиком</w:t>
      </w:r>
      <w:r>
        <w:rPr>
          <w:sz w:val="26"/>
          <w:szCs w:val="26"/>
          <w:lang w:eastAsia="ru-RU"/>
        </w:rPr>
        <w:t xml:space="preserve"> нарушений условий настоящего Контракта, в том числе требований к количеству Товара, комплектности Товара, комплекту, качеству и безопасности Товара Поставщик обязуется без дополнительной оплаты со стороны </w:t>
      </w:r>
      <w:r>
        <w:rPr>
          <w:sz w:val="26"/>
          <w:szCs w:val="26"/>
        </w:rPr>
        <w:t>Государственного заказчика</w:t>
      </w:r>
      <w:r>
        <w:rPr>
          <w:sz w:val="26"/>
          <w:szCs w:val="26"/>
          <w:lang w:eastAsia="ru-RU"/>
        </w:rPr>
        <w:t xml:space="preserve"> устранить выявленные нарушения (до поставить, доукомплектовать, заменить Товар) в срок не позднее 3 (трех) календарных </w:t>
      </w:r>
      <w:r>
        <w:rPr>
          <w:sz w:val="26"/>
          <w:szCs w:val="26"/>
          <w:vertAlign w:val="superscript"/>
          <w:lang w:eastAsia="ru-RU"/>
        </w:rPr>
        <w:t> </w:t>
      </w:r>
      <w:r>
        <w:rPr>
          <w:sz w:val="26"/>
          <w:szCs w:val="26"/>
          <w:lang w:eastAsia="ru-RU"/>
        </w:rPr>
        <w:t xml:space="preserve">дней со дня получения от </w:t>
      </w:r>
      <w:r>
        <w:rPr>
          <w:sz w:val="26"/>
          <w:szCs w:val="26"/>
        </w:rPr>
        <w:t>Государственного заказчика</w:t>
      </w:r>
      <w:r>
        <w:rPr>
          <w:sz w:val="26"/>
          <w:szCs w:val="26"/>
          <w:lang w:eastAsia="ru-RU"/>
        </w:rPr>
        <w:t xml:space="preserve"> мотивированного отказа от приемки Товара или иного уведомления </w:t>
      </w:r>
      <w:r>
        <w:rPr>
          <w:sz w:val="26"/>
          <w:szCs w:val="26"/>
        </w:rPr>
        <w:t>Государственного заказчика</w:t>
      </w:r>
      <w:r>
        <w:rPr>
          <w:sz w:val="26"/>
          <w:szCs w:val="26"/>
          <w:lang w:eastAsia="ru-RU"/>
        </w:rPr>
        <w:t>. Допоставка недопоставленного, доукомплектование или замена некачественного Товара оформляется соответствующей товарной накладной в порядке, предусмотренном настоящим разделом.</w:t>
      </w:r>
    </w:p>
    <w:p>
      <w:pPr>
        <w:pStyle w:val="Normal"/>
        <w:widowControl w:val="false"/>
        <w:autoSpaceDE w:val="false"/>
        <w:spacing w:lineRule="auto" w:line="232" w:before="0" w:after="0"/>
        <w:ind w:left="0" w:firstLine="709"/>
        <w:jc w:val="both"/>
        <w:rPr>
          <w:sz w:val="26"/>
          <w:szCs w:val="26"/>
        </w:rPr>
      </w:pPr>
      <w:r>
        <w:rPr>
          <w:sz w:val="26"/>
          <w:szCs w:val="26"/>
          <w:lang w:eastAsia="ru-RU"/>
        </w:rPr>
        <w:t xml:space="preserve">5.12. В случае повторного выявления по результатам экспертизы, предусмотренной настоящим пунктом, нарушений условий настоящего Контракта </w:t>
      </w:r>
      <w:r>
        <w:rPr>
          <w:sz w:val="26"/>
          <w:szCs w:val="26"/>
        </w:rPr>
        <w:t>Государственный заказчик</w:t>
      </w:r>
      <w:r>
        <w:rPr>
          <w:sz w:val="26"/>
          <w:szCs w:val="26"/>
          <w:lang w:eastAsia="ru-RU"/>
        </w:rPr>
        <w:t xml:space="preserve"> вправе отказаться от исполнения настоящего Контракта по основаниям, предусмотренным гражданским законодательством Российской Федерации.</w:t>
      </w:r>
    </w:p>
    <w:p>
      <w:pPr>
        <w:pStyle w:val="Normal"/>
        <w:widowControl w:val="false"/>
        <w:autoSpaceDE w:val="false"/>
        <w:spacing w:lineRule="auto" w:line="232" w:before="0" w:after="0"/>
        <w:ind w:left="0" w:firstLine="709"/>
        <w:jc w:val="both"/>
        <w:rPr>
          <w:sz w:val="26"/>
          <w:szCs w:val="26"/>
        </w:rPr>
      </w:pPr>
      <w:r>
        <w:rPr>
          <w:sz w:val="26"/>
          <w:szCs w:val="26"/>
          <w:lang w:eastAsia="ru-RU"/>
        </w:rPr>
        <w:t xml:space="preserve">Подписание со стороны </w:t>
      </w:r>
      <w:r>
        <w:rPr>
          <w:sz w:val="26"/>
          <w:szCs w:val="26"/>
        </w:rPr>
        <w:t>Государственного заказчика</w:t>
      </w:r>
      <w:r>
        <w:rPr>
          <w:sz w:val="26"/>
          <w:szCs w:val="26"/>
          <w:lang w:eastAsia="ru-RU"/>
        </w:rPr>
        <w:t xml:space="preserve"> документа о приемке Товара подтверждает исполнение обязательств Поставщика, предусмотренных настоящим Контрактом.</w:t>
      </w:r>
    </w:p>
    <w:p>
      <w:pPr>
        <w:pStyle w:val="Normal"/>
        <w:widowControl w:val="false"/>
        <w:autoSpaceDE w:val="false"/>
        <w:spacing w:lineRule="auto" w:line="232" w:before="0" w:after="0"/>
        <w:ind w:left="0" w:firstLine="709"/>
        <w:jc w:val="both"/>
        <w:rPr>
          <w:sz w:val="26"/>
          <w:szCs w:val="26"/>
        </w:rPr>
      </w:pPr>
      <w:r>
        <w:rPr>
          <w:sz w:val="26"/>
          <w:szCs w:val="26"/>
          <w:lang w:eastAsia="ru-RU"/>
        </w:rPr>
        <w:t xml:space="preserve">5.13. Право собственности на Товар, риск утраты, случайной гибели или повреждения Товара переходят от Поставщика к </w:t>
      </w:r>
      <w:r>
        <w:rPr>
          <w:sz w:val="26"/>
          <w:szCs w:val="26"/>
        </w:rPr>
        <w:t>Государственному заказчику</w:t>
      </w:r>
      <w:r>
        <w:rPr>
          <w:sz w:val="26"/>
          <w:szCs w:val="26"/>
          <w:lang w:eastAsia="ru-RU"/>
        </w:rPr>
        <w:t xml:space="preserve"> </w:t>
        <w:br/>
        <w:t>с момента подписания Сторонами товарной накладной.</w:t>
      </w:r>
    </w:p>
    <w:p>
      <w:pPr>
        <w:pStyle w:val="Normal"/>
        <w:widowControl w:val="false"/>
        <w:autoSpaceDE w:val="false"/>
        <w:spacing w:lineRule="auto" w:line="232" w:before="0" w:after="0"/>
        <w:ind w:left="0" w:firstLine="709"/>
        <w:jc w:val="both"/>
        <w:rPr>
          <w:sz w:val="26"/>
          <w:szCs w:val="26"/>
        </w:rPr>
      </w:pPr>
      <w:r>
        <w:rPr>
          <w:sz w:val="26"/>
          <w:szCs w:val="26"/>
          <w:lang w:eastAsia="ru-RU"/>
        </w:rPr>
        <w:t xml:space="preserve">5.14. Поставщик обязан одновременно с передачей Товара передать </w:t>
      </w:r>
      <w:r>
        <w:rPr>
          <w:sz w:val="26"/>
          <w:szCs w:val="26"/>
        </w:rPr>
        <w:t xml:space="preserve">Государственному заказчику </w:t>
      </w:r>
      <w:r>
        <w:rPr>
          <w:sz w:val="26"/>
          <w:szCs w:val="26"/>
          <w:lang w:eastAsia="ru-RU"/>
        </w:rPr>
        <w:t>относящиеся к нему документы, предусмотренные законодательством Российской Федерации, производителем Товара и настоящим Контрактом.</w:t>
      </w:r>
    </w:p>
    <w:p>
      <w:pPr>
        <w:pStyle w:val="Normal"/>
        <w:autoSpaceDE w:val="false"/>
        <w:spacing w:lineRule="auto" w:line="232" w:before="0" w:after="0"/>
        <w:ind w:left="0" w:hanging="0"/>
        <w:jc w:val="both"/>
        <w:rPr>
          <w:sz w:val="26"/>
          <w:szCs w:val="26"/>
        </w:rPr>
      </w:pPr>
      <w:r>
        <w:rPr>
          <w:sz w:val="26"/>
          <w:szCs w:val="26"/>
          <w:lang w:eastAsia="ru-RU"/>
        </w:rPr>
      </w:r>
    </w:p>
    <w:p>
      <w:pPr>
        <w:pStyle w:val="ListParagraph"/>
        <w:numPr>
          <w:ilvl w:val="0"/>
          <w:numId w:val="2"/>
        </w:numPr>
        <w:tabs>
          <w:tab w:val="clear" w:pos="708"/>
        </w:tabs>
        <w:spacing w:lineRule="auto" w:line="232"/>
        <w:ind w:left="0" w:right="0" w:hanging="0"/>
        <w:jc w:val="center"/>
        <w:rPr>
          <w:sz w:val="26"/>
          <w:szCs w:val="26"/>
        </w:rPr>
      </w:pPr>
      <w:r>
        <w:rPr>
          <w:b/>
          <w:sz w:val="26"/>
          <w:szCs w:val="26"/>
        </w:rPr>
        <w:t>Экспертиза Товара</w:t>
      </w:r>
    </w:p>
    <w:p>
      <w:pPr>
        <w:pStyle w:val="14"/>
        <w:numPr>
          <w:ilvl w:val="1"/>
          <w:numId w:val="2"/>
        </w:numPr>
        <w:spacing w:lineRule="auto" w:line="232"/>
        <w:ind w:left="0" w:firstLine="709"/>
        <w:rPr>
          <w:sz w:val="26"/>
          <w:szCs w:val="26"/>
        </w:rPr>
      </w:pPr>
      <w:r>
        <w:rPr>
          <w:sz w:val="26"/>
          <w:szCs w:val="26"/>
        </w:rPr>
        <w:t>Экспертиза проводится Государственным заказчиком своими силами или к ее проведению могут привлекаться эксперты, экспертные организации.</w:t>
      </w:r>
    </w:p>
    <w:p>
      <w:pPr>
        <w:pStyle w:val="14"/>
        <w:numPr>
          <w:ilvl w:val="1"/>
          <w:numId w:val="2"/>
        </w:numPr>
        <w:spacing w:lineRule="auto" w:line="232"/>
        <w:ind w:left="0" w:firstLine="709"/>
        <w:rPr>
          <w:sz w:val="26"/>
          <w:szCs w:val="26"/>
        </w:rPr>
      </w:pPr>
      <w:r>
        <w:rPr>
          <w:sz w:val="26"/>
          <w:szCs w:val="26"/>
        </w:rPr>
        <w:t>Срок проведения экспертизы не может превышать 20 (двадцати) рабочих  дней.</w:t>
      </w:r>
    </w:p>
    <w:p>
      <w:pPr>
        <w:pStyle w:val="14"/>
        <w:numPr>
          <w:ilvl w:val="1"/>
          <w:numId w:val="2"/>
        </w:numPr>
        <w:spacing w:lineRule="auto" w:line="232"/>
        <w:ind w:left="0" w:firstLine="709"/>
        <w:rPr>
          <w:sz w:val="26"/>
          <w:szCs w:val="26"/>
        </w:rPr>
      </w:pPr>
      <w:r>
        <w:rPr>
          <w:sz w:val="26"/>
          <w:szCs w:val="26"/>
        </w:rPr>
        <w:t>Экспертиза товара на соответствие требованиям, установленным Контрактом и предусмотренной им нормативной и технической документации, проводится Государственным заказчиком, его уполномоченными представителями или экспертом, экспертной организацией (в случае их привлечения) при поставке товара.</w:t>
      </w:r>
    </w:p>
    <w:p>
      <w:pPr>
        <w:pStyle w:val="14"/>
        <w:numPr>
          <w:ilvl w:val="1"/>
          <w:numId w:val="2"/>
        </w:numPr>
        <w:spacing w:lineRule="auto" w:line="232"/>
        <w:ind w:left="0" w:firstLine="709"/>
        <w:rPr>
          <w:sz w:val="26"/>
          <w:szCs w:val="26"/>
        </w:rPr>
      </w:pPr>
      <w:r>
        <w:rPr>
          <w:sz w:val="26"/>
          <w:szCs w:val="26"/>
        </w:rPr>
        <w:t xml:space="preserve">По итогам проведения экспертизы товара, в случае если Товар признан соответствующим требованиям Контракта, Государственный заказчик, </w:t>
        <w:br/>
        <w:t>его уполномоченные представители приступает (-ют) к осуществлению приемки Товара.</w:t>
      </w:r>
    </w:p>
    <w:p>
      <w:pPr>
        <w:pStyle w:val="14"/>
        <w:numPr>
          <w:ilvl w:val="1"/>
          <w:numId w:val="2"/>
        </w:numPr>
        <w:spacing w:lineRule="auto" w:line="240"/>
        <w:ind w:left="0" w:firstLine="709"/>
        <w:rPr>
          <w:b/>
          <w:sz w:val="26"/>
          <w:szCs w:val="26"/>
        </w:rPr>
      </w:pPr>
      <w:r>
        <w:rPr>
          <w:sz w:val="26"/>
          <w:szCs w:val="26"/>
        </w:rPr>
        <w:t>Товар, признанный по результатам проведенной экспертизы несоответствующим требованиям Контракта, приемки не подлежит и считается</w:t>
        <w:br/>
        <w:t>непоставленным.</w:t>
      </w:r>
    </w:p>
    <w:p>
      <w:pPr>
        <w:pStyle w:val="14"/>
        <w:spacing w:lineRule="auto" w:line="240"/>
        <w:rPr>
          <w:b/>
          <w:sz w:val="26"/>
          <w:szCs w:val="26"/>
        </w:rPr>
      </w:pPr>
      <w:r>
        <w:rPr>
          <w:b/>
          <w:sz w:val="26"/>
          <w:szCs w:val="26"/>
        </w:rPr>
      </w:r>
    </w:p>
    <w:p>
      <w:pPr>
        <w:pStyle w:val="14"/>
        <w:numPr>
          <w:ilvl w:val="0"/>
          <w:numId w:val="2"/>
        </w:numPr>
        <w:tabs>
          <w:tab w:val="clear" w:pos="708"/>
          <w:tab w:val="left" w:pos="1134" w:leader="none"/>
        </w:tabs>
        <w:spacing w:lineRule="auto" w:line="240"/>
        <w:ind w:left="0" w:hanging="0"/>
        <w:jc w:val="center"/>
        <w:rPr>
          <w:sz w:val="26"/>
          <w:szCs w:val="26"/>
        </w:rPr>
      </w:pPr>
      <w:r>
        <w:rPr>
          <w:b/>
          <w:sz w:val="26"/>
          <w:szCs w:val="26"/>
        </w:rPr>
        <w:t>Качество товара</w:t>
      </w:r>
    </w:p>
    <w:p>
      <w:pPr>
        <w:pStyle w:val="14"/>
        <w:numPr>
          <w:ilvl w:val="1"/>
          <w:numId w:val="2"/>
        </w:numPr>
        <w:tabs>
          <w:tab w:val="clear" w:pos="708"/>
        </w:tabs>
        <w:spacing w:lineRule="auto" w:line="240"/>
        <w:ind w:left="0" w:firstLine="709"/>
        <w:rPr>
          <w:sz w:val="26"/>
          <w:szCs w:val="26"/>
        </w:rPr>
      </w:pPr>
      <w:r>
        <w:rPr>
          <w:sz w:val="26"/>
          <w:szCs w:val="26"/>
        </w:rPr>
        <w:t>Качество поставляемого товара должно соответствовать действующим</w:t>
        <w:br/>
        <w:t>в Российской Федерации требованиям к такому Товару, и условиям Контракта.</w:t>
      </w:r>
    </w:p>
    <w:p>
      <w:pPr>
        <w:pStyle w:val="14"/>
        <w:numPr>
          <w:ilvl w:val="1"/>
          <w:numId w:val="2"/>
        </w:numPr>
        <w:tabs>
          <w:tab w:val="clear" w:pos="708"/>
        </w:tabs>
        <w:spacing w:lineRule="auto" w:line="240"/>
        <w:ind w:left="0" w:firstLine="709"/>
        <w:rPr>
          <w:sz w:val="26"/>
          <w:szCs w:val="26"/>
        </w:rPr>
      </w:pPr>
      <w:r>
        <w:rPr>
          <w:sz w:val="26"/>
          <w:szCs w:val="26"/>
        </w:rPr>
        <w:t xml:space="preserve">Поставщик гарантирует безопасность Товара в соответствии </w:t>
        <w:br/>
        <w:t>с требованиями, установленными к данному виду товара правом Евразийского экономического союза и законодательством Российской Федерации.</w:t>
      </w:r>
    </w:p>
    <w:p>
      <w:pPr>
        <w:pStyle w:val="14"/>
        <w:numPr>
          <w:ilvl w:val="1"/>
          <w:numId w:val="2"/>
        </w:numPr>
        <w:tabs>
          <w:tab w:val="clear" w:pos="708"/>
        </w:tabs>
        <w:spacing w:lineRule="auto" w:line="240"/>
        <w:ind w:left="0" w:firstLine="709"/>
        <w:rPr>
          <w:sz w:val="26"/>
          <w:szCs w:val="26"/>
        </w:rPr>
      </w:pPr>
      <w:r>
        <w:rPr>
          <w:sz w:val="26"/>
          <w:szCs w:val="26"/>
        </w:rPr>
        <w:t xml:space="preserve">Государственный заказчик, обнаруживший после приемки Товара отступления от Контракта, или иные недостатки, которые не могли быть установлены при обычном способе приемки (скрытые недостатки), в том числе такие, которые умышленно скрыты Поставщиком, обязан известить об этом Поставщика в течение 2 (двух) рабочих дней после их обнаружения с приложением подробного перечня недостатков и сроков их устранения, а Поставщик обязан устранить выявленные недостатки в указанные сроки с момента получения уведомления от Государственного заказчика. </w:t>
      </w:r>
    </w:p>
    <w:p>
      <w:pPr>
        <w:pStyle w:val="14"/>
        <w:numPr>
          <w:ilvl w:val="1"/>
          <w:numId w:val="2"/>
        </w:numPr>
        <w:tabs>
          <w:tab w:val="clear" w:pos="708"/>
        </w:tabs>
        <w:spacing w:lineRule="auto" w:line="240"/>
        <w:ind w:left="0" w:firstLine="709"/>
        <w:rPr>
          <w:sz w:val="26"/>
          <w:szCs w:val="26"/>
        </w:rPr>
      </w:pPr>
      <w:r>
        <w:rPr>
          <w:sz w:val="26"/>
          <w:szCs w:val="26"/>
        </w:rPr>
        <w:t xml:space="preserve">Права на поставленный Товар переходят к Государственному заказчику </w:t>
        <w:br/>
      </w:r>
      <w:r>
        <w:rPr>
          <w:kern w:val="2"/>
          <w:sz w:val="26"/>
          <w:szCs w:val="26"/>
        </w:rPr>
        <w:t>с момента подписания документа о приемке Государственным заказчиком</w:t>
      </w:r>
      <w:r>
        <w:rPr>
          <w:sz w:val="26"/>
          <w:szCs w:val="26"/>
        </w:rPr>
        <w:t xml:space="preserve">. </w:t>
      </w:r>
    </w:p>
    <w:p>
      <w:pPr>
        <w:pStyle w:val="14"/>
        <w:numPr>
          <w:ilvl w:val="1"/>
          <w:numId w:val="2"/>
        </w:numPr>
        <w:tabs>
          <w:tab w:val="clear" w:pos="708"/>
        </w:tabs>
        <w:spacing w:lineRule="auto" w:line="240"/>
        <w:ind w:left="0" w:firstLine="709"/>
        <w:rPr>
          <w:b/>
          <w:sz w:val="26"/>
          <w:szCs w:val="26"/>
        </w:rPr>
      </w:pPr>
      <w:r>
        <w:rPr>
          <w:sz w:val="26"/>
          <w:szCs w:val="26"/>
        </w:rPr>
        <w:t>Риск случайной гибели или повреждения Товара до даты поставки (приемки) Товара Государственным заказчиком несет Поставщик.</w:t>
      </w:r>
    </w:p>
    <w:p>
      <w:pPr>
        <w:pStyle w:val="Normal"/>
        <w:spacing w:lineRule="auto" w:line="240" w:before="0" w:after="0"/>
        <w:ind w:left="0" w:hanging="0"/>
        <w:jc w:val="both"/>
        <w:rPr>
          <w:b/>
          <w:sz w:val="26"/>
          <w:szCs w:val="26"/>
        </w:rPr>
      </w:pPr>
      <w:r>
        <w:rPr>
          <w:b/>
          <w:sz w:val="26"/>
          <w:szCs w:val="26"/>
        </w:rPr>
      </w:r>
    </w:p>
    <w:p>
      <w:pPr>
        <w:pStyle w:val="14"/>
        <w:numPr>
          <w:ilvl w:val="0"/>
          <w:numId w:val="2"/>
        </w:numPr>
        <w:spacing w:lineRule="auto" w:line="240" w:before="0" w:after="0"/>
        <w:ind w:left="0" w:right="-71" w:hanging="0"/>
        <w:contextualSpacing/>
        <w:jc w:val="center"/>
        <w:rPr>
          <w:sz w:val="26"/>
          <w:szCs w:val="26"/>
        </w:rPr>
      </w:pPr>
      <w:r>
        <w:rPr>
          <w:b/>
          <w:sz w:val="26"/>
          <w:szCs w:val="26"/>
        </w:rPr>
        <w:t>Гарантийные обязательства</w:t>
      </w:r>
    </w:p>
    <w:p>
      <w:pPr>
        <w:pStyle w:val="14"/>
        <w:numPr>
          <w:ilvl w:val="1"/>
          <w:numId w:val="2"/>
        </w:numPr>
        <w:spacing w:lineRule="auto" w:line="240" w:before="0" w:after="0"/>
        <w:ind w:left="0" w:right="-40" w:firstLine="709"/>
        <w:contextualSpacing/>
        <w:rPr>
          <w:sz w:val="26"/>
          <w:szCs w:val="26"/>
          <w:lang w:val="ru-RU" w:eastAsia="ru-RU"/>
        </w:rPr>
      </w:pPr>
      <w:r>
        <w:rPr>
          <w:sz w:val="26"/>
          <w:szCs w:val="26"/>
        </w:rPr>
        <w:t xml:space="preserve">Гарантийный срок товара составляет 12 месяцев с </w:t>
      </w:r>
      <w:r>
        <w:rPr>
          <w:rFonts w:eastAsia="Droid Sans;MS Mincho"/>
          <w:bCs/>
          <w:kern w:val="2"/>
          <w:sz w:val="26"/>
          <w:szCs w:val="26"/>
        </w:rPr>
        <w:t>даты подписания документа о приемке, подписанного Государственным заказчиком</w:t>
      </w:r>
      <w:r>
        <w:rPr>
          <w:sz w:val="26"/>
          <w:szCs w:val="26"/>
        </w:rPr>
        <w:t>. Гарантийный срок на комплектующие изделия и составные части товара считается равным гарантийному сроку на товар и истекает одновременно с истечением гарантийного срока на товар. Если фактически комплектующие изделия и составные части товара имеют меньший гарантийный срок, Поставщик обеспечивает их безвозмездное гарантийное обслуживание в пределах гарантийного срока, установленного на товар.</w:t>
      </w:r>
    </w:p>
    <w:p>
      <w:pPr>
        <w:pStyle w:val="14"/>
        <w:numPr>
          <w:ilvl w:val="1"/>
          <w:numId w:val="2"/>
        </w:numPr>
        <w:spacing w:lineRule="auto" w:line="240" w:before="0" w:after="0"/>
        <w:ind w:left="0" w:right="-40" w:firstLine="709"/>
        <w:contextualSpacing/>
        <w:rPr>
          <w:sz w:val="26"/>
          <w:szCs w:val="26"/>
          <w:lang w:val="ru-RU" w:eastAsia="ru-RU"/>
        </w:rPr>
      </w:pPr>
      <w:r>
        <w:rPr>
          <w:sz w:val="26"/>
          <w:szCs w:val="26"/>
          <w:lang w:val="ru-RU" w:eastAsia="ru-RU"/>
        </w:rPr>
        <w:t>В течение гарантийного срока Поставщик осуществляет безвозмездное устранение недостатков товара (в том числе гарантийный ремонт) и замену товара ненадлежащего качества.</w:t>
      </w:r>
    </w:p>
    <w:p>
      <w:pPr>
        <w:pStyle w:val="14"/>
        <w:numPr>
          <w:ilvl w:val="1"/>
          <w:numId w:val="2"/>
        </w:numPr>
        <w:spacing w:lineRule="auto" w:line="240" w:before="0" w:after="0"/>
        <w:ind w:left="0" w:right="-40" w:firstLine="709"/>
        <w:contextualSpacing/>
        <w:rPr>
          <w:sz w:val="26"/>
          <w:szCs w:val="26"/>
        </w:rPr>
      </w:pPr>
      <w:r>
        <w:rPr>
          <w:sz w:val="26"/>
          <w:szCs w:val="26"/>
          <w:lang w:val="ru-RU" w:eastAsia="ru-RU"/>
        </w:rPr>
        <w:t>Срок устранения недостатков товара составляет 10</w:t>
      </w:r>
      <w:r>
        <w:rPr>
          <w:i/>
          <w:sz w:val="26"/>
          <w:szCs w:val="26"/>
          <w:lang w:val="ru-RU" w:eastAsia="ru-RU"/>
        </w:rPr>
        <w:t xml:space="preserve"> </w:t>
      </w:r>
      <w:r>
        <w:rPr>
          <w:sz w:val="26"/>
          <w:szCs w:val="26"/>
          <w:lang w:val="ru-RU" w:eastAsia="ru-RU"/>
        </w:rPr>
        <w:t>(десять) рабочих дней с момента получения Поставщиком письменного требования Государственного заказчика об устранении недостатков. В данный срок входит время, затраченное</w:t>
        <w:br/>
        <w:t xml:space="preserve">на транспортировку товара к месту устранения недостатков или месту проведения ремонта. </w:t>
      </w:r>
    </w:p>
    <w:p>
      <w:pPr>
        <w:pStyle w:val="14"/>
        <w:numPr>
          <w:ilvl w:val="1"/>
          <w:numId w:val="2"/>
        </w:numPr>
        <w:spacing w:lineRule="auto" w:line="240" w:before="0" w:after="0"/>
        <w:ind w:left="0" w:right="-40" w:firstLine="709"/>
        <w:contextualSpacing/>
        <w:rPr>
          <w:sz w:val="26"/>
          <w:szCs w:val="26"/>
        </w:rPr>
      </w:pPr>
      <w:r>
        <w:rPr>
          <w:sz w:val="26"/>
          <w:szCs w:val="26"/>
        </w:rPr>
        <w:t xml:space="preserve">В случае устранения недостатков и ремонта товара гарантийный срок товара продлевается на период, в течение которого товар не использовался. Указанный период исчисляется со дня обращения Государственного заказчика </w:t>
        <w:br/>
        <w:t>с требованием об устранении недостатков товара до дня выдачи его по окончании ремонта.</w:t>
      </w:r>
    </w:p>
    <w:p>
      <w:pPr>
        <w:pStyle w:val="14"/>
        <w:numPr>
          <w:ilvl w:val="1"/>
          <w:numId w:val="2"/>
        </w:numPr>
        <w:spacing w:lineRule="auto" w:line="240" w:before="0" w:after="0"/>
        <w:ind w:left="0" w:right="-40" w:firstLine="709"/>
        <w:contextualSpacing/>
        <w:rPr>
          <w:sz w:val="26"/>
          <w:szCs w:val="26"/>
        </w:rPr>
      </w:pPr>
      <w:r>
        <w:rPr>
          <w:sz w:val="26"/>
          <w:szCs w:val="26"/>
        </w:rPr>
        <w:t xml:space="preserve">При возврате товара после устранения недостатков (ремонта) Поставщик обязан предоставить Государственному заказчику информацию в письменной форме о дате обращения с требованием об устранении обнаруженных им недостатков товара, о дате передачи товара Государственным заказчиком  для устранения недостатков товара, о дате устранения недостатков товара с их описанием, </w:t>
        <w:br/>
        <w:t>об использованных запасных частях (деталях, материалах) и о дате выдачи товара Государственному заказчику по окончании устранения недостатков товара.</w:t>
      </w:r>
    </w:p>
    <w:p>
      <w:pPr>
        <w:pStyle w:val="14"/>
        <w:numPr>
          <w:ilvl w:val="1"/>
          <w:numId w:val="2"/>
        </w:numPr>
        <w:spacing w:lineRule="auto" w:line="240" w:before="0" w:after="0"/>
        <w:ind w:left="0" w:right="-40" w:firstLine="709"/>
        <w:contextualSpacing/>
        <w:rPr>
          <w:sz w:val="26"/>
          <w:szCs w:val="26"/>
        </w:rPr>
      </w:pPr>
      <w:r>
        <w:rPr>
          <w:sz w:val="26"/>
          <w:szCs w:val="26"/>
        </w:rPr>
        <w:t xml:space="preserve">При устранении недостатков товара посредством замены комплектующего изделия или составной части основного изделия, на которые установлены гарантийные сроки, на новое комплектующее изделие или составную часть основного изделия устанавливается гарантийный срок той же продолжительности, что и на замененные комплектующее изделие или составную часть основного изделия, и гарантийный срок исчисляется со дня выдачи Государственному заказчику этого товара по окончании ремонта. </w:t>
      </w:r>
    </w:p>
    <w:p>
      <w:pPr>
        <w:pStyle w:val="14"/>
        <w:numPr>
          <w:ilvl w:val="1"/>
          <w:numId w:val="2"/>
        </w:numPr>
        <w:spacing w:lineRule="auto" w:line="240" w:before="0" w:after="0"/>
        <w:ind w:left="0" w:right="-40" w:firstLine="709"/>
        <w:contextualSpacing/>
        <w:rPr>
          <w:sz w:val="26"/>
          <w:szCs w:val="26"/>
          <w:lang w:val="ru-RU" w:eastAsia="ru-RU"/>
        </w:rPr>
      </w:pPr>
      <w:r>
        <w:rPr>
          <w:sz w:val="26"/>
          <w:szCs w:val="26"/>
          <w:lang w:val="ru-RU" w:eastAsia="ru-RU"/>
        </w:rPr>
        <w:t xml:space="preserve">В случае обнаружения недостатков товара Государственный заказчик вправе предъявить Поставщику требование о замене товара ненадлежащего качества. Срок осуществления замены товара ненадлежащего качества составляет </w:t>
        <w:br/>
        <w:t xml:space="preserve">10 (десять) рабочих дней с момента получения Поставщиком письменного извещения Государственного заказчика с требованием о замене некачественного товара. </w:t>
      </w:r>
    </w:p>
    <w:p>
      <w:pPr>
        <w:pStyle w:val="14"/>
        <w:numPr>
          <w:ilvl w:val="1"/>
          <w:numId w:val="2"/>
        </w:numPr>
        <w:spacing w:lineRule="auto" w:line="240" w:before="0" w:after="0"/>
        <w:ind w:left="0" w:right="-40" w:firstLine="709"/>
        <w:contextualSpacing/>
        <w:rPr>
          <w:sz w:val="26"/>
          <w:szCs w:val="26"/>
        </w:rPr>
      </w:pPr>
      <w:r>
        <w:rPr>
          <w:sz w:val="26"/>
          <w:szCs w:val="26"/>
          <w:lang w:val="ru-RU" w:eastAsia="ru-RU"/>
        </w:rPr>
        <w:t>Все расходы, связанные с устранением недостатков и заменой товара ненадлежащего качества в период гарантийного срока, а также расходы</w:t>
        <w:br/>
        <w:t>на транспортировку товара к месту проведения ремонта и обратно, оплачиваются</w:t>
        <w:br/>
        <w:t>за счет Поставщика.</w:t>
      </w:r>
    </w:p>
    <w:p>
      <w:pPr>
        <w:pStyle w:val="14"/>
        <w:spacing w:lineRule="auto" w:line="240" w:before="0" w:after="0"/>
        <w:ind w:left="1" w:right="-41" w:hanging="0"/>
        <w:contextualSpacing/>
        <w:rPr>
          <w:sz w:val="26"/>
          <w:szCs w:val="26"/>
        </w:rPr>
      </w:pPr>
      <w:r>
        <w:rPr>
          <w:sz w:val="26"/>
          <w:szCs w:val="26"/>
        </w:rPr>
      </w:r>
    </w:p>
    <w:p>
      <w:pPr>
        <w:pStyle w:val="Normal"/>
        <w:numPr>
          <w:ilvl w:val="0"/>
          <w:numId w:val="2"/>
        </w:numPr>
        <w:autoSpaceDE w:val="false"/>
        <w:spacing w:lineRule="auto" w:line="240" w:before="0" w:after="0"/>
        <w:ind w:left="0" w:firstLine="26"/>
        <w:jc w:val="center"/>
        <w:rPr>
          <w:sz w:val="26"/>
          <w:szCs w:val="26"/>
        </w:rPr>
      </w:pPr>
      <w:r>
        <w:rPr>
          <w:b/>
          <w:sz w:val="26"/>
          <w:szCs w:val="26"/>
        </w:rPr>
        <w:t>Ответственность Сторон</w:t>
      </w:r>
    </w:p>
    <w:p>
      <w:pPr>
        <w:pStyle w:val="Normal"/>
        <w:numPr>
          <w:ilvl w:val="1"/>
          <w:numId w:val="2"/>
        </w:numPr>
        <w:spacing w:lineRule="auto" w:line="240" w:before="0" w:after="0"/>
        <w:jc w:val="both"/>
        <w:rPr>
          <w:sz w:val="26"/>
          <w:szCs w:val="26"/>
        </w:rPr>
      </w:pPr>
      <w:r>
        <w:rPr>
          <w:sz w:val="26"/>
          <w:szCs w:val="26"/>
        </w:rPr>
        <w:t xml:space="preserve">За неисполнение или ненадлежащее исполнение обязательств </w:t>
        <w:br/>
        <w:t>по Контракту Стороны несут ответственность в соответствии с действующим законодательством Российской Федерации и условиями Контракта.</w:t>
      </w:r>
    </w:p>
    <w:p>
      <w:pPr>
        <w:pStyle w:val="Normal"/>
        <w:numPr>
          <w:ilvl w:val="1"/>
          <w:numId w:val="2"/>
        </w:numPr>
        <w:spacing w:lineRule="auto" w:line="240" w:before="0" w:after="0"/>
        <w:jc w:val="both"/>
        <w:rPr>
          <w:sz w:val="26"/>
          <w:szCs w:val="26"/>
        </w:rPr>
      </w:pPr>
      <w:r>
        <w:rPr>
          <w:sz w:val="26"/>
          <w:szCs w:val="26"/>
        </w:rPr>
        <w:t>Размеры неустоек (штрафов, пеней), указанные в настоящем разделе, определяются в соответствии с Правилами определения размера штрафа, начисляемого в случае ненадлежащего исполнения Государственным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 1042.</w:t>
      </w:r>
    </w:p>
    <w:p>
      <w:pPr>
        <w:pStyle w:val="Normal"/>
        <w:widowControl w:val="false"/>
        <w:numPr>
          <w:ilvl w:val="1"/>
          <w:numId w:val="2"/>
        </w:numPr>
        <w:tabs>
          <w:tab w:val="clear" w:pos="708"/>
          <w:tab w:val="left" w:pos="1200" w:leader="none"/>
        </w:tabs>
        <w:spacing w:lineRule="auto" w:line="240" w:before="0" w:after="0"/>
        <w:jc w:val="both"/>
        <w:rPr>
          <w:sz w:val="26"/>
          <w:szCs w:val="26"/>
        </w:rPr>
      </w:pPr>
      <w:r>
        <w:rPr>
          <w:sz w:val="26"/>
          <w:szCs w:val="26"/>
        </w:rPr>
        <w:t xml:space="preserve">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 </w:t>
      </w:r>
    </w:p>
    <w:p>
      <w:pPr>
        <w:pStyle w:val="Normal"/>
        <w:widowControl w:val="false"/>
        <w:numPr>
          <w:ilvl w:val="1"/>
          <w:numId w:val="2"/>
        </w:numPr>
        <w:tabs>
          <w:tab w:val="clear" w:pos="708"/>
          <w:tab w:val="left" w:pos="1200" w:leader="none"/>
        </w:tabs>
        <w:spacing w:lineRule="auto" w:line="240" w:before="0" w:after="0"/>
        <w:jc w:val="both"/>
        <w:rPr>
          <w:sz w:val="26"/>
          <w:szCs w:val="26"/>
        </w:rPr>
      </w:pPr>
      <w:r>
        <w:rPr>
          <w:sz w:val="26"/>
          <w:szCs w:val="26"/>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r>
        <w:rPr>
          <w:bCs/>
          <w:sz w:val="26"/>
          <w:szCs w:val="26"/>
        </w:rPr>
        <w:t xml:space="preserve">ключевой ставки </w:t>
      </w:r>
      <w:r>
        <w:rPr>
          <w:sz w:val="26"/>
          <w:szCs w:val="26"/>
        </w:rPr>
        <w:t xml:space="preserve">Центрального банка Российской Федерации </w:t>
        <w:br/>
        <w:t xml:space="preserve">не уплаченной в срок суммы. </w:t>
      </w:r>
    </w:p>
    <w:p>
      <w:pPr>
        <w:pStyle w:val="Normal"/>
        <w:widowControl w:val="false"/>
        <w:numPr>
          <w:ilvl w:val="1"/>
          <w:numId w:val="2"/>
        </w:numPr>
        <w:tabs>
          <w:tab w:val="clear" w:pos="708"/>
          <w:tab w:val="left" w:pos="1200" w:leader="none"/>
        </w:tabs>
        <w:spacing w:lineRule="auto" w:line="240" w:before="0" w:after="0"/>
        <w:jc w:val="both"/>
        <w:rPr>
          <w:sz w:val="26"/>
          <w:szCs w:val="26"/>
        </w:rPr>
      </w:pPr>
      <w:r>
        <w:rPr>
          <w:sz w:val="26"/>
          <w:szCs w:val="26"/>
        </w:rPr>
        <w:t>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w:t>
      </w:r>
    </w:p>
    <w:p>
      <w:pPr>
        <w:pStyle w:val="Normal"/>
        <w:widowControl w:val="false"/>
        <w:numPr>
          <w:ilvl w:val="1"/>
          <w:numId w:val="2"/>
        </w:numPr>
        <w:tabs>
          <w:tab w:val="clear" w:pos="708"/>
          <w:tab w:val="left" w:pos="1200" w:leader="none"/>
        </w:tabs>
        <w:spacing w:lineRule="auto" w:line="240" w:before="0" w:after="0"/>
        <w:jc w:val="both"/>
        <w:rPr>
          <w:sz w:val="26"/>
          <w:szCs w:val="26"/>
        </w:rPr>
      </w:pPr>
      <w:r>
        <w:rPr>
          <w:sz w:val="26"/>
          <w:szCs w:val="26"/>
        </w:rPr>
        <w:t xml:space="preserve">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w:t>
        <w:br/>
        <w:t>в размере 1 000 (одна тысяча) рублей 00 копеек, если цена Контракта не превышает 3 млн. рублей (включительно).</w:t>
      </w:r>
    </w:p>
    <w:p>
      <w:pPr>
        <w:pStyle w:val="Normal"/>
        <w:numPr>
          <w:ilvl w:val="1"/>
          <w:numId w:val="2"/>
        </w:numPr>
        <w:shd w:fill="FFFFFF" w:val="clear"/>
        <w:spacing w:lineRule="auto" w:line="240" w:before="0" w:after="0"/>
        <w:jc w:val="both"/>
        <w:rPr>
          <w:sz w:val="26"/>
          <w:szCs w:val="26"/>
        </w:rPr>
      </w:pPr>
      <w:r>
        <w:rPr>
          <w:sz w:val="26"/>
          <w:szCs w:val="26"/>
        </w:rPr>
        <w:t xml:space="preserve">В случае просрочки исполнения Поставщиком обязательств </w:t>
        <w:br/>
        <w:t xml:space="preserve">(в том числе гарантийного обязательства), предусмотренных контрактом, а также </w:t>
        <w:br/>
        <w:t>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pPr>
        <w:pStyle w:val="Normal"/>
        <w:numPr>
          <w:ilvl w:val="1"/>
          <w:numId w:val="2"/>
        </w:numPr>
        <w:shd w:fill="FFFFFF" w:val="clear"/>
        <w:spacing w:lineRule="auto" w:line="240" w:before="0" w:after="0"/>
        <w:jc w:val="both"/>
        <w:rPr>
          <w:sz w:val="26"/>
          <w:szCs w:val="26"/>
        </w:rPr>
      </w:pPr>
      <w:r>
        <w:rPr>
          <w:sz w:val="26"/>
          <w:szCs w:val="26"/>
        </w:rPr>
        <w:t xml:space="preserve">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br/>
        <w:t xml:space="preserve">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w:t>
        <w:br/>
        <w:t>за исключением случаев, если законодательством Российской Федерации установлен иной порядок начисления пени.</w:t>
      </w:r>
    </w:p>
    <w:p>
      <w:pPr>
        <w:pStyle w:val="Normal"/>
        <w:numPr>
          <w:ilvl w:val="1"/>
          <w:numId w:val="2"/>
        </w:numPr>
        <w:shd w:fill="FFFFFF" w:val="clear"/>
        <w:spacing w:lineRule="auto" w:line="240" w:before="0" w:after="0"/>
        <w:ind w:left="0" w:firstLine="709"/>
        <w:jc w:val="both"/>
        <w:rPr>
          <w:sz w:val="26"/>
          <w:szCs w:val="26"/>
        </w:rPr>
      </w:pPr>
      <w:r>
        <w:rPr>
          <w:sz w:val="26"/>
          <w:szCs w:val="26"/>
        </w:rPr>
        <w:t xml:space="preserve">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порядке, установленном Правительством Российской Федерации, </w:t>
        <w:br/>
        <w:t>за исключением случаев, если законодательством Российской Федерации установлен иной порядок начисления штрафов.</w:t>
      </w:r>
    </w:p>
    <w:p>
      <w:pPr>
        <w:pStyle w:val="Normal"/>
        <w:numPr>
          <w:ilvl w:val="1"/>
          <w:numId w:val="2"/>
        </w:numPr>
        <w:shd w:fill="FFFFFF" w:val="clear"/>
        <w:spacing w:lineRule="auto" w:line="240" w:before="0" w:after="0"/>
        <w:jc w:val="both"/>
        <w:rPr>
          <w:sz w:val="26"/>
          <w:szCs w:val="26"/>
        </w:rPr>
      </w:pPr>
      <w:r>
        <w:rPr>
          <w:sz w:val="26"/>
          <w:szCs w:val="26"/>
        </w:rPr>
        <w:t xml:space="preserve"> </w:t>
      </w:r>
      <w:r>
        <w:rPr>
          <w:sz w:val="26"/>
          <w:szCs w:val="26"/>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10% цены Контракта</w:t>
      </w:r>
      <w:bookmarkStart w:id="0" w:name="Par27"/>
      <w:bookmarkEnd w:id="0"/>
      <w:r>
        <w:rPr>
          <w:sz w:val="26"/>
          <w:szCs w:val="26"/>
        </w:rPr>
        <w:t>, в случае, если цена Контракта не превышает 3 млн. рублей (включительно), (за исключением случаев, предусмотренных пунктами 10.11, 10.12 Контракта).</w:t>
      </w:r>
    </w:p>
    <w:p>
      <w:pPr>
        <w:pStyle w:val="Normal"/>
        <w:numPr>
          <w:ilvl w:val="1"/>
          <w:numId w:val="2"/>
        </w:numPr>
        <w:shd w:fill="FFFFFF" w:val="clear"/>
        <w:spacing w:lineRule="auto" w:line="240" w:before="0" w:after="0"/>
        <w:jc w:val="both"/>
        <w:rPr>
          <w:sz w:val="26"/>
          <w:szCs w:val="26"/>
        </w:rPr>
      </w:pPr>
      <w:r>
        <w:rPr>
          <w:sz w:val="26"/>
          <w:szCs w:val="26"/>
        </w:rPr>
        <w:t xml:space="preserve">За каждый факт неисполнения или ненадлежащего исполнения Поставщиком обязательств, предусмотренных Контрактом, заключенным </w:t>
        <w:br/>
        <w:t xml:space="preserve">по результатам определения Поставщика в соответствии с пунктом 1 части 1 </w:t>
        <w:br/>
        <w:t>статьи 30 Закона № 44-ФЗ, за исключением просрочки исполнения обязательств</w:t>
        <w:br/>
        <w:t>(в том числе гарантийного обязательства), предусмотренных Контрактом, размер штрафа устанавливается в размере 1% цены Контракта, но не более 5 тыс. рублей</w:t>
        <w:br/>
        <w:t>и не менее 1 тыс. рублей.</w:t>
      </w:r>
    </w:p>
    <w:p>
      <w:pPr>
        <w:pStyle w:val="Normal"/>
        <w:numPr>
          <w:ilvl w:val="1"/>
          <w:numId w:val="2"/>
        </w:numPr>
        <w:shd w:fill="FFFFFF" w:val="clear"/>
        <w:spacing w:lineRule="auto" w:line="240" w:before="0" w:after="0"/>
        <w:jc w:val="both"/>
        <w:rPr>
          <w:sz w:val="26"/>
          <w:szCs w:val="26"/>
        </w:rPr>
      </w:pPr>
      <w:r>
        <w:rPr>
          <w:sz w:val="26"/>
          <w:szCs w:val="26"/>
        </w:rPr>
        <w:t>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штраф устанавливается в размере 1 000 (одна тысяча) рублей 00 копеек, если цена Контракта не превышает 3 млн. рублей (включительно).</w:t>
      </w:r>
    </w:p>
    <w:p>
      <w:pPr>
        <w:pStyle w:val="Normal"/>
        <w:numPr>
          <w:ilvl w:val="1"/>
          <w:numId w:val="2"/>
        </w:numPr>
        <w:shd w:fill="FFFFFF" w:val="clear"/>
        <w:spacing w:lineRule="auto" w:line="240" w:before="0" w:after="0"/>
        <w:jc w:val="both"/>
        <w:rPr>
          <w:sz w:val="26"/>
          <w:szCs w:val="26"/>
        </w:rPr>
      </w:pPr>
      <w:r>
        <w:rPr>
          <w:sz w:val="26"/>
          <w:szCs w:val="26"/>
        </w:rPr>
        <w:t>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pPr>
        <w:pStyle w:val="Normal"/>
        <w:numPr>
          <w:ilvl w:val="1"/>
          <w:numId w:val="2"/>
        </w:numPr>
        <w:shd w:fill="FFFFFF" w:val="clear"/>
        <w:spacing w:lineRule="auto" w:line="240" w:before="0" w:after="0"/>
        <w:jc w:val="both"/>
        <w:rPr>
          <w:sz w:val="26"/>
          <w:szCs w:val="26"/>
        </w:rPr>
      </w:pPr>
      <w:r>
        <w:rPr>
          <w:sz w:val="26"/>
          <w:szCs w:val="26"/>
        </w:rPr>
        <w:t xml:space="preserve">Общая сумма начисленных штрафов за неисполнение </w:t>
        <w:br/>
        <w:t>или ненадлежащее исполнение Поставщиком обязательств, предусмотренных Контрактом, не может превышать цену Контракта.</w:t>
      </w:r>
    </w:p>
    <w:p>
      <w:pPr>
        <w:pStyle w:val="Normal"/>
        <w:numPr>
          <w:ilvl w:val="1"/>
          <w:numId w:val="2"/>
        </w:numPr>
        <w:shd w:fill="FFFFFF" w:val="clear"/>
        <w:spacing w:lineRule="auto" w:line="240" w:before="0" w:after="0"/>
        <w:jc w:val="both"/>
        <w:rPr>
          <w:sz w:val="26"/>
          <w:szCs w:val="26"/>
        </w:rPr>
      </w:pPr>
      <w:r>
        <w:rPr>
          <w:sz w:val="26"/>
          <w:szCs w:val="26"/>
        </w:rPr>
        <w:t xml:space="preserve">Сторона освобождается от уплаты неустойки (штрафа, пени), </w:t>
        <w:br/>
        <w:t xml:space="preserve">если докажет, что неисполнение или ненадлежащее исполнение обязательств, предусмотренных Контрактом, произошло вследствие непреодолимой силы </w:t>
        <w:br/>
        <w:t>или по вине другой Стороны.</w:t>
      </w:r>
    </w:p>
    <w:p>
      <w:pPr>
        <w:pStyle w:val="Normal"/>
        <w:numPr>
          <w:ilvl w:val="1"/>
          <w:numId w:val="2"/>
        </w:numPr>
        <w:shd w:fill="FFFFFF" w:val="clear"/>
        <w:spacing w:lineRule="auto" w:line="240" w:before="0" w:after="0"/>
        <w:jc w:val="both"/>
        <w:rPr>
          <w:sz w:val="26"/>
          <w:szCs w:val="26"/>
        </w:rPr>
      </w:pPr>
      <w:r>
        <w:rPr>
          <w:sz w:val="26"/>
          <w:szCs w:val="26"/>
        </w:rPr>
        <w:t>Уплата штрафных санкций не освобождает Стороны от исполнения своих обязательств по Контракту.</w:t>
      </w:r>
    </w:p>
    <w:p>
      <w:pPr>
        <w:pStyle w:val="Normal"/>
        <w:numPr>
          <w:ilvl w:val="1"/>
          <w:numId w:val="2"/>
        </w:numPr>
        <w:shd w:fill="FFFFFF" w:val="clear"/>
        <w:spacing w:lineRule="auto" w:line="240" w:before="0" w:after="0"/>
        <w:jc w:val="both"/>
        <w:rPr>
          <w:color w:val="333333"/>
          <w:sz w:val="26"/>
          <w:szCs w:val="26"/>
        </w:rPr>
      </w:pPr>
      <w:r>
        <w:rPr>
          <w:sz w:val="26"/>
          <w:szCs w:val="26"/>
        </w:rPr>
        <w:t xml:space="preserve">Имущественная ответственность, не предусмотренная Контрактом, определяется в соответствии с законодательством Российской Федерации. </w:t>
      </w:r>
    </w:p>
    <w:p>
      <w:pPr>
        <w:pStyle w:val="Normal"/>
        <w:shd w:fill="FFFFFF" w:val="clear"/>
        <w:spacing w:lineRule="auto" w:line="240" w:before="0" w:after="0"/>
        <w:ind w:left="1" w:hanging="0"/>
        <w:jc w:val="both"/>
        <w:rPr>
          <w:color w:val="333333"/>
          <w:sz w:val="26"/>
          <w:szCs w:val="26"/>
        </w:rPr>
      </w:pPr>
      <w:r>
        <w:rPr>
          <w:color w:val="333333"/>
          <w:sz w:val="26"/>
          <w:szCs w:val="26"/>
        </w:rPr>
      </w:r>
    </w:p>
    <w:p>
      <w:pPr>
        <w:pStyle w:val="Normal"/>
        <w:numPr>
          <w:ilvl w:val="0"/>
          <w:numId w:val="2"/>
        </w:numPr>
        <w:autoSpaceDE w:val="false"/>
        <w:spacing w:lineRule="auto" w:line="240" w:before="0" w:after="0"/>
        <w:ind w:left="0" w:hanging="0"/>
        <w:jc w:val="center"/>
        <w:rPr>
          <w:sz w:val="26"/>
          <w:szCs w:val="26"/>
        </w:rPr>
      </w:pPr>
      <w:r>
        <w:rPr>
          <w:b/>
          <w:sz w:val="26"/>
          <w:szCs w:val="26"/>
        </w:rPr>
        <w:t>Обстоятельства непреодолимой силы</w:t>
      </w:r>
    </w:p>
    <w:p>
      <w:pPr>
        <w:pStyle w:val="Normal"/>
        <w:numPr>
          <w:ilvl w:val="1"/>
          <w:numId w:val="2"/>
        </w:numPr>
        <w:shd w:fill="FFFFFF" w:val="clear"/>
        <w:spacing w:lineRule="auto" w:line="240" w:before="0" w:after="0"/>
        <w:jc w:val="both"/>
        <w:rPr>
          <w:sz w:val="26"/>
          <w:szCs w:val="26"/>
        </w:rPr>
      </w:pPr>
      <w:r>
        <w:rPr>
          <w:sz w:val="26"/>
          <w:szCs w:val="26"/>
        </w:rPr>
        <w:t xml:space="preserve">Стороны освобождаются от ответственности за частичное или полное неисполнение обязательств по Контракту, если оно явилось следствием обстоятельств непреодолимой силы, которые понимаются как обстоятельства, возникшие в результате непредвиденных и неотвратимых событий чрезвычайного характера, не поддающиеся контролю Сторон, включая пожар, наводнение, землетрясение и любые другие стихийные бедствия, а также войну, военные действия, восстание, саботаж, забастовки, локауты, объявления эмбарго или блокады, массовые заболевания и действия органов государственной власти </w:t>
        <w:br/>
        <w:t>и управления, существующие де-юре или де-факто, и если эти обстоятельства непосредственно повлияли на исполнение Контракта.</w:t>
      </w:r>
    </w:p>
    <w:p>
      <w:pPr>
        <w:pStyle w:val="Normal"/>
        <w:numPr>
          <w:ilvl w:val="1"/>
          <w:numId w:val="2"/>
        </w:numPr>
        <w:shd w:fill="FFFFFF" w:val="clear"/>
        <w:spacing w:lineRule="auto" w:line="240" w:before="0" w:after="0"/>
        <w:jc w:val="both"/>
        <w:rPr>
          <w:sz w:val="26"/>
          <w:szCs w:val="26"/>
        </w:rPr>
      </w:pPr>
      <w:r>
        <w:rPr>
          <w:sz w:val="26"/>
          <w:szCs w:val="26"/>
        </w:rPr>
        <w:t>Указанные обстоятельства должны носить чрезвычайный, непредвиденный и непредотвратимый характер, возникнуть после заключения Контракта и не зависеть от воли Сторон.</w:t>
      </w:r>
    </w:p>
    <w:p>
      <w:pPr>
        <w:pStyle w:val="Normal"/>
        <w:numPr>
          <w:ilvl w:val="1"/>
          <w:numId w:val="2"/>
        </w:numPr>
        <w:shd w:fill="FFFFFF" w:val="clear"/>
        <w:spacing w:lineRule="auto" w:line="240" w:before="0" w:after="0"/>
        <w:jc w:val="both"/>
        <w:rPr>
          <w:sz w:val="26"/>
          <w:szCs w:val="26"/>
        </w:rPr>
      </w:pPr>
      <w:r>
        <w:rPr>
          <w:sz w:val="26"/>
          <w:szCs w:val="26"/>
        </w:rPr>
        <w:t xml:space="preserve">При наступлении обстоятельств непреодолимой силы Сторона должна без промедления, но не позднее 3 дней, известить о них другую Сторону </w:t>
        <w:br/>
        <w:t>в письменной форме.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pPr>
        <w:pStyle w:val="Normal"/>
        <w:numPr>
          <w:ilvl w:val="1"/>
          <w:numId w:val="2"/>
        </w:numPr>
        <w:shd w:fill="FFFFFF" w:val="clear"/>
        <w:spacing w:lineRule="auto" w:line="240" w:before="0" w:after="0"/>
        <w:jc w:val="both"/>
        <w:rPr>
          <w:sz w:val="26"/>
          <w:szCs w:val="26"/>
        </w:rPr>
      </w:pPr>
      <w:r>
        <w:rPr>
          <w:sz w:val="26"/>
          <w:szCs w:val="26"/>
        </w:rPr>
        <w:t xml:space="preserve">По прекращении указанных обстоятельств, Сторона должна </w:t>
        <w:br/>
        <w:t xml:space="preserve">без промедления, но не позднее 3 дней, известить об этом другую Сторону </w:t>
        <w:br/>
        <w:t>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pPr>
        <w:pStyle w:val="Normal"/>
        <w:numPr>
          <w:ilvl w:val="1"/>
          <w:numId w:val="2"/>
        </w:numPr>
        <w:shd w:fill="FFFFFF" w:val="clear"/>
        <w:spacing w:lineRule="auto" w:line="240" w:before="0" w:after="0"/>
        <w:jc w:val="both"/>
        <w:rPr>
          <w:sz w:val="26"/>
          <w:szCs w:val="26"/>
        </w:rPr>
      </w:pPr>
      <w:r>
        <w:rPr>
          <w:sz w:val="26"/>
          <w:szCs w:val="26"/>
        </w:rPr>
        <w:t xml:space="preserve">Надлежащим доказательством наличия обстоятельств непреодолимой силы и их продолжительности будут служить справки, выдаваемые компетентным органом территории, где данное обстоятельство имело место. Сторона должна </w:t>
        <w:br/>
        <w:t>в течение 10 дней с момента прекращения обстоятельств непреодолимой силы передать такую справку другой Стороне.</w:t>
      </w:r>
    </w:p>
    <w:p>
      <w:pPr>
        <w:pStyle w:val="Normal"/>
        <w:numPr>
          <w:ilvl w:val="1"/>
          <w:numId w:val="2"/>
        </w:numPr>
        <w:shd w:fill="FFFFFF" w:val="clear"/>
        <w:spacing w:lineRule="auto" w:line="240" w:before="0" w:after="0"/>
        <w:jc w:val="both"/>
        <w:rPr>
          <w:sz w:val="26"/>
          <w:szCs w:val="26"/>
        </w:rPr>
      </w:pPr>
      <w:r>
        <w:rPr>
          <w:sz w:val="26"/>
          <w:szCs w:val="26"/>
        </w:rPr>
        <w:t>Не уведомление, несвоевременное и (или) ненадлежащим образом оформленное уведомление о наступлении обстоятельств непреодолимой силы лишает Стороны права ссылаться на любые из них как на основание, освобождающее от ответственности за неисполнение обязательств по Контракту.</w:t>
      </w:r>
    </w:p>
    <w:p>
      <w:pPr>
        <w:pStyle w:val="Normal"/>
        <w:numPr>
          <w:ilvl w:val="1"/>
          <w:numId w:val="2"/>
        </w:numPr>
        <w:shd w:fill="FFFFFF" w:val="clear"/>
        <w:spacing w:lineRule="auto" w:line="240" w:before="0" w:after="0"/>
        <w:jc w:val="both"/>
        <w:rPr>
          <w:sz w:val="26"/>
          <w:szCs w:val="26"/>
        </w:rPr>
      </w:pPr>
      <w:r>
        <w:rPr>
          <w:sz w:val="26"/>
          <w:szCs w:val="26"/>
        </w:rPr>
        <w:t>В случае наступления обстоятельств непреодолимой силы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pPr>
        <w:pStyle w:val="Normal"/>
        <w:numPr>
          <w:ilvl w:val="1"/>
          <w:numId w:val="2"/>
        </w:numPr>
        <w:shd w:fill="FFFFFF" w:val="clear"/>
        <w:spacing w:lineRule="auto" w:line="240" w:before="0" w:after="0"/>
        <w:jc w:val="both"/>
        <w:rPr>
          <w:sz w:val="26"/>
          <w:szCs w:val="26"/>
        </w:rPr>
      </w:pPr>
      <w:r>
        <w:rPr>
          <w:sz w:val="26"/>
          <w:szCs w:val="26"/>
        </w:rPr>
        <w:t>Если обстоятельства непреодолимой силы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pPr>
        <w:pStyle w:val="Normal"/>
        <w:numPr>
          <w:ilvl w:val="1"/>
          <w:numId w:val="2"/>
        </w:numPr>
        <w:shd w:fill="FFFFFF" w:val="clear"/>
        <w:spacing w:lineRule="auto" w:line="240" w:before="0" w:after="0"/>
        <w:jc w:val="both"/>
        <w:rPr>
          <w:sz w:val="26"/>
          <w:szCs w:val="26"/>
        </w:rPr>
      </w:pPr>
      <w:r>
        <w:rPr>
          <w:sz w:val="26"/>
          <w:szCs w:val="26"/>
        </w:rPr>
        <w:t xml:space="preserve">Если, в результате издания акта органа государственной власти </w:t>
        <w:br/>
        <w:t>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 Изменение обязательств оформляется дополнительным соглашением, подписанным Сторонами.</w:t>
      </w:r>
    </w:p>
    <w:p>
      <w:pPr>
        <w:pStyle w:val="Normal"/>
        <w:shd w:fill="FFFFFF" w:val="clear"/>
        <w:spacing w:lineRule="auto" w:line="240" w:before="0" w:after="0"/>
        <w:ind w:left="1" w:hanging="0"/>
        <w:jc w:val="both"/>
        <w:rPr>
          <w:sz w:val="26"/>
          <w:szCs w:val="26"/>
        </w:rPr>
      </w:pPr>
      <w:r>
        <w:rPr>
          <w:sz w:val="26"/>
          <w:szCs w:val="26"/>
        </w:rPr>
      </w:r>
    </w:p>
    <w:p>
      <w:pPr>
        <w:pStyle w:val="Normal"/>
        <w:numPr>
          <w:ilvl w:val="0"/>
          <w:numId w:val="2"/>
        </w:numPr>
        <w:tabs>
          <w:tab w:val="clear" w:pos="708"/>
        </w:tabs>
        <w:autoSpaceDE w:val="false"/>
        <w:spacing w:lineRule="auto" w:line="240" w:before="0" w:after="0"/>
        <w:ind w:left="0" w:hanging="0"/>
        <w:jc w:val="center"/>
        <w:rPr>
          <w:sz w:val="26"/>
          <w:szCs w:val="26"/>
        </w:rPr>
      </w:pPr>
      <w:r>
        <w:rPr>
          <w:b/>
          <w:sz w:val="26"/>
          <w:szCs w:val="26"/>
        </w:rPr>
        <w:t>Порядок рассмотрения споров</w:t>
      </w:r>
    </w:p>
    <w:p>
      <w:pPr>
        <w:pStyle w:val="Normal"/>
        <w:numPr>
          <w:ilvl w:val="1"/>
          <w:numId w:val="2"/>
        </w:numPr>
        <w:shd w:fill="FFFFFF" w:val="clear"/>
        <w:spacing w:lineRule="auto" w:line="240" w:before="0" w:after="0"/>
        <w:jc w:val="both"/>
        <w:rPr>
          <w:sz w:val="26"/>
          <w:szCs w:val="26"/>
        </w:rPr>
      </w:pPr>
      <w:r>
        <w:rPr>
          <w:sz w:val="26"/>
          <w:szCs w:val="26"/>
        </w:rPr>
        <w:t xml:space="preserve">Спорные вопросы, возникающие в ходе исполнения Контракта, разрешаются Сторонами путем переговоров, и достигнутые договоренности, </w:t>
        <w:br/>
        <w:t xml:space="preserve">в обязательном порядке, фиксируются дополнительным соглашением Сторон. </w:t>
      </w:r>
    </w:p>
    <w:p>
      <w:pPr>
        <w:pStyle w:val="Normal"/>
        <w:numPr>
          <w:ilvl w:val="1"/>
          <w:numId w:val="2"/>
        </w:numPr>
        <w:shd w:fill="FFFFFF" w:val="clear"/>
        <w:spacing w:lineRule="auto" w:line="240" w:before="0" w:after="0"/>
        <w:jc w:val="both"/>
        <w:rPr>
          <w:sz w:val="26"/>
          <w:szCs w:val="26"/>
        </w:rPr>
      </w:pPr>
      <w:r>
        <w:rPr>
          <w:sz w:val="26"/>
          <w:szCs w:val="26"/>
        </w:rPr>
        <w:t>Соблюдение досудебного (претензионного) порядка разрешения споров Сторонами обязательно.</w:t>
      </w:r>
    </w:p>
    <w:p>
      <w:pPr>
        <w:pStyle w:val="Normal"/>
        <w:numPr>
          <w:ilvl w:val="1"/>
          <w:numId w:val="2"/>
        </w:numPr>
        <w:shd w:fill="FFFFFF" w:val="clear"/>
        <w:spacing w:lineRule="auto" w:line="240" w:before="0" w:after="0"/>
        <w:jc w:val="both"/>
        <w:rPr>
          <w:sz w:val="26"/>
          <w:szCs w:val="26"/>
        </w:rPr>
      </w:pPr>
      <w:r>
        <w:rPr>
          <w:sz w:val="26"/>
          <w:szCs w:val="26"/>
        </w:rPr>
        <w:t>Досудебный (претензионный) порядок разрешения споров считается соблюденным при следующих обстоятельствах:</w:t>
      </w:r>
    </w:p>
    <w:p>
      <w:pPr>
        <w:pStyle w:val="Normal"/>
        <w:widowControl w:val="false"/>
        <w:spacing w:lineRule="auto" w:line="240" w:before="0" w:after="0"/>
        <w:ind w:left="0" w:firstLine="709"/>
        <w:jc w:val="both"/>
        <w:rPr>
          <w:sz w:val="26"/>
          <w:szCs w:val="26"/>
        </w:rPr>
      </w:pPr>
      <w:r>
        <w:rPr>
          <w:sz w:val="26"/>
          <w:szCs w:val="26"/>
        </w:rPr>
        <w:t xml:space="preserve">претензии предъявляются в письменной форме и подписываются Стороной, </w:t>
        <w:br/>
        <w:t>а по финансовым вопросам и главным бухгалтером;</w:t>
      </w:r>
    </w:p>
    <w:p>
      <w:pPr>
        <w:pStyle w:val="Normal"/>
        <w:widowControl w:val="false"/>
        <w:spacing w:lineRule="auto" w:line="240" w:before="0" w:after="0"/>
        <w:ind w:left="0" w:firstLine="709"/>
        <w:jc w:val="both"/>
        <w:rPr>
          <w:sz w:val="26"/>
          <w:szCs w:val="26"/>
        </w:rPr>
      </w:pPr>
      <w:r>
        <w:rPr>
          <w:sz w:val="26"/>
          <w:szCs w:val="26"/>
        </w:rPr>
        <w:t xml:space="preserve">в претензии указывается: требование Стороны, сумма претензии </w:t>
        <w:br/>
        <w:t xml:space="preserve">(при наличии) и ее расчет, обстоятельства на которых основывается требования, перечень прилагаемых к претензии документов, иные сведения необходимые </w:t>
        <w:br/>
        <w:t>для урегулирования спора;</w:t>
      </w:r>
    </w:p>
    <w:p>
      <w:pPr>
        <w:pStyle w:val="Normal"/>
        <w:widowControl w:val="false"/>
        <w:spacing w:lineRule="auto" w:line="240" w:before="0" w:after="0"/>
        <w:ind w:left="0" w:firstLine="709"/>
        <w:jc w:val="both"/>
        <w:rPr>
          <w:sz w:val="26"/>
          <w:szCs w:val="26"/>
        </w:rPr>
      </w:pPr>
      <w:r>
        <w:rPr>
          <w:sz w:val="26"/>
          <w:szCs w:val="26"/>
        </w:rPr>
        <w:t>претензия отправляется заказным письмом, либо вручается под расписку представителю Стороны;</w:t>
      </w:r>
    </w:p>
    <w:p>
      <w:pPr>
        <w:pStyle w:val="Normal"/>
        <w:widowControl w:val="false"/>
        <w:spacing w:lineRule="auto" w:line="240" w:before="0" w:after="0"/>
        <w:ind w:left="0" w:firstLine="709"/>
        <w:jc w:val="both"/>
        <w:rPr>
          <w:sz w:val="26"/>
          <w:szCs w:val="26"/>
        </w:rPr>
      </w:pPr>
      <w:r>
        <w:rPr>
          <w:sz w:val="26"/>
          <w:szCs w:val="26"/>
        </w:rPr>
        <w:t xml:space="preserve">ответ на претензию должен быть дан в письменной форме в срок, </w:t>
        <w:br/>
        <w:t>не позднее 20 дней с момента ее получения;</w:t>
      </w:r>
    </w:p>
    <w:p>
      <w:pPr>
        <w:pStyle w:val="Normal"/>
        <w:widowControl w:val="false"/>
        <w:spacing w:lineRule="auto" w:line="240" w:before="0" w:after="0"/>
        <w:ind w:left="0" w:firstLine="709"/>
        <w:jc w:val="both"/>
        <w:rPr>
          <w:sz w:val="26"/>
          <w:szCs w:val="26"/>
        </w:rPr>
      </w:pPr>
      <w:r>
        <w:rPr>
          <w:sz w:val="26"/>
          <w:szCs w:val="26"/>
        </w:rPr>
        <w:t xml:space="preserve">ответ на претензию дается в письменной форме и подписывается Стороной, </w:t>
        <w:br/>
        <w:t>а по финансовым вопросам и главным бухгалтером;</w:t>
      </w:r>
    </w:p>
    <w:p>
      <w:pPr>
        <w:pStyle w:val="Normal"/>
        <w:widowControl w:val="false"/>
        <w:spacing w:lineRule="auto" w:line="240" w:before="0" w:after="0"/>
        <w:ind w:left="0" w:firstLine="709"/>
        <w:jc w:val="both"/>
        <w:rPr>
          <w:sz w:val="26"/>
          <w:szCs w:val="26"/>
        </w:rPr>
      </w:pPr>
      <w:r>
        <w:rPr>
          <w:sz w:val="26"/>
          <w:szCs w:val="26"/>
        </w:rPr>
        <w:t>ответ на претензию отправляется заказным письмом, либо вручается</w:t>
        <w:br/>
        <w:t>под расписку представителю Стороны.</w:t>
      </w:r>
    </w:p>
    <w:p>
      <w:pPr>
        <w:pStyle w:val="Normal"/>
        <w:numPr>
          <w:ilvl w:val="1"/>
          <w:numId w:val="2"/>
        </w:numPr>
        <w:shd w:fill="FFFFFF" w:val="clear"/>
        <w:spacing w:lineRule="auto" w:line="240" w:before="0" w:after="0"/>
        <w:jc w:val="both"/>
        <w:rPr>
          <w:sz w:val="26"/>
          <w:szCs w:val="26"/>
        </w:rPr>
      </w:pPr>
      <w:r>
        <w:rPr>
          <w:sz w:val="26"/>
          <w:szCs w:val="26"/>
        </w:rPr>
        <w:t>Споры, по которым не достигнуто соглашение, рассматриваются</w:t>
        <w:br/>
        <w:t>в Арбитражном суде Архангельской области</w:t>
      </w:r>
      <w:r>
        <w:rPr>
          <w:i/>
          <w:sz w:val="26"/>
          <w:szCs w:val="26"/>
        </w:rPr>
        <w:t xml:space="preserve"> </w:t>
      </w:r>
      <w:r>
        <w:rPr>
          <w:sz w:val="26"/>
          <w:szCs w:val="26"/>
        </w:rPr>
        <w:t>в установленном законодательством Российской Федерации порядке.</w:t>
      </w:r>
    </w:p>
    <w:p>
      <w:pPr>
        <w:pStyle w:val="Normal"/>
        <w:shd w:fill="FFFFFF" w:val="clear"/>
        <w:spacing w:lineRule="auto" w:line="240" w:before="0" w:after="0"/>
        <w:ind w:left="1" w:hanging="0"/>
        <w:jc w:val="both"/>
        <w:rPr>
          <w:sz w:val="26"/>
          <w:szCs w:val="26"/>
        </w:rPr>
      </w:pPr>
      <w:r>
        <w:rPr>
          <w:sz w:val="26"/>
          <w:szCs w:val="26"/>
        </w:rPr>
      </w:r>
    </w:p>
    <w:p>
      <w:pPr>
        <w:pStyle w:val="ListParagraph"/>
        <w:numPr>
          <w:ilvl w:val="0"/>
          <w:numId w:val="2"/>
        </w:numPr>
        <w:spacing w:before="0" w:after="0"/>
        <w:contextualSpacing/>
        <w:jc w:val="center"/>
        <w:rPr>
          <w:sz w:val="26"/>
          <w:szCs w:val="26"/>
        </w:rPr>
      </w:pPr>
      <w:r>
        <w:rPr>
          <w:b/>
          <w:sz w:val="26"/>
          <w:szCs w:val="26"/>
        </w:rPr>
        <w:t>Срок действия, изменение и расторжение Контракта</w:t>
      </w:r>
    </w:p>
    <w:p>
      <w:pPr>
        <w:pStyle w:val="Normal"/>
        <w:numPr>
          <w:ilvl w:val="1"/>
          <w:numId w:val="2"/>
        </w:numPr>
        <w:shd w:fill="FFFFFF" w:val="clear"/>
        <w:spacing w:lineRule="auto" w:line="240" w:before="0" w:after="0"/>
        <w:jc w:val="both"/>
        <w:rPr>
          <w:sz w:val="26"/>
          <w:szCs w:val="26"/>
        </w:rPr>
      </w:pPr>
      <w:r>
        <w:rPr>
          <w:sz w:val="26"/>
          <w:szCs w:val="26"/>
        </w:rPr>
        <w:t xml:space="preserve">Контракт вступает в силу с даты его заключения Сторонами в порядке, предусмотренном Законом № 44-ФЗ и действует по 31.12.2026 включительно, </w:t>
        <w:br/>
        <w:t>а в части оплаты, иных обязательств, в том числе гарантийных - до полного исполнения Сторонами своих обязательств по Контракту.</w:t>
      </w:r>
    </w:p>
    <w:p>
      <w:pPr>
        <w:pStyle w:val="Normal"/>
        <w:numPr>
          <w:ilvl w:val="1"/>
          <w:numId w:val="2"/>
        </w:numPr>
        <w:shd w:fill="FFFFFF" w:val="clear"/>
        <w:spacing w:lineRule="auto" w:line="240" w:before="0" w:after="0"/>
        <w:jc w:val="both"/>
        <w:rPr>
          <w:sz w:val="26"/>
          <w:szCs w:val="26"/>
        </w:rPr>
      </w:pPr>
      <w:r>
        <w:rPr>
          <w:sz w:val="26"/>
          <w:szCs w:val="26"/>
        </w:rPr>
        <w:t xml:space="preserve">Истечение срока действия Контракта не освобождает Стороны </w:t>
        <w:br/>
        <w:t>от ответственности за нарушение своих обязательств по Контракту.</w:t>
      </w:r>
    </w:p>
    <w:p>
      <w:pPr>
        <w:pStyle w:val="Normal"/>
        <w:numPr>
          <w:ilvl w:val="1"/>
          <w:numId w:val="2"/>
        </w:numPr>
        <w:shd w:fill="FFFFFF" w:val="clear"/>
        <w:spacing w:lineRule="auto" w:line="240" w:before="0" w:after="0"/>
        <w:jc w:val="both"/>
        <w:rPr>
          <w:sz w:val="26"/>
          <w:szCs w:val="26"/>
        </w:rPr>
      </w:pPr>
      <w:r>
        <w:rPr>
          <w:sz w:val="26"/>
          <w:szCs w:val="26"/>
        </w:rPr>
        <w:t>Контракт может быть расторгнут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Российской Федерации.</w:t>
      </w:r>
    </w:p>
    <w:p>
      <w:pPr>
        <w:pStyle w:val="Normal"/>
        <w:numPr>
          <w:ilvl w:val="1"/>
          <w:numId w:val="2"/>
        </w:numPr>
        <w:shd w:fill="FFFFFF" w:val="clear"/>
        <w:spacing w:lineRule="auto" w:line="240" w:before="0" w:after="0"/>
        <w:jc w:val="both"/>
        <w:rPr>
          <w:sz w:val="26"/>
          <w:szCs w:val="26"/>
        </w:rPr>
      </w:pPr>
      <w:r>
        <w:rPr>
          <w:sz w:val="26"/>
          <w:szCs w:val="26"/>
        </w:rPr>
        <w:t xml:space="preserve">Существенные условия Контракта могут быть изменены </w:t>
        <w:br/>
        <w:t>по соглашению Сторон в случаях, предусмотренных статьей 95 Закона № 44-ФЗ.</w:t>
      </w:r>
    </w:p>
    <w:p>
      <w:pPr>
        <w:pStyle w:val="Normal"/>
        <w:numPr>
          <w:ilvl w:val="1"/>
          <w:numId w:val="2"/>
        </w:numPr>
        <w:shd w:fill="FFFFFF" w:val="clear"/>
        <w:spacing w:lineRule="auto" w:line="240" w:before="0" w:after="0"/>
        <w:jc w:val="both"/>
        <w:rPr>
          <w:sz w:val="26"/>
          <w:szCs w:val="26"/>
        </w:rPr>
      </w:pPr>
      <w:r>
        <w:rPr>
          <w:sz w:val="26"/>
          <w:szCs w:val="26"/>
        </w:rPr>
        <w:t xml:space="preserve">При исполнении Контракта по согласованию Государственного заказчика с Поставщиком допускается поставка Товара, качество, технические </w:t>
        <w:br/>
        <w:t xml:space="preserve">и функциональные характеристики (потребительские свойства) которого являются улучшенными по сравнению с качеством и соответствующими техническими </w:t>
        <w:br/>
        <w:t>и функциональными характеристиками (потребительскими свойствами), указанным в Контракте.</w:t>
      </w:r>
    </w:p>
    <w:p>
      <w:pPr>
        <w:pStyle w:val="Normal"/>
        <w:widowControl w:val="false"/>
        <w:spacing w:lineRule="auto" w:line="240" w:before="0" w:after="0"/>
        <w:ind w:left="0" w:firstLine="709"/>
        <w:jc w:val="both"/>
        <w:rPr>
          <w:sz w:val="26"/>
          <w:szCs w:val="26"/>
        </w:rPr>
      </w:pPr>
      <w:r>
        <w:rPr>
          <w:sz w:val="26"/>
          <w:szCs w:val="26"/>
        </w:rPr>
      </w:r>
    </w:p>
    <w:p>
      <w:pPr>
        <w:pStyle w:val="Normal"/>
        <w:numPr>
          <w:ilvl w:val="0"/>
          <w:numId w:val="2"/>
        </w:numPr>
        <w:autoSpaceDE w:val="false"/>
        <w:spacing w:lineRule="auto" w:line="240" w:before="0" w:after="0"/>
        <w:ind w:left="0" w:hanging="0"/>
        <w:jc w:val="center"/>
        <w:rPr>
          <w:sz w:val="26"/>
          <w:szCs w:val="26"/>
        </w:rPr>
      </w:pPr>
      <w:r>
        <w:rPr>
          <w:b/>
          <w:sz w:val="26"/>
          <w:szCs w:val="26"/>
        </w:rPr>
        <w:t>Прочие условия</w:t>
      </w:r>
    </w:p>
    <w:p>
      <w:pPr>
        <w:pStyle w:val="Normal"/>
        <w:numPr>
          <w:ilvl w:val="1"/>
          <w:numId w:val="2"/>
        </w:numPr>
        <w:shd w:fill="FFFFFF" w:val="clear"/>
        <w:spacing w:lineRule="auto" w:line="240" w:before="0" w:after="0"/>
        <w:jc w:val="both"/>
        <w:rPr>
          <w:color w:val="FF0000"/>
          <w:sz w:val="26"/>
          <w:szCs w:val="26"/>
        </w:rPr>
      </w:pPr>
      <w:r>
        <w:rPr>
          <w:sz w:val="26"/>
          <w:szCs w:val="26"/>
        </w:rPr>
        <w:t xml:space="preserve">Любые изменения и дополнения к Контракту действительны, только </w:t>
        <w:br/>
        <w:t xml:space="preserve">если они составлены в письменной форме в виде дополнительного соглашения </w:t>
        <w:br/>
        <w:t xml:space="preserve">и подписаны обеими Сторонами или в электронной форме, посредством ЕАТ </w:t>
        <w:br/>
        <w:t xml:space="preserve">и подписаны Сторонами усиленной квалифицированной электронной подписью. Под письменной формой Стороны для целей Контракта понимают, как составление единого документа, так и обмен письмами, телеграммами, сообщениями </w:t>
        <w:br/>
        <w:t>с использованием средств факсимильной связи, позволяющими идентифицировать отправителя и дату отправления.</w:t>
      </w:r>
    </w:p>
    <w:p>
      <w:pPr>
        <w:pStyle w:val="Normal"/>
        <w:numPr>
          <w:ilvl w:val="1"/>
          <w:numId w:val="2"/>
        </w:numPr>
        <w:shd w:fill="FFFFFF" w:val="clear"/>
        <w:spacing w:lineRule="auto" w:line="240" w:before="0" w:after="0"/>
        <w:jc w:val="both"/>
        <w:rPr>
          <w:sz w:val="26"/>
          <w:szCs w:val="26"/>
        </w:rPr>
      </w:pPr>
      <w:r>
        <w:rPr>
          <w:sz w:val="26"/>
          <w:szCs w:val="26"/>
        </w:rPr>
        <w:t>Дополнительные соглашения к Контракту становятся его неотъемлемыми частями с момента их заключения.</w:t>
      </w:r>
    </w:p>
    <w:p>
      <w:pPr>
        <w:pStyle w:val="Normal"/>
        <w:numPr>
          <w:ilvl w:val="1"/>
          <w:numId w:val="2"/>
        </w:numPr>
        <w:shd w:fill="FFFFFF" w:val="clear"/>
        <w:spacing w:lineRule="auto" w:line="240" w:before="0" w:after="0"/>
        <w:jc w:val="both"/>
        <w:rPr>
          <w:sz w:val="26"/>
          <w:szCs w:val="26"/>
        </w:rPr>
      </w:pPr>
      <w:r>
        <w:rPr>
          <w:sz w:val="26"/>
          <w:szCs w:val="26"/>
        </w:rPr>
        <w:t xml:space="preserve">Стороны обязуются не распространять третьим лицам сведения (в том числе персональные), ставшие им известными в ходе исполнения обязательств </w:t>
        <w:br/>
        <w:t>по Контракту.</w:t>
      </w:r>
    </w:p>
    <w:p>
      <w:pPr>
        <w:pStyle w:val="Normal"/>
        <w:numPr>
          <w:ilvl w:val="1"/>
          <w:numId w:val="2"/>
        </w:numPr>
        <w:shd w:fill="FFFFFF" w:val="clear"/>
        <w:spacing w:lineRule="auto" w:line="240" w:before="0" w:after="0"/>
        <w:jc w:val="both"/>
        <w:rPr>
          <w:rFonts w:eastAsia="Droid Sans;MS Mincho"/>
          <w:kern w:val="2"/>
          <w:sz w:val="26"/>
          <w:szCs w:val="26"/>
        </w:rPr>
      </w:pPr>
      <w:r>
        <w:rPr>
          <w:sz w:val="26"/>
          <w:szCs w:val="26"/>
        </w:rPr>
        <w:t>По всем вопросам, не нашедшим своего решения в рамках настоящего Контракта, но прямо или косвенно связанным с его исполнением, Стороны будут руководствоваться нормами и положениями действующего законодательства Российской Федерации.</w:t>
      </w:r>
    </w:p>
    <w:p>
      <w:pPr>
        <w:pStyle w:val="Normal"/>
        <w:numPr>
          <w:ilvl w:val="1"/>
          <w:numId w:val="2"/>
        </w:numPr>
        <w:shd w:fill="FFFFFF" w:val="clear"/>
        <w:spacing w:lineRule="auto" w:line="240" w:before="0" w:after="0"/>
        <w:jc w:val="both"/>
        <w:rPr>
          <w:sz w:val="26"/>
          <w:szCs w:val="26"/>
        </w:rPr>
      </w:pPr>
      <w:r>
        <w:rPr>
          <w:rFonts w:eastAsia="Droid Sans;MS Mincho"/>
          <w:kern w:val="2"/>
          <w:sz w:val="26"/>
          <w:szCs w:val="26"/>
        </w:rPr>
        <w:t>Стороны обязуются обеспечить конфиденциальность сведений, относящихся к предмету Контракта, и ставших им известными в ходе исполнения Контракта</w:t>
      </w:r>
    </w:p>
    <w:p>
      <w:pPr>
        <w:pStyle w:val="Normal"/>
        <w:numPr>
          <w:ilvl w:val="1"/>
          <w:numId w:val="2"/>
        </w:numPr>
        <w:shd w:fill="FFFFFF" w:val="clear"/>
        <w:spacing w:lineRule="auto" w:line="240" w:before="0" w:after="0"/>
        <w:jc w:val="both"/>
        <w:rPr>
          <w:sz w:val="26"/>
          <w:szCs w:val="26"/>
        </w:rPr>
      </w:pPr>
      <w:r>
        <w:rPr>
          <w:sz w:val="26"/>
          <w:szCs w:val="26"/>
        </w:rPr>
        <w:t>Все приложения к настоящему Контракту являются его неотъемлемыми частями.</w:t>
      </w:r>
    </w:p>
    <w:p>
      <w:pPr>
        <w:pStyle w:val="Normal"/>
        <w:shd w:fill="FFFFFF" w:val="clear"/>
        <w:spacing w:lineRule="auto" w:line="240" w:before="0" w:after="0"/>
        <w:ind w:left="0" w:firstLine="709"/>
        <w:jc w:val="both"/>
        <w:rPr>
          <w:sz w:val="26"/>
          <w:szCs w:val="26"/>
        </w:rPr>
      </w:pPr>
      <w:r>
        <w:rPr>
          <w:sz w:val="26"/>
          <w:szCs w:val="26"/>
        </w:rPr>
        <w:t>13.6.1. Техническое задание на поставку Товара (Приложение к Контракту).</w:t>
      </w:r>
    </w:p>
    <w:p>
      <w:pPr>
        <w:pStyle w:val="Normal"/>
        <w:numPr>
          <w:ilvl w:val="1"/>
          <w:numId w:val="2"/>
        </w:numPr>
        <w:shd w:fill="FFFFFF" w:val="clear"/>
        <w:spacing w:lineRule="auto" w:line="240" w:before="0" w:after="0"/>
        <w:jc w:val="both"/>
        <w:rPr>
          <w:sz w:val="26"/>
          <w:szCs w:val="26"/>
        </w:rPr>
      </w:pPr>
      <w:r>
        <w:rPr>
          <w:sz w:val="26"/>
          <w:szCs w:val="26"/>
        </w:rPr>
        <w:t>Настоящий Контракт составлен в форме электронного документа, подписанного усиленными электронными подписями уполномоченных лиц Сторон.</w:t>
      </w:r>
    </w:p>
    <w:p>
      <w:pPr>
        <w:pStyle w:val="Normal"/>
        <w:shd w:fill="FFFFFF" w:val="clear"/>
        <w:spacing w:lineRule="auto" w:line="240" w:before="0" w:after="0"/>
        <w:jc w:val="both"/>
        <w:rPr>
          <w:sz w:val="26"/>
          <w:szCs w:val="26"/>
        </w:rPr>
      </w:pPr>
      <w:r>
        <w:rPr>
          <w:sz w:val="26"/>
          <w:szCs w:val="26"/>
        </w:rPr>
      </w:r>
    </w:p>
    <w:p>
      <w:pPr>
        <w:pStyle w:val="Normal"/>
        <w:shd w:fill="FFFFFF" w:val="clear"/>
        <w:spacing w:lineRule="auto" w:line="240" w:before="0" w:after="0"/>
        <w:jc w:val="both"/>
        <w:rPr>
          <w:sz w:val="26"/>
          <w:szCs w:val="26"/>
        </w:rPr>
      </w:pPr>
      <w:r>
        <w:rPr>
          <w:sz w:val="26"/>
          <w:szCs w:val="26"/>
        </w:rPr>
      </w:r>
    </w:p>
    <w:p>
      <w:pPr>
        <w:pStyle w:val="Normal"/>
        <w:shd w:fill="FFFFFF" w:val="clear"/>
        <w:spacing w:lineRule="auto" w:line="240" w:before="0" w:after="0"/>
        <w:jc w:val="both"/>
        <w:rPr>
          <w:sz w:val="26"/>
          <w:szCs w:val="26"/>
        </w:rPr>
      </w:pPr>
      <w:r>
        <w:rPr>
          <w:sz w:val="26"/>
          <w:szCs w:val="26"/>
        </w:rPr>
      </w:r>
    </w:p>
    <w:p>
      <w:pPr>
        <w:pStyle w:val="Normal"/>
        <w:shd w:fill="FFFFFF" w:val="clear"/>
        <w:spacing w:lineRule="auto" w:line="240" w:before="0" w:after="0"/>
        <w:jc w:val="both"/>
        <w:rPr>
          <w:sz w:val="26"/>
          <w:szCs w:val="26"/>
        </w:rPr>
      </w:pPr>
      <w:r>
        <w:rPr>
          <w:sz w:val="26"/>
          <w:szCs w:val="26"/>
        </w:rPr>
      </w:r>
    </w:p>
    <w:p>
      <w:pPr>
        <w:pStyle w:val="Normal"/>
        <w:shd w:fill="FFFFFF" w:val="clear"/>
        <w:spacing w:lineRule="auto" w:line="240" w:before="0" w:after="0"/>
        <w:jc w:val="both"/>
        <w:rPr>
          <w:sz w:val="26"/>
          <w:szCs w:val="26"/>
        </w:rPr>
      </w:pPr>
      <w:r>
        <w:rPr>
          <w:sz w:val="26"/>
          <w:szCs w:val="26"/>
        </w:rPr>
      </w:r>
    </w:p>
    <w:p>
      <w:pPr>
        <w:pStyle w:val="Normal"/>
        <w:shd w:fill="FFFFFF" w:val="clear"/>
        <w:spacing w:lineRule="auto" w:line="240" w:before="0" w:after="0"/>
        <w:jc w:val="both"/>
        <w:rPr>
          <w:sz w:val="26"/>
          <w:szCs w:val="26"/>
        </w:rPr>
      </w:pPr>
      <w:r>
        <w:rPr>
          <w:sz w:val="26"/>
          <w:szCs w:val="26"/>
        </w:rPr>
      </w:r>
    </w:p>
    <w:p>
      <w:pPr>
        <w:pStyle w:val="Normal"/>
        <w:shd w:fill="FFFFFF" w:val="clear"/>
        <w:spacing w:lineRule="auto" w:line="240" w:before="0" w:after="0"/>
        <w:jc w:val="both"/>
        <w:rPr>
          <w:sz w:val="26"/>
          <w:szCs w:val="26"/>
        </w:rPr>
      </w:pPr>
      <w:r>
        <w:rPr>
          <w:sz w:val="26"/>
          <w:szCs w:val="26"/>
        </w:rPr>
      </w:r>
    </w:p>
    <w:p>
      <w:pPr>
        <w:pStyle w:val="Normal"/>
        <w:shd w:fill="FFFFFF" w:val="clear"/>
        <w:spacing w:lineRule="auto" w:line="240" w:before="0" w:after="0"/>
        <w:jc w:val="both"/>
        <w:rPr>
          <w:sz w:val="26"/>
          <w:szCs w:val="26"/>
        </w:rPr>
      </w:pPr>
      <w:r>
        <w:rPr>
          <w:sz w:val="26"/>
          <w:szCs w:val="26"/>
        </w:rPr>
      </w:r>
    </w:p>
    <w:p>
      <w:pPr>
        <w:pStyle w:val="Normal"/>
        <w:tabs>
          <w:tab w:val="clear" w:pos="708"/>
          <w:tab w:val="left" w:pos="386" w:leader="none"/>
          <w:tab w:val="left" w:pos="1560" w:leader="none"/>
        </w:tabs>
        <w:spacing w:lineRule="auto" w:line="230" w:before="0" w:after="0"/>
        <w:ind w:left="0" w:firstLine="709"/>
        <w:jc w:val="both"/>
        <w:rPr>
          <w:sz w:val="26"/>
          <w:szCs w:val="26"/>
        </w:rPr>
      </w:pPr>
      <w:r>
        <w:rPr>
          <w:sz w:val="16"/>
          <w:szCs w:val="16"/>
        </w:rPr>
      </w:r>
    </w:p>
    <w:p>
      <w:pPr>
        <w:pStyle w:val="Normal"/>
        <w:numPr>
          <w:ilvl w:val="0"/>
          <w:numId w:val="2"/>
        </w:numPr>
        <w:autoSpaceDE w:val="false"/>
        <w:spacing w:lineRule="auto" w:line="230" w:before="0" w:after="0"/>
        <w:jc w:val="center"/>
        <w:rPr>
          <w:b/>
          <w:sz w:val="24"/>
          <w:szCs w:val="24"/>
          <w:lang w:eastAsia="ru-RU"/>
        </w:rPr>
      </w:pPr>
      <w:r>
        <w:rPr>
          <w:b/>
          <w:sz w:val="26"/>
          <w:szCs w:val="26"/>
        </w:rPr>
        <w:t>Адреса и реквизиты Сторон</w:t>
      </w:r>
    </w:p>
    <w:p>
      <w:pPr>
        <w:pStyle w:val="Normal"/>
        <w:autoSpaceDE w:val="false"/>
        <w:spacing w:lineRule="auto" w:line="230" w:before="0" w:after="0"/>
        <w:ind w:left="0" w:hanging="0"/>
        <w:rPr>
          <w:b/>
          <w:sz w:val="24"/>
          <w:szCs w:val="24"/>
          <w:lang w:eastAsia="ru-RU"/>
        </w:rPr>
      </w:pPr>
      <w:r>
        <w:rPr>
          <w:b/>
          <w:sz w:val="24"/>
          <w:szCs w:val="24"/>
          <w:lang w:eastAsia="ru-RU"/>
        </w:rPr>
      </w:r>
    </w:p>
    <w:tbl>
      <w:tblPr>
        <w:tblW w:w="9571" w:type="dxa"/>
        <w:jc w:val="left"/>
        <w:tblInd w:w="0" w:type="dxa"/>
        <w:tblLayout w:type="fixed"/>
        <w:tblCellMar>
          <w:top w:w="0" w:type="dxa"/>
          <w:left w:w="108" w:type="dxa"/>
          <w:bottom w:w="0" w:type="dxa"/>
          <w:right w:w="108" w:type="dxa"/>
        </w:tblCellMar>
      </w:tblPr>
      <w:tblGrid>
        <w:gridCol w:w="4858"/>
        <w:gridCol w:w="4713"/>
      </w:tblGrid>
      <w:tr>
        <w:trPr>
          <w:trHeight w:val="477" w:hRule="atLeast"/>
        </w:trPr>
        <w:tc>
          <w:tcPr>
            <w:tcW w:w="4858" w:type="dxa"/>
            <w:tcBorders/>
          </w:tcPr>
          <w:p>
            <w:pPr>
              <w:pStyle w:val="Normal"/>
              <w:spacing w:lineRule="auto" w:line="230" w:before="0" w:after="0"/>
              <w:ind w:left="0" w:hanging="0"/>
              <w:rPr>
                <w:b/>
                <w:sz w:val="24"/>
                <w:szCs w:val="24"/>
                <w:lang w:eastAsia="ru-RU"/>
              </w:rPr>
            </w:pPr>
            <w:r>
              <w:rPr>
                <w:b/>
                <w:sz w:val="24"/>
                <w:szCs w:val="24"/>
                <w:lang w:eastAsia="ru-RU"/>
              </w:rPr>
              <w:t>Государственный заказчик</w:t>
            </w:r>
          </w:p>
        </w:tc>
        <w:tc>
          <w:tcPr>
            <w:tcW w:w="4713" w:type="dxa"/>
            <w:tcBorders/>
          </w:tcPr>
          <w:p>
            <w:pPr>
              <w:pStyle w:val="Normal"/>
              <w:spacing w:lineRule="auto" w:line="230" w:before="0" w:after="0"/>
              <w:ind w:left="4" w:hanging="0"/>
              <w:rPr>
                <w:b/>
                <w:sz w:val="24"/>
                <w:szCs w:val="24"/>
              </w:rPr>
            </w:pPr>
            <w:r>
              <w:rPr>
                <w:b/>
                <w:sz w:val="24"/>
                <w:szCs w:val="24"/>
              </w:rPr>
              <w:t>Поставщик</w:t>
            </w:r>
          </w:p>
        </w:tc>
      </w:tr>
      <w:tr>
        <w:trPr>
          <w:trHeight w:val="6377" w:hRule="atLeast"/>
        </w:trPr>
        <w:tc>
          <w:tcPr>
            <w:tcW w:w="4858" w:type="dxa"/>
            <w:tcBorders/>
          </w:tcPr>
          <w:p>
            <w:pPr>
              <w:pStyle w:val="Normal"/>
              <w:spacing w:lineRule="auto" w:line="230" w:before="0" w:after="0"/>
              <w:ind w:left="159" w:hanging="0"/>
              <w:rPr>
                <w:sz w:val="26"/>
                <w:szCs w:val="26"/>
              </w:rPr>
            </w:pPr>
            <w:r>
              <w:rPr>
                <w:sz w:val="26"/>
                <w:szCs w:val="26"/>
              </w:rPr>
              <w:t>ФКУ ГУОДОП ФСИН России,</w:t>
            </w:r>
          </w:p>
          <w:p>
            <w:pPr>
              <w:pStyle w:val="Normal"/>
              <w:spacing w:lineRule="auto" w:line="230" w:before="0" w:after="0"/>
              <w:ind w:left="159" w:right="-108" w:hanging="0"/>
              <w:rPr>
                <w:sz w:val="26"/>
                <w:szCs w:val="26"/>
              </w:rPr>
            </w:pPr>
            <w:r>
              <w:rPr>
                <w:sz w:val="26"/>
                <w:szCs w:val="26"/>
              </w:rPr>
              <w:t>119049, город Москва, ул. Житная, д. 14, стр. 1.</w:t>
            </w:r>
          </w:p>
          <w:p>
            <w:pPr>
              <w:pStyle w:val="Normal"/>
              <w:spacing w:lineRule="auto" w:line="230" w:before="0" w:after="0"/>
              <w:ind w:left="159" w:hanging="0"/>
              <w:rPr>
                <w:sz w:val="26"/>
                <w:szCs w:val="26"/>
              </w:rPr>
            </w:pPr>
            <w:r>
              <w:rPr>
                <w:sz w:val="26"/>
                <w:szCs w:val="26"/>
              </w:rPr>
              <w:t xml:space="preserve">филиал - Управление </w:t>
              <w:br/>
              <w:t xml:space="preserve">по Архангельской области </w:t>
              <w:br/>
              <w:t xml:space="preserve">ФКУ ГУОДОП ФСИН России </w:t>
            </w:r>
          </w:p>
          <w:p>
            <w:pPr>
              <w:pStyle w:val="Normal"/>
              <w:spacing w:lineRule="auto" w:line="230" w:before="0" w:after="0"/>
              <w:ind w:left="159" w:hanging="0"/>
              <w:rPr>
                <w:sz w:val="26"/>
                <w:szCs w:val="26"/>
              </w:rPr>
            </w:pPr>
            <w:r>
              <w:rPr>
                <w:sz w:val="26"/>
                <w:szCs w:val="26"/>
              </w:rPr>
              <w:t xml:space="preserve">Адрес: 163069, Архангельская область, </w:t>
              <w:br/>
              <w:t xml:space="preserve">Г.О. ГОРОД АРХАНГЕЛЬСК, </w:t>
              <w:br/>
              <w:t xml:space="preserve">Г АРХАНГЕЛЬСК, </w:t>
              <w:br/>
              <w:t>ПР-КТ ТРОИЦКИЙ, Д. 96</w:t>
            </w:r>
          </w:p>
          <w:p>
            <w:pPr>
              <w:pStyle w:val="Normal"/>
              <w:spacing w:lineRule="auto" w:line="230" w:before="0" w:after="0"/>
              <w:ind w:left="159" w:hanging="0"/>
              <w:rPr>
                <w:sz w:val="26"/>
                <w:szCs w:val="26"/>
              </w:rPr>
            </w:pPr>
            <w:r>
              <w:rPr>
                <w:sz w:val="26"/>
                <w:szCs w:val="26"/>
              </w:rPr>
              <w:t>Тел./факс: 8 (8182) 412519</w:t>
            </w:r>
          </w:p>
          <w:p>
            <w:pPr>
              <w:pStyle w:val="Normal"/>
              <w:spacing w:lineRule="auto" w:line="230" w:before="0" w:after="0"/>
              <w:ind w:left="159" w:hanging="0"/>
              <w:rPr>
                <w:sz w:val="26"/>
                <w:szCs w:val="26"/>
              </w:rPr>
            </w:pPr>
            <w:r>
              <w:rPr>
                <w:sz w:val="26"/>
                <w:szCs w:val="26"/>
              </w:rPr>
              <w:t>ИНН 7706592947, КПП 290143001</w:t>
            </w:r>
          </w:p>
          <w:p>
            <w:pPr>
              <w:pStyle w:val="Normal"/>
              <w:spacing w:lineRule="auto" w:line="230" w:before="0" w:after="0"/>
              <w:ind w:left="159" w:hanging="0"/>
              <w:rPr>
                <w:sz w:val="26"/>
                <w:szCs w:val="26"/>
              </w:rPr>
            </w:pPr>
            <w:r>
              <w:rPr>
                <w:sz w:val="26"/>
                <w:szCs w:val="26"/>
              </w:rPr>
              <w:t>ОГРН 1057748249503</w:t>
            </w:r>
          </w:p>
          <w:p>
            <w:pPr>
              <w:pStyle w:val="Normal"/>
              <w:widowControl w:val="false"/>
              <w:snapToGrid w:val="false"/>
              <w:spacing w:lineRule="auto" w:line="230" w:before="0" w:after="0"/>
              <w:ind w:left="159" w:hanging="0"/>
              <w:rPr>
                <w:sz w:val="26"/>
                <w:szCs w:val="26"/>
              </w:rPr>
            </w:pPr>
            <w:r>
              <w:rPr>
                <w:sz w:val="26"/>
                <w:szCs w:val="26"/>
              </w:rPr>
              <w:t xml:space="preserve">Банковские реквизиты: л/с № 03951299580 </w:t>
              <w:br/>
              <w:t xml:space="preserve">в Межрегиональном операционном управлении Федерального казначейства </w:t>
            </w:r>
          </w:p>
          <w:p>
            <w:pPr>
              <w:pStyle w:val="Normal"/>
              <w:widowControl w:val="false"/>
              <w:snapToGrid w:val="false"/>
              <w:spacing w:lineRule="auto" w:line="230" w:before="0" w:after="0"/>
              <w:ind w:left="159" w:hanging="0"/>
              <w:rPr>
                <w:sz w:val="26"/>
                <w:szCs w:val="26"/>
              </w:rPr>
            </w:pPr>
            <w:r>
              <w:rPr>
                <w:sz w:val="26"/>
                <w:szCs w:val="26"/>
              </w:rPr>
              <w:t>р/с № 03211643000000019500</w:t>
              <w:br/>
              <w:t xml:space="preserve">к/с № 40102810045370000002 </w:t>
              <w:br/>
              <w:t xml:space="preserve">ОПЕРАЦИОННЫЙ ДЕПАРТАМЕНТ БАНКА РОССИИ//Межрегиональное операционное УФК г. Москва </w:t>
              <w:br/>
              <w:t>БИК 024501901</w:t>
            </w:r>
          </w:p>
        </w:tc>
        <w:tc>
          <w:tcPr>
            <w:tcW w:w="4713" w:type="dxa"/>
            <w:tcBorders/>
          </w:tcPr>
          <w:p>
            <w:pPr>
              <w:pStyle w:val="Normal"/>
              <w:snapToGrid w:val="false"/>
              <w:spacing w:lineRule="auto" w:line="230" w:before="0" w:after="0"/>
              <w:ind w:left="0" w:hanging="0"/>
              <w:rPr>
                <w:sz w:val="26"/>
                <w:szCs w:val="26"/>
              </w:rPr>
            </w:pPr>
            <w:r>
              <w:rPr>
                <w:sz w:val="26"/>
                <w:szCs w:val="26"/>
              </w:rPr>
            </w:r>
          </w:p>
          <w:p>
            <w:pPr>
              <w:pStyle w:val="Normal"/>
              <w:spacing w:lineRule="auto" w:line="230" w:before="0" w:after="0"/>
              <w:ind w:left="4" w:hanging="0"/>
              <w:rPr>
                <w:sz w:val="26"/>
                <w:szCs w:val="26"/>
              </w:rPr>
            </w:pPr>
            <w:r>
              <w:rPr>
                <w:sz w:val="26"/>
                <w:szCs w:val="26"/>
              </w:rPr>
            </w:r>
          </w:p>
        </w:tc>
      </w:tr>
      <w:tr>
        <w:trPr>
          <w:trHeight w:val="911" w:hRule="atLeast"/>
        </w:trPr>
        <w:tc>
          <w:tcPr>
            <w:tcW w:w="4858" w:type="dxa"/>
            <w:tcBorders/>
            <w:vAlign w:val="center"/>
          </w:tcPr>
          <w:p>
            <w:pPr>
              <w:pStyle w:val="Normal"/>
              <w:widowControl w:val="false"/>
              <w:snapToGrid w:val="false"/>
              <w:spacing w:lineRule="auto" w:line="230" w:before="0" w:after="0"/>
              <w:rPr>
                <w:sz w:val="26"/>
                <w:szCs w:val="26"/>
              </w:rPr>
            </w:pPr>
            <w:r>
              <w:rPr>
                <w:sz w:val="26"/>
                <w:szCs w:val="26"/>
              </w:rPr>
            </w:r>
          </w:p>
          <w:p>
            <w:pPr>
              <w:pStyle w:val="Normal"/>
              <w:widowControl w:val="false"/>
              <w:snapToGrid w:val="false"/>
              <w:spacing w:lineRule="auto" w:line="230" w:before="0" w:after="0"/>
              <w:rPr>
                <w:sz w:val="26"/>
                <w:szCs w:val="26"/>
              </w:rPr>
            </w:pPr>
            <w:r>
              <w:rPr>
                <w:sz w:val="26"/>
                <w:szCs w:val="26"/>
              </w:rPr>
            </w:r>
          </w:p>
          <w:p>
            <w:pPr>
              <w:pStyle w:val="Normal"/>
              <w:widowControl w:val="false"/>
              <w:snapToGrid w:val="false"/>
              <w:spacing w:lineRule="auto" w:line="230" w:before="0" w:after="0"/>
              <w:ind w:left="0" w:hanging="0"/>
              <w:rPr/>
            </w:pPr>
            <w:r>
              <w:rPr>
                <w:sz w:val="26"/>
                <w:szCs w:val="26"/>
              </w:rPr>
              <w:t>____________________ /___________/</w:t>
            </w:r>
          </w:p>
          <w:p>
            <w:pPr>
              <w:pStyle w:val="Normal"/>
              <w:widowControl w:val="false"/>
              <w:snapToGrid w:val="false"/>
              <w:spacing w:lineRule="auto" w:line="230" w:before="0" w:after="0"/>
              <w:ind w:left="0" w:hanging="0"/>
              <w:rPr>
                <w:sz w:val="26"/>
                <w:szCs w:val="26"/>
              </w:rPr>
            </w:pPr>
            <w:r>
              <w:rPr>
                <w:sz w:val="26"/>
                <w:szCs w:val="26"/>
              </w:rPr>
              <w:t xml:space="preserve">         </w:t>
            </w:r>
            <w:r>
              <w:rPr>
                <w:sz w:val="26"/>
                <w:szCs w:val="26"/>
              </w:rPr>
              <w:t>М.П.</w:t>
            </w:r>
          </w:p>
        </w:tc>
        <w:tc>
          <w:tcPr>
            <w:tcW w:w="4713" w:type="dxa"/>
            <w:tcBorders/>
            <w:vAlign w:val="center"/>
          </w:tcPr>
          <w:p>
            <w:pPr>
              <w:pStyle w:val="Normal"/>
              <w:widowControl w:val="false"/>
              <w:snapToGrid w:val="false"/>
              <w:spacing w:lineRule="auto" w:line="230" w:before="0" w:after="0"/>
              <w:ind w:left="794" w:right="776" w:hanging="0"/>
              <w:rPr>
                <w:sz w:val="26"/>
                <w:szCs w:val="26"/>
              </w:rPr>
            </w:pPr>
            <w:r>
              <w:rPr>
                <w:sz w:val="26"/>
                <w:szCs w:val="26"/>
              </w:rPr>
            </w:r>
          </w:p>
          <w:p>
            <w:pPr>
              <w:pStyle w:val="Normal"/>
              <w:widowControl w:val="false"/>
              <w:snapToGrid w:val="false"/>
              <w:spacing w:lineRule="auto" w:line="230" w:before="0" w:after="0"/>
              <w:ind w:left="794" w:right="776" w:hanging="0"/>
              <w:rPr>
                <w:sz w:val="26"/>
                <w:szCs w:val="26"/>
              </w:rPr>
            </w:pPr>
            <w:r>
              <w:rPr>
                <w:sz w:val="26"/>
                <w:szCs w:val="26"/>
              </w:rPr>
            </w:r>
          </w:p>
          <w:p>
            <w:pPr>
              <w:pStyle w:val="Normal"/>
              <w:widowControl w:val="false"/>
              <w:snapToGrid w:val="false"/>
              <w:spacing w:lineRule="auto" w:line="230" w:before="0" w:after="0"/>
              <w:ind w:left="4" w:right="5" w:hanging="0"/>
              <w:rPr/>
            </w:pPr>
            <w:r>
              <w:rPr>
                <w:sz w:val="26"/>
                <w:szCs w:val="26"/>
              </w:rPr>
              <w:t xml:space="preserve">___________________ / </w:t>
            </w:r>
            <w:r>
              <w:rPr>
                <w:sz w:val="26"/>
                <w:szCs w:val="26"/>
                <w:lang w:eastAsia="ru-RU"/>
              </w:rPr>
              <w:t xml:space="preserve">___________ </w:t>
            </w:r>
            <w:r>
              <w:rPr>
                <w:sz w:val="26"/>
                <w:szCs w:val="26"/>
              </w:rPr>
              <w:t xml:space="preserve"> /</w:t>
            </w:r>
          </w:p>
          <w:p>
            <w:pPr>
              <w:pStyle w:val="Normal"/>
              <w:widowControl w:val="false"/>
              <w:snapToGrid w:val="false"/>
              <w:spacing w:lineRule="auto" w:line="230" w:before="0" w:after="0"/>
              <w:ind w:left="4" w:right="5" w:hanging="0"/>
              <w:rPr>
                <w:sz w:val="26"/>
                <w:szCs w:val="26"/>
              </w:rPr>
            </w:pPr>
            <w:r>
              <w:rPr>
                <w:sz w:val="26"/>
                <w:szCs w:val="26"/>
              </w:rPr>
              <w:t xml:space="preserve">                </w:t>
            </w:r>
            <w:r>
              <w:rPr>
                <w:sz w:val="26"/>
                <w:szCs w:val="26"/>
              </w:rPr>
              <w:t>М.П.</w:t>
            </w:r>
          </w:p>
        </w:tc>
      </w:tr>
    </w:tbl>
    <w:p>
      <w:pPr>
        <w:sectPr>
          <w:headerReference w:type="default" r:id="rId2"/>
          <w:headerReference w:type="first" r:id="rId3"/>
          <w:footerReference w:type="default" r:id="rId4"/>
          <w:footerReference w:type="first" r:id="rId5"/>
          <w:type w:val="nextPage"/>
          <w:pgSz w:w="11906" w:h="16838"/>
          <w:pgMar w:left="1701" w:right="709" w:gutter="0" w:header="567" w:top="1134" w:footer="567" w:bottom="1134"/>
          <w:pgNumType w:start="1" w:fmt="decimal"/>
          <w:formProt w:val="false"/>
          <w:titlePg/>
          <w:textDirection w:val="lrTb"/>
          <w:docGrid w:type="default" w:linePitch="360" w:charSpace="0"/>
        </w:sectPr>
      </w:pPr>
    </w:p>
    <w:p>
      <w:pPr>
        <w:pStyle w:val="Normal"/>
        <w:spacing w:lineRule="auto" w:line="240" w:before="0" w:after="0"/>
        <w:ind w:left="11199" w:hanging="0"/>
        <w:jc w:val="center"/>
        <w:rPr>
          <w:b/>
          <w:sz w:val="24"/>
          <w:szCs w:val="24"/>
          <w:lang w:eastAsia="ru-RU"/>
        </w:rPr>
      </w:pPr>
      <w:r>
        <w:rPr>
          <w:sz w:val="26"/>
          <w:szCs w:val="26"/>
        </w:rPr>
        <w:t>Приложение  к Контракту</w:t>
      </w:r>
    </w:p>
    <w:p>
      <w:pPr>
        <w:pStyle w:val="Normal"/>
        <w:spacing w:lineRule="auto" w:line="240" w:before="0" w:after="0"/>
        <w:ind w:left="11199" w:hanging="0"/>
        <w:jc w:val="center"/>
        <w:rPr>
          <w:b/>
          <w:sz w:val="24"/>
          <w:szCs w:val="24"/>
          <w:lang w:eastAsia="ru-RU"/>
        </w:rPr>
      </w:pPr>
      <w:r>
        <w:rPr>
          <w:sz w:val="26"/>
          <w:szCs w:val="26"/>
        </w:rPr>
        <w:t>от «____»__________2026 г.</w:t>
      </w:r>
    </w:p>
    <w:p>
      <w:pPr>
        <w:pStyle w:val="Normal"/>
        <w:numPr>
          <w:ilvl w:val="0"/>
          <w:numId w:val="0"/>
        </w:numPr>
        <w:spacing w:lineRule="auto" w:line="240" w:before="0" w:after="0"/>
        <w:ind w:left="11199" w:hanging="0"/>
        <w:jc w:val="center"/>
        <w:outlineLvl w:val="0"/>
        <w:rPr>
          <w:b/>
          <w:sz w:val="24"/>
          <w:szCs w:val="24"/>
          <w:lang w:eastAsia="ru-RU"/>
        </w:rPr>
      </w:pPr>
      <w:r>
        <w:rPr>
          <w:sz w:val="26"/>
          <w:szCs w:val="26"/>
        </w:rPr>
        <w:t xml:space="preserve">№ </w:t>
      </w:r>
      <w:r>
        <w:rPr>
          <w:sz w:val="26"/>
          <w:szCs w:val="26"/>
        </w:rPr>
        <w:t>______________________</w:t>
      </w:r>
    </w:p>
    <w:p>
      <w:pPr>
        <w:pStyle w:val="Normal"/>
        <w:numPr>
          <w:ilvl w:val="0"/>
          <w:numId w:val="0"/>
        </w:numPr>
        <w:spacing w:lineRule="auto" w:line="240" w:before="0" w:after="0"/>
        <w:ind w:left="11199" w:hanging="0"/>
        <w:jc w:val="center"/>
        <w:outlineLvl w:val="0"/>
        <w:rPr>
          <w:b/>
          <w:sz w:val="24"/>
          <w:szCs w:val="24"/>
          <w:lang w:eastAsia="ru-RU"/>
        </w:rPr>
      </w:pPr>
      <w:r>
        <w:rPr>
          <w:rFonts w:cs="XO Thames" w:ascii="XO Thames" w:hAnsi="XO Thames"/>
          <w:bCs/>
          <w:color w:val="000000"/>
          <w:sz w:val="26"/>
          <w:szCs w:val="26"/>
          <w:shd w:fill="FFFFFF" w:val="clear"/>
          <w:lang w:eastAsia="ru-RU" w:bidi="ru-RU"/>
        </w:rPr>
      </w:r>
    </w:p>
    <w:p>
      <w:pPr>
        <w:pStyle w:val="Normal"/>
        <w:numPr>
          <w:ilvl w:val="0"/>
          <w:numId w:val="0"/>
        </w:numPr>
        <w:spacing w:lineRule="auto" w:line="240" w:before="0" w:after="0"/>
        <w:ind w:left="794" w:hanging="0"/>
        <w:jc w:val="center"/>
        <w:outlineLvl w:val="0"/>
        <w:rPr>
          <w:b/>
          <w:sz w:val="24"/>
          <w:szCs w:val="24"/>
          <w:lang w:eastAsia="ru-RU"/>
        </w:rPr>
      </w:pPr>
      <w:r>
        <w:rPr>
          <w:bCs/>
          <w:color w:val="000000"/>
          <w:sz w:val="26"/>
          <w:szCs w:val="26"/>
          <w:shd w:fill="FFFFFF" w:val="clear"/>
          <w:lang w:eastAsia="ru-RU" w:bidi="ru-RU"/>
        </w:rPr>
        <w:t>ТЕХНИЧЕСКОЕ ЗАДАНИЕ</w:t>
      </w:r>
    </w:p>
    <w:p>
      <w:pPr>
        <w:pStyle w:val="Normal"/>
        <w:spacing w:lineRule="auto" w:line="240" w:before="0" w:after="0"/>
        <w:contextualSpacing/>
        <w:jc w:val="center"/>
        <w:rPr>
          <w:b/>
          <w:sz w:val="24"/>
          <w:szCs w:val="24"/>
          <w:lang w:eastAsia="ru-RU"/>
        </w:rPr>
      </w:pPr>
      <w:r>
        <w:rPr>
          <w:bCs/>
          <w:color w:val="000000"/>
          <w:sz w:val="26"/>
          <w:szCs w:val="26"/>
          <w:shd w:fill="FFFFFF" w:val="clear"/>
          <w:lang w:eastAsia="ru-RU" w:bidi="ru-RU"/>
        </w:rPr>
        <w:t xml:space="preserve">на поставку (приобретение) </w:t>
      </w:r>
      <w:r>
        <w:rPr>
          <w:bCs/>
          <w:sz w:val="26"/>
          <w:szCs w:val="26"/>
          <w:shd w:fill="FFFFFF" w:val="clear"/>
          <w:lang w:eastAsia="ru-RU" w:bidi="ru-RU"/>
        </w:rPr>
        <w:t>автомобильных аккумуляторных батарей</w:t>
      </w:r>
      <w:r>
        <w:rPr>
          <w:bCs/>
          <w:color w:val="FF0000"/>
          <w:sz w:val="26"/>
          <w:szCs w:val="26"/>
          <w:shd w:fill="FFFFFF" w:val="clear"/>
          <w:lang w:eastAsia="ru-RU" w:bidi="ru-RU"/>
        </w:rPr>
        <w:t xml:space="preserve">  </w:t>
      </w:r>
      <w:r>
        <w:rPr>
          <w:bCs/>
          <w:color w:val="000000"/>
          <w:sz w:val="26"/>
          <w:szCs w:val="26"/>
          <w:shd w:fill="FFFFFF" w:val="clear"/>
          <w:lang w:eastAsia="ru-RU" w:bidi="ru-RU"/>
        </w:rPr>
        <w:br/>
        <w:t xml:space="preserve"> для обеспечения нужд </w:t>
        <w:br/>
        <w:t>Управления по Архангельской области ФКУ ГУОДОП ФСИН России.</w:t>
      </w:r>
    </w:p>
    <w:p>
      <w:pPr>
        <w:pStyle w:val="Normal"/>
        <w:spacing w:lineRule="auto" w:line="240" w:before="0" w:after="0"/>
        <w:jc w:val="center"/>
        <w:rPr>
          <w:b/>
          <w:sz w:val="24"/>
          <w:szCs w:val="24"/>
          <w:lang w:eastAsia="ru-RU"/>
        </w:rPr>
      </w:pPr>
      <w:r>
        <w:rPr>
          <w:bCs/>
          <w:color w:val="000000"/>
          <w:sz w:val="26"/>
          <w:szCs w:val="26"/>
          <w:shd w:fill="FFFFFF" w:val="clear"/>
          <w:lang w:eastAsia="ru-RU" w:bidi="ru-RU"/>
        </w:rPr>
      </w:r>
    </w:p>
    <w:p>
      <w:pPr>
        <w:pStyle w:val="Normal"/>
        <w:numPr>
          <w:ilvl w:val="0"/>
          <w:numId w:val="3"/>
        </w:numPr>
        <w:suppressAutoHyphens w:val="false"/>
        <w:spacing w:lineRule="auto" w:line="240" w:before="0" w:after="0"/>
        <w:jc w:val="center"/>
        <w:outlineLvl w:val="0"/>
        <w:rPr>
          <w:bCs/>
          <w:color w:val="000000"/>
          <w:sz w:val="26"/>
          <w:szCs w:val="26"/>
          <w:shd w:fill="FFFFFF" w:val="clear"/>
          <w:lang w:eastAsia="ru-RU" w:bidi="ru-RU"/>
        </w:rPr>
      </w:pPr>
      <w:r>
        <w:rPr>
          <w:bCs/>
          <w:color w:val="000000"/>
          <w:sz w:val="26"/>
          <w:szCs w:val="26"/>
          <w:shd w:fill="FFFFFF" w:val="clear"/>
          <w:lang w:eastAsia="ru-RU" w:bidi="ru-RU"/>
        </w:rPr>
        <w:t>Спецификация товара</w:t>
      </w:r>
    </w:p>
    <w:p>
      <w:pPr>
        <w:pStyle w:val="Normal"/>
        <w:numPr>
          <w:ilvl w:val="0"/>
          <w:numId w:val="0"/>
        </w:numPr>
        <w:spacing w:lineRule="auto" w:line="240" w:before="0" w:after="0"/>
        <w:ind w:left="360" w:hanging="0"/>
        <w:outlineLvl w:val="0"/>
        <w:rPr>
          <w:bCs/>
          <w:color w:val="000000"/>
          <w:sz w:val="26"/>
          <w:szCs w:val="26"/>
          <w:shd w:fill="FFFFFF" w:val="clear"/>
          <w:lang w:eastAsia="ru-RU" w:bidi="ru-RU"/>
        </w:rPr>
      </w:pPr>
      <w:r>
        <w:rPr>
          <w:rFonts w:cs="XO Thames" w:ascii="XO Thames" w:hAnsi="XO Thames"/>
          <w:bCs/>
          <w:color w:val="000000"/>
          <w:sz w:val="26"/>
          <w:szCs w:val="26"/>
          <w:shd w:fill="FFFFFF" w:val="clear"/>
          <w:lang w:eastAsia="ru-RU" w:bidi="ru-RU"/>
        </w:rPr>
      </w:r>
    </w:p>
    <w:tbl>
      <w:tblPr>
        <w:tblW w:w="14706" w:type="dxa"/>
        <w:jc w:val="left"/>
        <w:tblInd w:w="0" w:type="dxa"/>
        <w:tblLayout w:type="fixed"/>
        <w:tblCellMar>
          <w:top w:w="0" w:type="dxa"/>
          <w:left w:w="108" w:type="dxa"/>
          <w:bottom w:w="0" w:type="dxa"/>
          <w:right w:w="108" w:type="dxa"/>
        </w:tblCellMar>
      </w:tblPr>
      <w:tblGrid>
        <w:gridCol w:w="534"/>
        <w:gridCol w:w="1417"/>
        <w:gridCol w:w="1558"/>
        <w:gridCol w:w="1844"/>
        <w:gridCol w:w="1845"/>
        <w:gridCol w:w="1843"/>
        <w:gridCol w:w="1699"/>
        <w:gridCol w:w="706"/>
        <w:gridCol w:w="709"/>
        <w:gridCol w:w="1417"/>
        <w:gridCol w:w="1134"/>
      </w:tblGrid>
      <w:tr>
        <w:trPr>
          <w:trHeight w:val="301" w:hRule="atLeast"/>
        </w:trPr>
        <w:tc>
          <w:tcPr>
            <w:tcW w:w="534" w:type="dxa"/>
            <w:tcBorders>
              <w:top w:val="single" w:sz="4" w:space="0" w:color="000000"/>
              <w:left w:val="single" w:sz="4" w:space="0" w:color="000000"/>
              <w:bottom w:val="single" w:sz="4" w:space="0" w:color="000000"/>
              <w:right w:val="single" w:sz="4" w:space="0" w:color="000000"/>
            </w:tcBorders>
          </w:tcPr>
          <w:p>
            <w:pPr>
              <w:pStyle w:val="Normal"/>
              <w:keepLines/>
              <w:spacing w:lineRule="auto" w:line="240" w:before="0" w:after="0"/>
              <w:ind w:left="0" w:hanging="0"/>
              <w:jc w:val="center"/>
              <w:rPr>
                <w:b/>
                <w:sz w:val="21"/>
                <w:szCs w:val="21"/>
              </w:rPr>
            </w:pPr>
            <w:r>
              <w:rPr>
                <w:b/>
                <w:sz w:val="21"/>
                <w:szCs w:val="21"/>
              </w:rPr>
              <w:t>№</w:t>
            </w:r>
          </w:p>
          <w:p>
            <w:pPr>
              <w:pStyle w:val="Normal"/>
              <w:keepLines/>
              <w:spacing w:lineRule="auto" w:line="240" w:before="0" w:after="0"/>
              <w:ind w:left="0" w:hanging="0"/>
              <w:jc w:val="center"/>
              <w:rPr>
                <w:b/>
                <w:sz w:val="21"/>
                <w:szCs w:val="21"/>
              </w:rPr>
            </w:pPr>
            <w:r>
              <w:rPr>
                <w:b/>
                <w:sz w:val="21"/>
                <w:szCs w:val="21"/>
              </w:rPr>
              <w:t>п/п</w:t>
            </w:r>
          </w:p>
        </w:tc>
        <w:tc>
          <w:tcPr>
            <w:tcW w:w="1417" w:type="dxa"/>
            <w:tcBorders>
              <w:top w:val="single" w:sz="4" w:space="0" w:color="000000"/>
              <w:left w:val="single" w:sz="4" w:space="0" w:color="000000"/>
              <w:bottom w:val="single" w:sz="4" w:space="0" w:color="000000"/>
              <w:right w:val="single" w:sz="4" w:space="0" w:color="000000"/>
            </w:tcBorders>
          </w:tcPr>
          <w:p>
            <w:pPr>
              <w:pStyle w:val="Normal"/>
              <w:keepLines/>
              <w:tabs>
                <w:tab w:val="clear" w:pos="708"/>
                <w:tab w:val="left" w:pos="1251" w:leader="none"/>
              </w:tabs>
              <w:spacing w:lineRule="auto" w:line="240" w:before="0" w:after="0"/>
              <w:ind w:left="-102" w:hanging="0"/>
              <w:jc w:val="center"/>
              <w:rPr>
                <w:b/>
                <w:sz w:val="21"/>
                <w:szCs w:val="21"/>
              </w:rPr>
            </w:pPr>
            <w:r>
              <w:rPr>
                <w:b/>
                <w:sz w:val="21"/>
                <w:szCs w:val="21"/>
              </w:rPr>
              <w:t>Код позиции КТРУ</w:t>
            </w:r>
          </w:p>
          <w:p>
            <w:pPr>
              <w:pStyle w:val="Normal"/>
              <w:keepLines/>
              <w:tabs>
                <w:tab w:val="clear" w:pos="708"/>
                <w:tab w:val="left" w:pos="1251" w:leader="none"/>
              </w:tabs>
              <w:spacing w:lineRule="auto" w:line="240" w:before="0" w:after="0"/>
              <w:ind w:left="-102" w:hanging="0"/>
              <w:jc w:val="center"/>
              <w:rPr>
                <w:b/>
                <w:sz w:val="21"/>
                <w:szCs w:val="21"/>
              </w:rPr>
            </w:pPr>
            <w:r>
              <w:rPr>
                <w:b/>
                <w:sz w:val="21"/>
                <w:szCs w:val="21"/>
              </w:rPr>
              <w:t>(ОКПД 2)</w:t>
            </w:r>
          </w:p>
        </w:tc>
        <w:tc>
          <w:tcPr>
            <w:tcW w:w="1558" w:type="dxa"/>
            <w:tcBorders>
              <w:top w:val="single" w:sz="4" w:space="0" w:color="000000"/>
              <w:left w:val="single" w:sz="4" w:space="0" w:color="000000"/>
              <w:bottom w:val="single" w:sz="4" w:space="0" w:color="000000"/>
              <w:right w:val="single" w:sz="4" w:space="0" w:color="000000"/>
            </w:tcBorders>
          </w:tcPr>
          <w:p>
            <w:pPr>
              <w:pStyle w:val="Normal"/>
              <w:keepLines/>
              <w:tabs>
                <w:tab w:val="clear" w:pos="708"/>
                <w:tab w:val="left" w:pos="1513" w:leader="none"/>
              </w:tabs>
              <w:spacing w:lineRule="auto" w:line="240" w:before="0" w:after="0"/>
              <w:ind w:left="-188" w:right="-171" w:hanging="0"/>
              <w:jc w:val="center"/>
              <w:rPr>
                <w:sz w:val="21"/>
                <w:szCs w:val="21"/>
              </w:rPr>
            </w:pPr>
            <w:r>
              <w:rPr/>
              <w:t>Страна происхождения</w:t>
            </w:r>
          </w:p>
        </w:tc>
        <w:tc>
          <w:tcPr>
            <w:tcW w:w="1844" w:type="dxa"/>
            <w:tcBorders>
              <w:top w:val="single" w:sz="4" w:space="0" w:color="000000"/>
              <w:left w:val="single" w:sz="4" w:space="0" w:color="000000"/>
              <w:bottom w:val="single" w:sz="4" w:space="0" w:color="000000"/>
              <w:right w:val="single" w:sz="4" w:space="0" w:color="000000"/>
            </w:tcBorders>
          </w:tcPr>
          <w:p>
            <w:pPr>
              <w:pStyle w:val="Normal"/>
              <w:keepLines/>
              <w:tabs>
                <w:tab w:val="clear" w:pos="708"/>
                <w:tab w:val="left" w:pos="1251" w:leader="none"/>
              </w:tabs>
              <w:spacing w:lineRule="auto" w:line="240" w:before="0" w:after="0"/>
              <w:ind w:left="-102" w:hanging="0"/>
              <w:jc w:val="center"/>
              <w:rPr>
                <w:b/>
                <w:sz w:val="21"/>
                <w:szCs w:val="21"/>
              </w:rPr>
            </w:pPr>
            <w:r>
              <w:rPr>
                <w:b/>
                <w:sz w:val="21"/>
                <w:szCs w:val="21"/>
              </w:rPr>
              <w:t>Наименование  товара</w:t>
            </w:r>
          </w:p>
        </w:tc>
        <w:tc>
          <w:tcPr>
            <w:tcW w:w="1845" w:type="dxa"/>
            <w:tcBorders>
              <w:top w:val="single" w:sz="4" w:space="0" w:color="000000"/>
              <w:left w:val="single" w:sz="4" w:space="0" w:color="000000"/>
              <w:bottom w:val="single" w:sz="4" w:space="0" w:color="000000"/>
              <w:right w:val="single" w:sz="4" w:space="0" w:color="000000"/>
            </w:tcBorders>
          </w:tcPr>
          <w:p>
            <w:pPr>
              <w:pStyle w:val="Normal"/>
              <w:keepLines/>
              <w:tabs>
                <w:tab w:val="clear" w:pos="708"/>
                <w:tab w:val="left" w:pos="1251" w:leader="none"/>
              </w:tabs>
              <w:spacing w:lineRule="auto" w:line="240" w:before="0" w:after="0"/>
              <w:ind w:left="-102" w:hanging="0"/>
              <w:jc w:val="center"/>
              <w:rPr>
                <w:b/>
                <w:sz w:val="21"/>
                <w:szCs w:val="21"/>
              </w:rPr>
            </w:pPr>
            <w:r>
              <w:rPr>
                <w:b/>
                <w:sz w:val="21"/>
                <w:szCs w:val="21"/>
              </w:rPr>
              <w:t>Наименование характеристики</w:t>
            </w:r>
          </w:p>
        </w:tc>
        <w:tc>
          <w:tcPr>
            <w:tcW w:w="1843" w:type="dxa"/>
            <w:tcBorders>
              <w:top w:val="single" w:sz="4" w:space="0" w:color="000000"/>
              <w:left w:val="single" w:sz="4" w:space="0" w:color="000000"/>
              <w:bottom w:val="single" w:sz="4" w:space="0" w:color="000000"/>
              <w:right w:val="single" w:sz="4" w:space="0" w:color="000000"/>
            </w:tcBorders>
          </w:tcPr>
          <w:p>
            <w:pPr>
              <w:pStyle w:val="Normal"/>
              <w:keepLines/>
              <w:tabs>
                <w:tab w:val="clear" w:pos="708"/>
                <w:tab w:val="left" w:pos="1251" w:leader="none"/>
              </w:tabs>
              <w:spacing w:lineRule="auto" w:line="240" w:before="0" w:after="0"/>
              <w:ind w:left="-102" w:hanging="0"/>
              <w:jc w:val="center"/>
              <w:rPr>
                <w:b/>
                <w:sz w:val="21"/>
                <w:szCs w:val="21"/>
              </w:rPr>
            </w:pPr>
            <w:r>
              <w:rPr>
                <w:b/>
                <w:sz w:val="21"/>
                <w:szCs w:val="21"/>
              </w:rPr>
              <w:t>Значение характеристики</w:t>
            </w:r>
          </w:p>
        </w:tc>
        <w:tc>
          <w:tcPr>
            <w:tcW w:w="1699" w:type="dxa"/>
            <w:tcBorders>
              <w:top w:val="single" w:sz="4" w:space="0" w:color="000000"/>
              <w:left w:val="single" w:sz="4" w:space="0" w:color="000000"/>
              <w:bottom w:val="single" w:sz="4" w:space="0" w:color="000000"/>
              <w:right w:val="single" w:sz="4" w:space="0" w:color="000000"/>
            </w:tcBorders>
          </w:tcPr>
          <w:p>
            <w:pPr>
              <w:pStyle w:val="Normal"/>
              <w:keepLines/>
              <w:tabs>
                <w:tab w:val="clear" w:pos="708"/>
                <w:tab w:val="left" w:pos="1593" w:leader="none"/>
              </w:tabs>
              <w:spacing w:lineRule="auto" w:line="240" w:before="0" w:after="0"/>
              <w:ind w:left="-249" w:right="-249" w:hanging="0"/>
              <w:jc w:val="center"/>
              <w:rPr>
                <w:b/>
                <w:sz w:val="21"/>
                <w:szCs w:val="21"/>
              </w:rPr>
            </w:pPr>
            <w:r>
              <w:rPr>
                <w:b/>
                <w:sz w:val="21"/>
                <w:szCs w:val="21"/>
              </w:rPr>
              <w:t>Единица измерения характеристики</w:t>
            </w:r>
          </w:p>
        </w:tc>
        <w:tc>
          <w:tcPr>
            <w:tcW w:w="706" w:type="dxa"/>
            <w:tcBorders>
              <w:top w:val="single" w:sz="4" w:space="0" w:color="000000"/>
              <w:left w:val="single" w:sz="4" w:space="0" w:color="000000"/>
              <w:bottom w:val="single" w:sz="4" w:space="0" w:color="000000"/>
              <w:right w:val="single" w:sz="4" w:space="0" w:color="000000"/>
            </w:tcBorders>
          </w:tcPr>
          <w:p>
            <w:pPr>
              <w:pStyle w:val="Normal"/>
              <w:keepLines/>
              <w:tabs>
                <w:tab w:val="clear" w:pos="708"/>
                <w:tab w:val="left" w:pos="1251" w:leader="none"/>
              </w:tabs>
              <w:spacing w:lineRule="auto" w:line="240" w:before="0" w:after="0"/>
              <w:ind w:left="-102" w:hanging="0"/>
              <w:jc w:val="center"/>
              <w:rPr>
                <w:b/>
                <w:sz w:val="21"/>
                <w:szCs w:val="21"/>
              </w:rPr>
            </w:pPr>
            <w:r>
              <w:rPr>
                <w:b/>
                <w:sz w:val="21"/>
                <w:szCs w:val="21"/>
              </w:rPr>
              <w:t>Ед.</w:t>
            </w:r>
          </w:p>
          <w:p>
            <w:pPr>
              <w:pStyle w:val="Normal"/>
              <w:keepLines/>
              <w:tabs>
                <w:tab w:val="clear" w:pos="708"/>
                <w:tab w:val="left" w:pos="1251" w:leader="none"/>
              </w:tabs>
              <w:spacing w:lineRule="auto" w:line="240" w:before="0" w:after="0"/>
              <w:ind w:left="-102" w:hanging="0"/>
              <w:jc w:val="center"/>
              <w:rPr>
                <w:b/>
                <w:sz w:val="21"/>
                <w:szCs w:val="21"/>
              </w:rPr>
            </w:pPr>
            <w:r>
              <w:rPr>
                <w:b/>
                <w:sz w:val="21"/>
                <w:szCs w:val="21"/>
              </w:rPr>
              <w:t>изм.</w:t>
            </w:r>
          </w:p>
        </w:tc>
        <w:tc>
          <w:tcPr>
            <w:tcW w:w="709" w:type="dxa"/>
            <w:tcBorders>
              <w:top w:val="single" w:sz="4" w:space="0" w:color="000000"/>
              <w:left w:val="single" w:sz="4" w:space="0" w:color="000000"/>
              <w:bottom w:val="single" w:sz="4" w:space="0" w:color="000000"/>
              <w:right w:val="single" w:sz="4" w:space="0" w:color="000000"/>
            </w:tcBorders>
          </w:tcPr>
          <w:p>
            <w:pPr>
              <w:pStyle w:val="Normal"/>
              <w:keepLines/>
              <w:tabs>
                <w:tab w:val="clear" w:pos="708"/>
                <w:tab w:val="left" w:pos="1251" w:leader="none"/>
              </w:tabs>
              <w:spacing w:lineRule="auto" w:line="240" w:before="0" w:after="0"/>
              <w:ind w:left="-102" w:hanging="0"/>
              <w:jc w:val="center"/>
              <w:rPr>
                <w:b/>
                <w:sz w:val="21"/>
                <w:szCs w:val="21"/>
              </w:rPr>
            </w:pPr>
            <w:r>
              <w:rPr>
                <w:b/>
                <w:sz w:val="21"/>
                <w:szCs w:val="21"/>
              </w:rPr>
              <w:t>Кол-</w:t>
            </w:r>
          </w:p>
          <w:p>
            <w:pPr>
              <w:pStyle w:val="Normal"/>
              <w:keepLines/>
              <w:tabs>
                <w:tab w:val="clear" w:pos="708"/>
                <w:tab w:val="left" w:pos="1251" w:leader="none"/>
              </w:tabs>
              <w:spacing w:lineRule="auto" w:line="240" w:before="0" w:after="0"/>
              <w:ind w:left="-102" w:right="-108" w:hanging="0"/>
              <w:jc w:val="center"/>
              <w:rPr>
                <w:b/>
                <w:sz w:val="21"/>
                <w:szCs w:val="21"/>
              </w:rPr>
            </w:pPr>
            <w:r>
              <w:rPr>
                <w:b/>
                <w:sz w:val="21"/>
                <w:szCs w:val="21"/>
              </w:rPr>
              <w:t>во</w:t>
            </w:r>
          </w:p>
        </w:tc>
        <w:tc>
          <w:tcPr>
            <w:tcW w:w="1417" w:type="dxa"/>
            <w:tcBorders>
              <w:top w:val="single" w:sz="4" w:space="0" w:color="000000"/>
              <w:left w:val="single" w:sz="4" w:space="0" w:color="000000"/>
              <w:bottom w:val="single" w:sz="4" w:space="0" w:color="000000"/>
              <w:right w:val="single" w:sz="4" w:space="0" w:color="000000"/>
            </w:tcBorders>
          </w:tcPr>
          <w:p>
            <w:pPr>
              <w:pStyle w:val="Normal"/>
              <w:tabs>
                <w:tab w:val="clear" w:pos="708"/>
                <w:tab w:val="right" w:pos="9496" w:leader="none"/>
              </w:tabs>
              <w:spacing w:lineRule="auto" w:line="240" w:before="0" w:after="0"/>
              <w:ind w:left="-124" w:right="-158" w:hanging="0"/>
              <w:jc w:val="center"/>
              <w:rPr>
                <w:sz w:val="21"/>
                <w:szCs w:val="21"/>
              </w:rPr>
            </w:pPr>
            <w:r>
              <w:rPr>
                <w:b/>
                <w:sz w:val="21"/>
                <w:szCs w:val="21"/>
              </w:rPr>
              <w:t>Цена за ед., руб.</w:t>
            </w:r>
          </w:p>
        </w:tc>
        <w:tc>
          <w:tcPr>
            <w:tcW w:w="1134" w:type="dxa"/>
            <w:tcBorders>
              <w:top w:val="single" w:sz="4" w:space="0" w:color="000000"/>
              <w:left w:val="single" w:sz="4" w:space="0" w:color="000000"/>
              <w:bottom w:val="single" w:sz="4" w:space="0" w:color="000000"/>
              <w:right w:val="single" w:sz="4" w:space="0" w:color="000000"/>
            </w:tcBorders>
          </w:tcPr>
          <w:p>
            <w:pPr>
              <w:pStyle w:val="Normal"/>
              <w:tabs>
                <w:tab w:val="clear" w:pos="708"/>
                <w:tab w:val="right" w:pos="9496" w:leader="none"/>
              </w:tabs>
              <w:spacing w:lineRule="auto" w:line="240" w:before="0" w:after="0"/>
              <w:ind w:left="-124" w:right="-158" w:hanging="0"/>
              <w:jc w:val="center"/>
              <w:rPr>
                <w:sz w:val="21"/>
                <w:szCs w:val="21"/>
              </w:rPr>
            </w:pPr>
            <w:r>
              <w:rPr>
                <w:b/>
                <w:sz w:val="21"/>
                <w:szCs w:val="21"/>
              </w:rPr>
              <w:t>Сумма, руб.</w:t>
            </w:r>
          </w:p>
        </w:tc>
      </w:tr>
      <w:tr>
        <w:trPr>
          <w:trHeight w:val="443" w:hRule="atLeast"/>
        </w:trPr>
        <w:tc>
          <w:tcPr>
            <w:tcW w:w="534" w:type="dxa"/>
            <w:vMerge w:val="restart"/>
            <w:tcBorders>
              <w:top w:val="single" w:sz="4" w:space="0" w:color="000000"/>
              <w:left w:val="single" w:sz="4" w:space="0" w:color="000000"/>
              <w:bottom w:val="single" w:sz="4" w:space="0" w:color="000000"/>
              <w:right w:val="single" w:sz="4" w:space="0" w:color="000000"/>
            </w:tcBorders>
          </w:tcPr>
          <w:p>
            <w:pPr>
              <w:pStyle w:val="Normal"/>
              <w:keepLines/>
              <w:spacing w:lineRule="auto" w:line="240" w:before="0" w:after="0"/>
              <w:ind w:left="-142" w:hanging="0"/>
              <w:jc w:val="center"/>
              <w:rPr>
                <w:bCs/>
                <w:sz w:val="21"/>
                <w:szCs w:val="21"/>
              </w:rPr>
            </w:pPr>
            <w:r>
              <w:rPr>
                <w:bCs/>
                <w:sz w:val="21"/>
                <w:szCs w:val="21"/>
              </w:rPr>
              <w:t>1</w:t>
            </w:r>
          </w:p>
        </w:tc>
        <w:tc>
          <w:tcPr>
            <w:tcW w:w="1417" w:type="dxa"/>
            <w:vMerge w:val="restart"/>
            <w:tcBorders>
              <w:top w:val="single" w:sz="4" w:space="0" w:color="000000"/>
              <w:left w:val="single" w:sz="4" w:space="0" w:color="000000"/>
              <w:bottom w:val="single" w:sz="4" w:space="0" w:color="000000"/>
              <w:right w:val="single" w:sz="4" w:space="0" w:color="000000"/>
            </w:tcBorders>
          </w:tcPr>
          <w:p>
            <w:pPr>
              <w:pStyle w:val="Normal"/>
              <w:keepLines/>
              <w:spacing w:lineRule="auto" w:line="240" w:before="0" w:after="0"/>
              <w:ind w:left="-102" w:right="-170" w:hanging="0"/>
              <w:jc w:val="center"/>
              <w:rPr>
                <w:bCs/>
                <w:sz w:val="21"/>
                <w:szCs w:val="21"/>
              </w:rPr>
            </w:pPr>
            <w:r>
              <w:rPr>
                <w:sz w:val="21"/>
                <w:szCs w:val="21"/>
              </w:rPr>
              <w:t>27.20.21.000</w:t>
            </w:r>
          </w:p>
        </w:tc>
        <w:tc>
          <w:tcPr>
            <w:tcW w:w="1558" w:type="dxa"/>
            <w:vMerge w:val="restart"/>
            <w:tcBorders>
              <w:top w:val="single" w:sz="4" w:space="0" w:color="000000"/>
              <w:left w:val="single" w:sz="4" w:space="0" w:color="000000"/>
              <w:bottom w:val="single" w:sz="4" w:space="0" w:color="000000"/>
              <w:right w:val="single" w:sz="4" w:space="0" w:color="000000"/>
            </w:tcBorders>
          </w:tcPr>
          <w:p>
            <w:pPr>
              <w:pStyle w:val="Normal"/>
              <w:keepLines/>
              <w:snapToGrid w:val="false"/>
              <w:spacing w:lineRule="auto" w:line="240" w:before="0" w:after="0"/>
              <w:ind w:left="-102" w:right="-170" w:hanging="0"/>
              <w:rPr>
                <w:bCs/>
                <w:sz w:val="21"/>
                <w:szCs w:val="21"/>
              </w:rPr>
            </w:pPr>
            <w:r>
              <w:rPr>
                <w:bCs/>
                <w:sz w:val="21"/>
                <w:szCs w:val="21"/>
              </w:rPr>
            </w:r>
          </w:p>
        </w:tc>
        <w:tc>
          <w:tcPr>
            <w:tcW w:w="1844" w:type="dxa"/>
            <w:vMerge w:val="restart"/>
            <w:tcBorders>
              <w:top w:val="single" w:sz="4" w:space="0" w:color="000000"/>
              <w:left w:val="single" w:sz="4" w:space="0" w:color="000000"/>
              <w:bottom w:val="single" w:sz="4" w:space="0" w:color="000000"/>
              <w:right w:val="single" w:sz="4" w:space="0" w:color="000000"/>
            </w:tcBorders>
          </w:tcPr>
          <w:p>
            <w:pPr>
              <w:pStyle w:val="Normal"/>
              <w:keepLines/>
              <w:spacing w:lineRule="auto" w:line="240" w:before="0" w:after="0"/>
              <w:ind w:left="-102" w:right="-170" w:hanging="0"/>
              <w:jc w:val="center"/>
              <w:rPr>
                <w:iCs/>
                <w:color w:val="000000"/>
                <w:sz w:val="21"/>
                <w:szCs w:val="21"/>
              </w:rPr>
            </w:pPr>
            <w:r>
              <w:rPr>
                <w:iCs/>
                <w:color w:val="000000"/>
                <w:sz w:val="21"/>
                <w:szCs w:val="21"/>
              </w:rPr>
              <w:t>Автомобильная аккумуляторная батарея для автомобиля RENAULT DUSTER 2.0</w:t>
            </w:r>
          </w:p>
          <w:p>
            <w:pPr>
              <w:pStyle w:val="Normal"/>
              <w:keepLines/>
              <w:spacing w:lineRule="auto" w:line="240" w:before="0" w:after="0"/>
              <w:ind w:left="-102" w:right="-170" w:hanging="0"/>
              <w:jc w:val="center"/>
              <w:rPr>
                <w:bCs/>
                <w:iCs/>
                <w:color w:val="FF0000"/>
                <w:sz w:val="21"/>
                <w:szCs w:val="21"/>
                <w:u w:val="single"/>
              </w:rPr>
            </w:pPr>
            <w:r>
              <w:rPr>
                <w:bCs/>
                <w:iCs/>
                <w:color w:val="FF0000"/>
                <w:sz w:val="21"/>
                <w:szCs w:val="21"/>
                <w:u w:val="single"/>
              </w:rPr>
            </w:r>
          </w:p>
        </w:tc>
        <w:tc>
          <w:tcPr>
            <w:tcW w:w="1845" w:type="dxa"/>
            <w:tcBorders>
              <w:top w:val="single" w:sz="4" w:space="0" w:color="000000"/>
              <w:left w:val="single" w:sz="4" w:space="0" w:color="000000"/>
              <w:bottom w:val="single" w:sz="4" w:space="0" w:color="000000"/>
              <w:right w:val="single" w:sz="4" w:space="0" w:color="000000"/>
            </w:tcBorders>
            <w:vAlign w:val="center"/>
          </w:tcPr>
          <w:p>
            <w:pPr>
              <w:pStyle w:val="Normal"/>
              <w:keepLines/>
              <w:spacing w:lineRule="auto" w:line="240" w:before="0" w:after="0"/>
              <w:ind w:left="-44" w:hanging="0"/>
              <w:rPr>
                <w:bCs/>
                <w:sz w:val="21"/>
                <w:szCs w:val="21"/>
              </w:rPr>
            </w:pPr>
            <w:r>
              <w:rPr>
                <w:sz w:val="21"/>
                <w:szCs w:val="21"/>
                <w:shd w:fill="FFFFFF" w:val="clear"/>
              </w:rPr>
              <w:t>Полярность</w:t>
            </w:r>
          </w:p>
        </w:tc>
        <w:tc>
          <w:tcPr>
            <w:tcW w:w="1843" w:type="dxa"/>
            <w:tcBorders>
              <w:top w:val="single" w:sz="4" w:space="0" w:color="000000"/>
              <w:left w:val="single" w:sz="4" w:space="0" w:color="000000"/>
              <w:bottom w:val="single" w:sz="4" w:space="0" w:color="000000"/>
              <w:right w:val="single" w:sz="4" w:space="0" w:color="000000"/>
            </w:tcBorders>
            <w:vAlign w:val="center"/>
          </w:tcPr>
          <w:p>
            <w:pPr>
              <w:pStyle w:val="Normal"/>
              <w:keepLines/>
              <w:spacing w:lineRule="auto" w:line="240" w:before="0" w:after="0"/>
              <w:ind w:left="-74" w:hanging="0"/>
              <w:jc w:val="center"/>
              <w:rPr>
                <w:bCs/>
                <w:sz w:val="21"/>
                <w:szCs w:val="21"/>
              </w:rPr>
            </w:pPr>
            <w:r>
              <w:rPr>
                <w:bCs/>
                <w:sz w:val="21"/>
                <w:szCs w:val="21"/>
              </w:rPr>
              <w:t>обратная</w:t>
            </w:r>
          </w:p>
        </w:tc>
        <w:tc>
          <w:tcPr>
            <w:tcW w:w="1699" w:type="dxa"/>
            <w:tcBorders>
              <w:top w:val="single" w:sz="4" w:space="0" w:color="000000"/>
              <w:left w:val="single" w:sz="4" w:space="0" w:color="000000"/>
              <w:bottom w:val="single" w:sz="4" w:space="0" w:color="000000"/>
              <w:right w:val="single" w:sz="4" w:space="0" w:color="000000"/>
            </w:tcBorders>
            <w:vAlign w:val="center"/>
          </w:tcPr>
          <w:p>
            <w:pPr>
              <w:pStyle w:val="Normal"/>
              <w:keepLines/>
              <w:snapToGrid w:val="false"/>
              <w:spacing w:lineRule="auto" w:line="240" w:before="0" w:after="0"/>
              <w:ind w:left="-74" w:hanging="0"/>
              <w:rPr>
                <w:bCs/>
                <w:sz w:val="21"/>
                <w:szCs w:val="21"/>
              </w:rPr>
            </w:pPr>
            <w:r>
              <w:rPr>
                <w:bCs/>
                <w:sz w:val="21"/>
                <w:szCs w:val="21"/>
              </w:rPr>
            </w:r>
          </w:p>
        </w:tc>
        <w:tc>
          <w:tcPr>
            <w:tcW w:w="706" w:type="dxa"/>
            <w:vMerge w:val="restart"/>
            <w:tcBorders>
              <w:top w:val="single" w:sz="4" w:space="0" w:color="000000"/>
              <w:left w:val="single" w:sz="4" w:space="0" w:color="000000"/>
              <w:bottom w:val="single" w:sz="4" w:space="0" w:color="000000"/>
              <w:right w:val="single" w:sz="4" w:space="0" w:color="000000"/>
            </w:tcBorders>
          </w:tcPr>
          <w:p>
            <w:pPr>
              <w:pStyle w:val="Normal"/>
              <w:keepLines/>
              <w:spacing w:before="0" w:after="200"/>
              <w:ind w:left="-109" w:hanging="0"/>
              <w:jc w:val="center"/>
              <w:rPr>
                <w:bCs/>
                <w:sz w:val="21"/>
                <w:szCs w:val="21"/>
              </w:rPr>
            </w:pPr>
            <w:r>
              <w:rPr>
                <w:bCs/>
                <w:sz w:val="21"/>
                <w:szCs w:val="21"/>
              </w:rPr>
              <w:t>шт</w:t>
            </w:r>
          </w:p>
        </w:tc>
        <w:tc>
          <w:tcPr>
            <w:tcW w:w="709" w:type="dxa"/>
            <w:vMerge w:val="restart"/>
            <w:tcBorders>
              <w:top w:val="single" w:sz="4" w:space="0" w:color="000000"/>
              <w:left w:val="single" w:sz="4" w:space="0" w:color="000000"/>
              <w:bottom w:val="single" w:sz="4" w:space="0" w:color="000000"/>
              <w:right w:val="single" w:sz="4" w:space="0" w:color="000000"/>
            </w:tcBorders>
          </w:tcPr>
          <w:p>
            <w:pPr>
              <w:pStyle w:val="Normal"/>
              <w:keepLines/>
              <w:spacing w:before="0" w:after="200"/>
              <w:ind w:left="-108" w:hanging="0"/>
              <w:jc w:val="center"/>
              <w:rPr>
                <w:bCs/>
                <w:sz w:val="21"/>
                <w:szCs w:val="21"/>
              </w:rPr>
            </w:pPr>
            <w:r>
              <w:rPr>
                <w:bCs/>
                <w:sz w:val="21"/>
                <w:szCs w:val="21"/>
              </w:rPr>
              <w:t>1</w:t>
            </w:r>
          </w:p>
        </w:tc>
        <w:tc>
          <w:tcPr>
            <w:tcW w:w="1417" w:type="dxa"/>
            <w:vMerge w:val="restart"/>
            <w:tcBorders>
              <w:top w:val="single" w:sz="4" w:space="0" w:color="000000"/>
              <w:left w:val="single" w:sz="4" w:space="0" w:color="000000"/>
              <w:bottom w:val="single" w:sz="4" w:space="0" w:color="000000"/>
              <w:right w:val="single" w:sz="4" w:space="0" w:color="000000"/>
            </w:tcBorders>
          </w:tcPr>
          <w:p>
            <w:pPr>
              <w:pStyle w:val="Normal"/>
              <w:keepLines/>
              <w:snapToGrid w:val="false"/>
              <w:spacing w:before="0" w:after="200"/>
              <w:ind w:left="0" w:hanging="0"/>
              <w:jc w:val="center"/>
              <w:rPr>
                <w:bCs/>
                <w:sz w:val="21"/>
                <w:szCs w:val="21"/>
              </w:rPr>
            </w:pPr>
            <w:r>
              <w:rPr>
                <w:bCs/>
                <w:sz w:val="21"/>
                <w:szCs w:val="21"/>
              </w:rPr>
            </w:r>
          </w:p>
        </w:tc>
        <w:tc>
          <w:tcPr>
            <w:tcW w:w="1134" w:type="dxa"/>
            <w:vMerge w:val="restart"/>
            <w:tcBorders>
              <w:top w:val="single" w:sz="4" w:space="0" w:color="000000"/>
              <w:left w:val="single" w:sz="4" w:space="0" w:color="000000"/>
              <w:bottom w:val="single" w:sz="4" w:space="0" w:color="000000"/>
              <w:right w:val="single" w:sz="4" w:space="0" w:color="000000"/>
            </w:tcBorders>
          </w:tcPr>
          <w:p>
            <w:pPr>
              <w:pStyle w:val="Normal"/>
              <w:keepLines/>
              <w:snapToGrid w:val="false"/>
              <w:spacing w:before="0" w:after="200"/>
              <w:ind w:left="0" w:hanging="0"/>
              <w:jc w:val="center"/>
              <w:rPr>
                <w:bCs/>
                <w:sz w:val="21"/>
                <w:szCs w:val="21"/>
              </w:rPr>
            </w:pPr>
            <w:r>
              <w:rPr>
                <w:bCs/>
                <w:sz w:val="21"/>
                <w:szCs w:val="21"/>
              </w:rPr>
            </w:r>
          </w:p>
        </w:tc>
      </w:tr>
      <w:tr>
        <w:trPr>
          <w:trHeight w:val="407" w:hRule="atLeast"/>
        </w:trPr>
        <w:tc>
          <w:tcPr>
            <w:tcW w:w="534" w:type="dxa"/>
            <w:vMerge w:val="continue"/>
            <w:tcBorders>
              <w:top w:val="single" w:sz="4" w:space="0" w:color="000000"/>
              <w:left w:val="single" w:sz="4" w:space="0" w:color="000000"/>
              <w:bottom w:val="single" w:sz="4" w:space="0" w:color="000000"/>
              <w:right w:val="single" w:sz="4" w:space="0" w:color="000000"/>
            </w:tcBorders>
          </w:tcPr>
          <w:p>
            <w:pPr>
              <w:pStyle w:val="Normal"/>
              <w:keepLines/>
              <w:snapToGrid w:val="false"/>
              <w:spacing w:lineRule="auto" w:line="240" w:before="0" w:after="0"/>
              <w:jc w:val="center"/>
              <w:rPr>
                <w:bCs/>
                <w:sz w:val="21"/>
                <w:szCs w:val="21"/>
              </w:rPr>
            </w:pPr>
            <w:r>
              <w:rPr>
                <w:bCs/>
                <w:sz w:val="21"/>
                <w:szCs w:val="21"/>
              </w:rPr>
            </w:r>
          </w:p>
        </w:tc>
        <w:tc>
          <w:tcPr>
            <w:tcW w:w="1417" w:type="dxa"/>
            <w:vMerge w:val="continue"/>
            <w:tcBorders>
              <w:top w:val="single" w:sz="4" w:space="0" w:color="000000"/>
              <w:left w:val="single" w:sz="4" w:space="0" w:color="000000"/>
              <w:bottom w:val="single" w:sz="4" w:space="0" w:color="000000"/>
              <w:right w:val="single" w:sz="4" w:space="0" w:color="000000"/>
            </w:tcBorders>
          </w:tcPr>
          <w:p>
            <w:pPr>
              <w:pStyle w:val="Normal"/>
              <w:keepLines/>
              <w:snapToGrid w:val="false"/>
              <w:spacing w:lineRule="auto" w:line="240" w:before="0" w:after="0"/>
              <w:ind w:left="-102" w:right="-170" w:hanging="0"/>
              <w:jc w:val="center"/>
              <w:rPr>
                <w:bCs/>
                <w:sz w:val="21"/>
                <w:szCs w:val="21"/>
              </w:rPr>
            </w:pPr>
            <w:r>
              <w:rPr>
                <w:bCs/>
                <w:sz w:val="21"/>
                <w:szCs w:val="21"/>
              </w:rPr>
            </w:r>
          </w:p>
        </w:tc>
        <w:tc>
          <w:tcPr>
            <w:tcW w:w="1558" w:type="dxa"/>
            <w:vMerge w:val="continue"/>
            <w:tcBorders>
              <w:top w:val="single" w:sz="4" w:space="0" w:color="000000"/>
              <w:left w:val="single" w:sz="4" w:space="0" w:color="000000"/>
              <w:bottom w:val="single" w:sz="4" w:space="0" w:color="000000"/>
              <w:right w:val="single" w:sz="4" w:space="0" w:color="000000"/>
            </w:tcBorders>
          </w:tcPr>
          <w:p>
            <w:pPr>
              <w:pStyle w:val="Normal"/>
              <w:keepLines/>
              <w:snapToGrid w:val="false"/>
              <w:spacing w:lineRule="auto" w:line="240" w:before="0" w:after="0"/>
              <w:ind w:left="-102" w:right="-170" w:hanging="0"/>
              <w:rPr>
                <w:bCs/>
                <w:sz w:val="21"/>
                <w:szCs w:val="21"/>
              </w:rPr>
            </w:pPr>
            <w:r>
              <w:rPr>
                <w:bCs/>
                <w:sz w:val="21"/>
                <w:szCs w:val="21"/>
              </w:rPr>
            </w:r>
          </w:p>
        </w:tc>
        <w:tc>
          <w:tcPr>
            <w:tcW w:w="1844" w:type="dxa"/>
            <w:vMerge w:val="continue"/>
            <w:tcBorders>
              <w:top w:val="single" w:sz="4" w:space="0" w:color="000000"/>
              <w:left w:val="single" w:sz="4" w:space="0" w:color="000000"/>
              <w:bottom w:val="single" w:sz="4" w:space="0" w:color="000000"/>
              <w:right w:val="single" w:sz="4" w:space="0" w:color="000000"/>
            </w:tcBorders>
          </w:tcPr>
          <w:p>
            <w:pPr>
              <w:pStyle w:val="Normal"/>
              <w:keepLines/>
              <w:snapToGrid w:val="false"/>
              <w:spacing w:lineRule="auto" w:line="240" w:before="0" w:after="0"/>
              <w:ind w:left="-102" w:right="-170" w:hanging="0"/>
              <w:rPr>
                <w:bCs/>
                <w:sz w:val="21"/>
                <w:szCs w:val="21"/>
              </w:rPr>
            </w:pPr>
            <w:r>
              <w:rPr>
                <w:bCs/>
                <w:sz w:val="21"/>
                <w:szCs w:val="21"/>
              </w:rPr>
            </w:r>
          </w:p>
        </w:tc>
        <w:tc>
          <w:tcPr>
            <w:tcW w:w="1845" w:type="dxa"/>
            <w:tcBorders>
              <w:top w:val="single" w:sz="4" w:space="0" w:color="000000"/>
              <w:left w:val="single" w:sz="4" w:space="0" w:color="000000"/>
              <w:bottom w:val="single" w:sz="4" w:space="0" w:color="000000"/>
              <w:right w:val="single" w:sz="4" w:space="0" w:color="000000"/>
            </w:tcBorders>
            <w:vAlign w:val="center"/>
          </w:tcPr>
          <w:p>
            <w:pPr>
              <w:pStyle w:val="Normal"/>
              <w:keepLines/>
              <w:spacing w:lineRule="auto" w:line="240" w:before="0" w:after="0"/>
              <w:ind w:left="-44" w:hanging="0"/>
              <w:rPr>
                <w:bCs/>
                <w:sz w:val="21"/>
                <w:szCs w:val="21"/>
              </w:rPr>
            </w:pPr>
            <w:r>
              <w:rPr>
                <w:sz w:val="21"/>
                <w:szCs w:val="21"/>
                <w:shd w:fill="FFFFFF" w:val="clear"/>
              </w:rPr>
              <w:t>Емкость</w:t>
            </w:r>
          </w:p>
        </w:tc>
        <w:tc>
          <w:tcPr>
            <w:tcW w:w="1843" w:type="dxa"/>
            <w:tcBorders>
              <w:top w:val="single" w:sz="4" w:space="0" w:color="000000"/>
              <w:left w:val="single" w:sz="4" w:space="0" w:color="000000"/>
              <w:bottom w:val="single" w:sz="4" w:space="0" w:color="000000"/>
              <w:right w:val="single" w:sz="4" w:space="0" w:color="000000"/>
            </w:tcBorders>
            <w:vAlign w:val="center"/>
          </w:tcPr>
          <w:p>
            <w:pPr>
              <w:pStyle w:val="Normal"/>
              <w:keepLines/>
              <w:spacing w:lineRule="auto" w:line="240" w:before="0" w:after="0"/>
              <w:ind w:left="-74" w:hanging="0"/>
              <w:jc w:val="center"/>
              <w:rPr>
                <w:bCs/>
                <w:sz w:val="21"/>
                <w:szCs w:val="21"/>
              </w:rPr>
            </w:pPr>
            <w:r>
              <w:rPr>
                <w:bCs/>
                <w:sz w:val="21"/>
                <w:szCs w:val="21"/>
              </w:rPr>
              <w:t xml:space="preserve">≥ </w:t>
            </w:r>
            <w:r>
              <w:rPr>
                <w:bCs/>
                <w:sz w:val="21"/>
                <w:szCs w:val="21"/>
              </w:rPr>
              <w:t>70  </w:t>
            </w:r>
          </w:p>
        </w:tc>
        <w:tc>
          <w:tcPr>
            <w:tcW w:w="1699" w:type="dxa"/>
            <w:tcBorders>
              <w:top w:val="single" w:sz="4" w:space="0" w:color="000000"/>
              <w:left w:val="single" w:sz="4" w:space="0" w:color="000000"/>
              <w:bottom w:val="single" w:sz="4" w:space="0" w:color="000000"/>
              <w:right w:val="single" w:sz="4" w:space="0" w:color="000000"/>
            </w:tcBorders>
          </w:tcPr>
          <w:p>
            <w:pPr>
              <w:pStyle w:val="Normal"/>
              <w:keepLines/>
              <w:spacing w:lineRule="auto" w:line="240" w:before="0" w:after="0"/>
              <w:ind w:left="-74" w:hanging="0"/>
              <w:jc w:val="center"/>
              <w:rPr>
                <w:sz w:val="21"/>
                <w:szCs w:val="21"/>
              </w:rPr>
            </w:pPr>
            <w:r>
              <w:rPr>
                <w:sz w:val="21"/>
                <w:szCs w:val="21"/>
                <w:shd w:fill="FFFFFF" w:val="clear"/>
              </w:rPr>
              <w:t>А/ч</w:t>
            </w:r>
          </w:p>
        </w:tc>
        <w:tc>
          <w:tcPr>
            <w:tcW w:w="706" w:type="dxa"/>
            <w:vMerge w:val="continue"/>
            <w:tcBorders>
              <w:top w:val="single" w:sz="4" w:space="0" w:color="000000"/>
              <w:left w:val="single" w:sz="4" w:space="0" w:color="000000"/>
              <w:bottom w:val="single" w:sz="4" w:space="0" w:color="000000"/>
              <w:right w:val="single" w:sz="4" w:space="0" w:color="000000"/>
            </w:tcBorders>
          </w:tcPr>
          <w:p>
            <w:pPr>
              <w:pStyle w:val="Normal"/>
              <w:keepLines/>
              <w:snapToGrid w:val="false"/>
              <w:spacing w:before="0" w:after="200"/>
              <w:jc w:val="center"/>
              <w:rPr>
                <w:bCs/>
                <w:sz w:val="21"/>
                <w:szCs w:val="21"/>
              </w:rPr>
            </w:pPr>
            <w:r>
              <w:rPr>
                <w:bCs/>
                <w:sz w:val="21"/>
                <w:szCs w:val="21"/>
              </w:rPr>
            </w:r>
          </w:p>
        </w:tc>
        <w:tc>
          <w:tcPr>
            <w:tcW w:w="709" w:type="dxa"/>
            <w:vMerge w:val="continue"/>
            <w:tcBorders>
              <w:top w:val="single" w:sz="4" w:space="0" w:color="000000"/>
              <w:left w:val="single" w:sz="4" w:space="0" w:color="000000"/>
              <w:bottom w:val="single" w:sz="4" w:space="0" w:color="000000"/>
              <w:right w:val="single" w:sz="4" w:space="0" w:color="000000"/>
            </w:tcBorders>
          </w:tcPr>
          <w:p>
            <w:pPr>
              <w:pStyle w:val="Normal"/>
              <w:keepLines/>
              <w:snapToGrid w:val="false"/>
              <w:spacing w:before="0" w:after="200"/>
              <w:jc w:val="center"/>
              <w:rPr>
                <w:bCs/>
                <w:sz w:val="21"/>
                <w:szCs w:val="21"/>
              </w:rPr>
            </w:pPr>
            <w:r>
              <w:rPr>
                <w:bCs/>
                <w:sz w:val="21"/>
                <w:szCs w:val="21"/>
              </w:rPr>
            </w:r>
          </w:p>
        </w:tc>
        <w:tc>
          <w:tcPr>
            <w:tcW w:w="1417" w:type="dxa"/>
            <w:vMerge w:val="continue"/>
            <w:tcBorders>
              <w:top w:val="single" w:sz="4" w:space="0" w:color="000000"/>
              <w:left w:val="single" w:sz="4" w:space="0" w:color="000000"/>
              <w:bottom w:val="single" w:sz="4" w:space="0" w:color="000000"/>
              <w:right w:val="single" w:sz="4" w:space="0" w:color="000000"/>
            </w:tcBorders>
          </w:tcPr>
          <w:p>
            <w:pPr>
              <w:pStyle w:val="Normal"/>
              <w:keepLines/>
              <w:snapToGrid w:val="false"/>
              <w:spacing w:before="0" w:after="200"/>
              <w:jc w:val="center"/>
              <w:rPr>
                <w:bCs/>
                <w:sz w:val="21"/>
                <w:szCs w:val="21"/>
              </w:rPr>
            </w:pPr>
            <w:r>
              <w:rPr>
                <w:bCs/>
                <w:sz w:val="21"/>
                <w:szCs w:val="21"/>
              </w:rPr>
            </w:r>
          </w:p>
        </w:tc>
        <w:tc>
          <w:tcPr>
            <w:tcW w:w="1134" w:type="dxa"/>
            <w:vMerge w:val="continue"/>
            <w:tcBorders>
              <w:top w:val="single" w:sz="4" w:space="0" w:color="000000"/>
              <w:left w:val="single" w:sz="4" w:space="0" w:color="000000"/>
              <w:bottom w:val="single" w:sz="4" w:space="0" w:color="000000"/>
              <w:right w:val="single" w:sz="4" w:space="0" w:color="000000"/>
            </w:tcBorders>
          </w:tcPr>
          <w:p>
            <w:pPr>
              <w:pStyle w:val="Normal"/>
              <w:keepLines/>
              <w:snapToGrid w:val="false"/>
              <w:spacing w:before="0" w:after="200"/>
              <w:jc w:val="center"/>
              <w:rPr>
                <w:bCs/>
                <w:sz w:val="21"/>
                <w:szCs w:val="21"/>
              </w:rPr>
            </w:pPr>
            <w:r>
              <w:rPr>
                <w:bCs/>
                <w:sz w:val="21"/>
                <w:szCs w:val="21"/>
              </w:rPr>
            </w:r>
          </w:p>
        </w:tc>
      </w:tr>
      <w:tr>
        <w:trPr>
          <w:trHeight w:val="475" w:hRule="atLeast"/>
        </w:trPr>
        <w:tc>
          <w:tcPr>
            <w:tcW w:w="534" w:type="dxa"/>
            <w:vMerge w:val="continue"/>
            <w:tcBorders>
              <w:top w:val="single" w:sz="4" w:space="0" w:color="000000"/>
              <w:left w:val="single" w:sz="4" w:space="0" w:color="000000"/>
              <w:bottom w:val="single" w:sz="4" w:space="0" w:color="000000"/>
              <w:right w:val="single" w:sz="4" w:space="0" w:color="000000"/>
            </w:tcBorders>
          </w:tcPr>
          <w:p>
            <w:pPr>
              <w:pStyle w:val="Normal"/>
              <w:keepLines/>
              <w:snapToGrid w:val="false"/>
              <w:spacing w:lineRule="auto" w:line="240" w:before="0" w:after="0"/>
              <w:jc w:val="center"/>
              <w:rPr>
                <w:bCs/>
                <w:sz w:val="21"/>
                <w:szCs w:val="21"/>
              </w:rPr>
            </w:pPr>
            <w:r>
              <w:rPr>
                <w:bCs/>
                <w:sz w:val="21"/>
                <w:szCs w:val="21"/>
              </w:rPr>
            </w:r>
          </w:p>
        </w:tc>
        <w:tc>
          <w:tcPr>
            <w:tcW w:w="1417" w:type="dxa"/>
            <w:vMerge w:val="continue"/>
            <w:tcBorders>
              <w:top w:val="single" w:sz="4" w:space="0" w:color="000000"/>
              <w:left w:val="single" w:sz="4" w:space="0" w:color="000000"/>
              <w:bottom w:val="single" w:sz="4" w:space="0" w:color="000000"/>
              <w:right w:val="single" w:sz="4" w:space="0" w:color="000000"/>
            </w:tcBorders>
          </w:tcPr>
          <w:p>
            <w:pPr>
              <w:pStyle w:val="Normal"/>
              <w:keepLines/>
              <w:snapToGrid w:val="false"/>
              <w:spacing w:lineRule="auto" w:line="240" w:before="0" w:after="0"/>
              <w:ind w:left="-102" w:right="-170" w:hanging="0"/>
              <w:jc w:val="center"/>
              <w:rPr>
                <w:bCs/>
                <w:sz w:val="21"/>
                <w:szCs w:val="21"/>
              </w:rPr>
            </w:pPr>
            <w:r>
              <w:rPr>
                <w:bCs/>
                <w:sz w:val="21"/>
                <w:szCs w:val="21"/>
              </w:rPr>
            </w:r>
          </w:p>
        </w:tc>
        <w:tc>
          <w:tcPr>
            <w:tcW w:w="1558" w:type="dxa"/>
            <w:vMerge w:val="continue"/>
            <w:tcBorders>
              <w:top w:val="single" w:sz="4" w:space="0" w:color="000000"/>
              <w:left w:val="single" w:sz="4" w:space="0" w:color="000000"/>
              <w:bottom w:val="single" w:sz="4" w:space="0" w:color="000000"/>
              <w:right w:val="single" w:sz="4" w:space="0" w:color="000000"/>
            </w:tcBorders>
          </w:tcPr>
          <w:p>
            <w:pPr>
              <w:pStyle w:val="Normal"/>
              <w:keepLines/>
              <w:snapToGrid w:val="false"/>
              <w:spacing w:lineRule="auto" w:line="240" w:before="0" w:after="0"/>
              <w:ind w:left="-102" w:right="-170" w:hanging="0"/>
              <w:rPr>
                <w:bCs/>
                <w:sz w:val="21"/>
                <w:szCs w:val="21"/>
              </w:rPr>
            </w:pPr>
            <w:r>
              <w:rPr>
                <w:bCs/>
                <w:sz w:val="21"/>
                <w:szCs w:val="21"/>
              </w:rPr>
            </w:r>
          </w:p>
        </w:tc>
        <w:tc>
          <w:tcPr>
            <w:tcW w:w="1844" w:type="dxa"/>
            <w:vMerge w:val="continue"/>
            <w:tcBorders>
              <w:top w:val="single" w:sz="4" w:space="0" w:color="000000"/>
              <w:left w:val="single" w:sz="4" w:space="0" w:color="000000"/>
              <w:bottom w:val="single" w:sz="4" w:space="0" w:color="000000"/>
              <w:right w:val="single" w:sz="4" w:space="0" w:color="000000"/>
            </w:tcBorders>
          </w:tcPr>
          <w:p>
            <w:pPr>
              <w:pStyle w:val="Normal"/>
              <w:keepLines/>
              <w:snapToGrid w:val="false"/>
              <w:spacing w:lineRule="auto" w:line="240" w:before="0" w:after="0"/>
              <w:ind w:left="-102" w:right="-170" w:hanging="0"/>
              <w:rPr>
                <w:bCs/>
                <w:sz w:val="21"/>
                <w:szCs w:val="21"/>
              </w:rPr>
            </w:pPr>
            <w:r>
              <w:rPr>
                <w:bCs/>
                <w:sz w:val="21"/>
                <w:szCs w:val="21"/>
              </w:rPr>
            </w:r>
          </w:p>
        </w:tc>
        <w:tc>
          <w:tcPr>
            <w:tcW w:w="1845" w:type="dxa"/>
            <w:tcBorders>
              <w:top w:val="single" w:sz="4" w:space="0" w:color="000000"/>
              <w:left w:val="single" w:sz="4" w:space="0" w:color="000000"/>
              <w:bottom w:val="single" w:sz="4" w:space="0" w:color="000000"/>
              <w:right w:val="single" w:sz="4" w:space="0" w:color="000000"/>
            </w:tcBorders>
            <w:vAlign w:val="center"/>
          </w:tcPr>
          <w:p>
            <w:pPr>
              <w:pStyle w:val="Normal"/>
              <w:keepLines/>
              <w:spacing w:lineRule="auto" w:line="240" w:before="0" w:after="0"/>
              <w:ind w:left="-44" w:hanging="0"/>
              <w:rPr>
                <w:bCs/>
                <w:sz w:val="21"/>
                <w:szCs w:val="21"/>
              </w:rPr>
            </w:pPr>
            <w:r>
              <w:rPr>
                <w:sz w:val="21"/>
                <w:szCs w:val="21"/>
                <w:shd w:fill="FFFFFF" w:val="clear"/>
              </w:rPr>
              <w:t>Пусковой ток</w:t>
            </w:r>
          </w:p>
        </w:tc>
        <w:tc>
          <w:tcPr>
            <w:tcW w:w="1843" w:type="dxa"/>
            <w:tcBorders>
              <w:top w:val="single" w:sz="4" w:space="0" w:color="000000"/>
              <w:left w:val="single" w:sz="4" w:space="0" w:color="000000"/>
              <w:bottom w:val="single" w:sz="4" w:space="0" w:color="000000"/>
              <w:right w:val="single" w:sz="4" w:space="0" w:color="000000"/>
            </w:tcBorders>
            <w:vAlign w:val="center"/>
          </w:tcPr>
          <w:p>
            <w:pPr>
              <w:pStyle w:val="Normal"/>
              <w:keepLines/>
              <w:spacing w:lineRule="auto" w:line="240" w:before="0" w:after="0"/>
              <w:ind w:left="-74" w:hanging="0"/>
              <w:jc w:val="center"/>
              <w:rPr>
                <w:bCs/>
                <w:sz w:val="21"/>
                <w:szCs w:val="21"/>
              </w:rPr>
            </w:pPr>
            <w:r>
              <w:rPr>
                <w:bCs/>
                <w:sz w:val="21"/>
                <w:szCs w:val="21"/>
              </w:rPr>
              <w:t xml:space="preserve">≥ </w:t>
            </w:r>
            <w:r>
              <w:rPr>
                <w:bCs/>
                <w:sz w:val="21"/>
                <w:szCs w:val="21"/>
              </w:rPr>
              <w:t>720  </w:t>
            </w:r>
          </w:p>
        </w:tc>
        <w:tc>
          <w:tcPr>
            <w:tcW w:w="1699" w:type="dxa"/>
            <w:tcBorders>
              <w:top w:val="single" w:sz="4" w:space="0" w:color="000000"/>
              <w:left w:val="single" w:sz="4" w:space="0" w:color="000000"/>
              <w:bottom w:val="single" w:sz="4" w:space="0" w:color="000000"/>
              <w:right w:val="single" w:sz="4" w:space="0" w:color="000000"/>
            </w:tcBorders>
          </w:tcPr>
          <w:p>
            <w:pPr>
              <w:pStyle w:val="Normal"/>
              <w:keepLines/>
              <w:spacing w:lineRule="auto" w:line="240" w:before="0" w:after="0"/>
              <w:ind w:left="-74" w:hanging="0"/>
              <w:jc w:val="center"/>
              <w:rPr>
                <w:sz w:val="21"/>
                <w:szCs w:val="21"/>
              </w:rPr>
            </w:pPr>
            <w:r>
              <w:rPr>
                <w:sz w:val="21"/>
                <w:szCs w:val="21"/>
                <w:shd w:fill="FFFFFF" w:val="clear"/>
              </w:rPr>
              <w:t>А</w:t>
            </w:r>
          </w:p>
        </w:tc>
        <w:tc>
          <w:tcPr>
            <w:tcW w:w="706" w:type="dxa"/>
            <w:vMerge w:val="continue"/>
            <w:tcBorders>
              <w:top w:val="single" w:sz="4" w:space="0" w:color="000000"/>
              <w:left w:val="single" w:sz="4" w:space="0" w:color="000000"/>
              <w:bottom w:val="single" w:sz="4" w:space="0" w:color="000000"/>
              <w:right w:val="single" w:sz="4" w:space="0" w:color="000000"/>
            </w:tcBorders>
          </w:tcPr>
          <w:p>
            <w:pPr>
              <w:pStyle w:val="Normal"/>
              <w:keepLines/>
              <w:snapToGrid w:val="false"/>
              <w:spacing w:before="0" w:after="200"/>
              <w:jc w:val="center"/>
              <w:rPr>
                <w:bCs/>
                <w:sz w:val="21"/>
                <w:szCs w:val="21"/>
              </w:rPr>
            </w:pPr>
            <w:r>
              <w:rPr>
                <w:bCs/>
                <w:sz w:val="21"/>
                <w:szCs w:val="21"/>
              </w:rPr>
            </w:r>
          </w:p>
        </w:tc>
        <w:tc>
          <w:tcPr>
            <w:tcW w:w="709" w:type="dxa"/>
            <w:vMerge w:val="continue"/>
            <w:tcBorders>
              <w:top w:val="single" w:sz="4" w:space="0" w:color="000000"/>
              <w:left w:val="single" w:sz="4" w:space="0" w:color="000000"/>
              <w:bottom w:val="single" w:sz="4" w:space="0" w:color="000000"/>
              <w:right w:val="single" w:sz="4" w:space="0" w:color="000000"/>
            </w:tcBorders>
          </w:tcPr>
          <w:p>
            <w:pPr>
              <w:pStyle w:val="Normal"/>
              <w:keepLines/>
              <w:snapToGrid w:val="false"/>
              <w:spacing w:before="0" w:after="200"/>
              <w:jc w:val="center"/>
              <w:rPr>
                <w:bCs/>
                <w:sz w:val="21"/>
                <w:szCs w:val="21"/>
              </w:rPr>
            </w:pPr>
            <w:r>
              <w:rPr>
                <w:bCs/>
                <w:sz w:val="21"/>
                <w:szCs w:val="21"/>
              </w:rPr>
            </w:r>
          </w:p>
        </w:tc>
        <w:tc>
          <w:tcPr>
            <w:tcW w:w="1417" w:type="dxa"/>
            <w:vMerge w:val="continue"/>
            <w:tcBorders>
              <w:top w:val="single" w:sz="4" w:space="0" w:color="000000"/>
              <w:left w:val="single" w:sz="4" w:space="0" w:color="000000"/>
              <w:bottom w:val="single" w:sz="4" w:space="0" w:color="000000"/>
              <w:right w:val="single" w:sz="4" w:space="0" w:color="000000"/>
            </w:tcBorders>
          </w:tcPr>
          <w:p>
            <w:pPr>
              <w:pStyle w:val="Normal"/>
              <w:keepLines/>
              <w:snapToGrid w:val="false"/>
              <w:spacing w:before="0" w:after="200"/>
              <w:jc w:val="center"/>
              <w:rPr>
                <w:bCs/>
                <w:sz w:val="21"/>
                <w:szCs w:val="21"/>
              </w:rPr>
            </w:pPr>
            <w:r>
              <w:rPr>
                <w:bCs/>
                <w:sz w:val="21"/>
                <w:szCs w:val="21"/>
              </w:rPr>
            </w:r>
          </w:p>
        </w:tc>
        <w:tc>
          <w:tcPr>
            <w:tcW w:w="1134" w:type="dxa"/>
            <w:vMerge w:val="continue"/>
            <w:tcBorders>
              <w:top w:val="single" w:sz="4" w:space="0" w:color="000000"/>
              <w:left w:val="single" w:sz="4" w:space="0" w:color="000000"/>
              <w:bottom w:val="single" w:sz="4" w:space="0" w:color="000000"/>
              <w:right w:val="single" w:sz="4" w:space="0" w:color="000000"/>
            </w:tcBorders>
          </w:tcPr>
          <w:p>
            <w:pPr>
              <w:pStyle w:val="Normal"/>
              <w:keepLines/>
              <w:snapToGrid w:val="false"/>
              <w:spacing w:before="0" w:after="200"/>
              <w:jc w:val="center"/>
              <w:rPr>
                <w:bCs/>
                <w:sz w:val="21"/>
                <w:szCs w:val="21"/>
              </w:rPr>
            </w:pPr>
            <w:r>
              <w:rPr>
                <w:bCs/>
                <w:sz w:val="21"/>
                <w:szCs w:val="21"/>
              </w:rPr>
            </w:r>
          </w:p>
        </w:tc>
      </w:tr>
      <w:tr>
        <w:trPr>
          <w:trHeight w:val="345" w:hRule="atLeast"/>
        </w:trPr>
        <w:tc>
          <w:tcPr>
            <w:tcW w:w="534" w:type="dxa"/>
            <w:vMerge w:val="continue"/>
            <w:tcBorders>
              <w:top w:val="single" w:sz="4" w:space="0" w:color="000000"/>
              <w:left w:val="single" w:sz="4" w:space="0" w:color="000000"/>
              <w:bottom w:val="single" w:sz="4" w:space="0" w:color="000000"/>
              <w:right w:val="single" w:sz="4" w:space="0" w:color="000000"/>
            </w:tcBorders>
          </w:tcPr>
          <w:p>
            <w:pPr>
              <w:pStyle w:val="Normal"/>
              <w:keepLines/>
              <w:snapToGrid w:val="false"/>
              <w:spacing w:lineRule="auto" w:line="240" w:before="0" w:after="0"/>
              <w:jc w:val="center"/>
              <w:rPr>
                <w:bCs/>
                <w:sz w:val="21"/>
                <w:szCs w:val="21"/>
              </w:rPr>
            </w:pPr>
            <w:r>
              <w:rPr>
                <w:bCs/>
                <w:sz w:val="21"/>
                <w:szCs w:val="21"/>
              </w:rPr>
            </w:r>
          </w:p>
        </w:tc>
        <w:tc>
          <w:tcPr>
            <w:tcW w:w="1417" w:type="dxa"/>
            <w:vMerge w:val="continue"/>
            <w:tcBorders>
              <w:top w:val="single" w:sz="4" w:space="0" w:color="000000"/>
              <w:left w:val="single" w:sz="4" w:space="0" w:color="000000"/>
              <w:bottom w:val="single" w:sz="4" w:space="0" w:color="000000"/>
              <w:right w:val="single" w:sz="4" w:space="0" w:color="000000"/>
            </w:tcBorders>
          </w:tcPr>
          <w:p>
            <w:pPr>
              <w:pStyle w:val="Normal"/>
              <w:keepLines/>
              <w:snapToGrid w:val="false"/>
              <w:spacing w:lineRule="auto" w:line="240" w:before="0" w:after="0"/>
              <w:ind w:left="-102" w:right="-170" w:hanging="0"/>
              <w:jc w:val="center"/>
              <w:rPr>
                <w:bCs/>
                <w:sz w:val="21"/>
                <w:szCs w:val="21"/>
              </w:rPr>
            </w:pPr>
            <w:r>
              <w:rPr>
                <w:bCs/>
                <w:sz w:val="21"/>
                <w:szCs w:val="21"/>
              </w:rPr>
            </w:r>
          </w:p>
        </w:tc>
        <w:tc>
          <w:tcPr>
            <w:tcW w:w="1558" w:type="dxa"/>
            <w:vMerge w:val="continue"/>
            <w:tcBorders>
              <w:top w:val="single" w:sz="4" w:space="0" w:color="000000"/>
              <w:left w:val="single" w:sz="4" w:space="0" w:color="000000"/>
              <w:bottom w:val="single" w:sz="4" w:space="0" w:color="000000"/>
              <w:right w:val="single" w:sz="4" w:space="0" w:color="000000"/>
            </w:tcBorders>
          </w:tcPr>
          <w:p>
            <w:pPr>
              <w:pStyle w:val="Normal"/>
              <w:keepLines/>
              <w:snapToGrid w:val="false"/>
              <w:spacing w:lineRule="auto" w:line="240" w:before="0" w:after="0"/>
              <w:ind w:left="-102" w:right="-170" w:hanging="0"/>
              <w:rPr>
                <w:bCs/>
                <w:sz w:val="21"/>
                <w:szCs w:val="21"/>
              </w:rPr>
            </w:pPr>
            <w:r>
              <w:rPr>
                <w:bCs/>
                <w:sz w:val="21"/>
                <w:szCs w:val="21"/>
              </w:rPr>
            </w:r>
          </w:p>
        </w:tc>
        <w:tc>
          <w:tcPr>
            <w:tcW w:w="1844" w:type="dxa"/>
            <w:vMerge w:val="continue"/>
            <w:tcBorders>
              <w:top w:val="single" w:sz="4" w:space="0" w:color="000000"/>
              <w:left w:val="single" w:sz="4" w:space="0" w:color="000000"/>
              <w:bottom w:val="single" w:sz="4" w:space="0" w:color="000000"/>
              <w:right w:val="single" w:sz="4" w:space="0" w:color="000000"/>
            </w:tcBorders>
          </w:tcPr>
          <w:p>
            <w:pPr>
              <w:pStyle w:val="Normal"/>
              <w:keepLines/>
              <w:snapToGrid w:val="false"/>
              <w:spacing w:lineRule="auto" w:line="240" w:before="0" w:after="0"/>
              <w:ind w:left="-102" w:right="-170" w:hanging="0"/>
              <w:rPr>
                <w:bCs/>
                <w:sz w:val="21"/>
                <w:szCs w:val="21"/>
              </w:rPr>
            </w:pPr>
            <w:r>
              <w:rPr>
                <w:bCs/>
                <w:sz w:val="21"/>
                <w:szCs w:val="21"/>
              </w:rPr>
            </w:r>
          </w:p>
        </w:tc>
        <w:tc>
          <w:tcPr>
            <w:tcW w:w="1845" w:type="dxa"/>
            <w:tcBorders>
              <w:top w:val="single" w:sz="4" w:space="0" w:color="000000"/>
              <w:left w:val="single" w:sz="4" w:space="0" w:color="000000"/>
              <w:bottom w:val="single" w:sz="4" w:space="0" w:color="000000"/>
              <w:right w:val="single" w:sz="4" w:space="0" w:color="000000"/>
            </w:tcBorders>
            <w:vAlign w:val="center"/>
          </w:tcPr>
          <w:p>
            <w:pPr>
              <w:pStyle w:val="Normal"/>
              <w:keepLines/>
              <w:spacing w:lineRule="auto" w:line="240" w:before="0" w:after="0"/>
              <w:ind w:left="-44" w:hanging="0"/>
              <w:rPr>
                <w:bCs/>
                <w:sz w:val="21"/>
                <w:szCs w:val="21"/>
              </w:rPr>
            </w:pPr>
            <w:r>
              <w:rPr>
                <w:sz w:val="21"/>
                <w:szCs w:val="21"/>
                <w:shd w:fill="FFFFFF" w:val="clear"/>
              </w:rPr>
              <w:t>Напряжение</w:t>
            </w:r>
          </w:p>
        </w:tc>
        <w:tc>
          <w:tcPr>
            <w:tcW w:w="1843" w:type="dxa"/>
            <w:tcBorders>
              <w:top w:val="single" w:sz="4" w:space="0" w:color="000000"/>
              <w:left w:val="single" w:sz="4" w:space="0" w:color="000000"/>
              <w:bottom w:val="single" w:sz="4" w:space="0" w:color="000000"/>
              <w:right w:val="single" w:sz="4" w:space="0" w:color="000000"/>
            </w:tcBorders>
            <w:vAlign w:val="center"/>
          </w:tcPr>
          <w:p>
            <w:pPr>
              <w:pStyle w:val="Normal"/>
              <w:keepLines/>
              <w:spacing w:lineRule="auto" w:line="240" w:before="0" w:after="0"/>
              <w:ind w:left="-74" w:hanging="0"/>
              <w:jc w:val="center"/>
              <w:rPr>
                <w:bCs/>
                <w:sz w:val="21"/>
                <w:szCs w:val="21"/>
              </w:rPr>
            </w:pPr>
            <w:r>
              <w:rPr>
                <w:bCs/>
                <w:sz w:val="21"/>
                <w:szCs w:val="21"/>
              </w:rPr>
              <w:t>12</w:t>
            </w:r>
          </w:p>
        </w:tc>
        <w:tc>
          <w:tcPr>
            <w:tcW w:w="1699" w:type="dxa"/>
            <w:tcBorders>
              <w:top w:val="single" w:sz="4" w:space="0" w:color="000000"/>
              <w:left w:val="single" w:sz="4" w:space="0" w:color="000000"/>
              <w:bottom w:val="single" w:sz="4" w:space="0" w:color="000000"/>
              <w:right w:val="single" w:sz="4" w:space="0" w:color="000000"/>
            </w:tcBorders>
          </w:tcPr>
          <w:p>
            <w:pPr>
              <w:pStyle w:val="Normal"/>
              <w:keepLines/>
              <w:spacing w:lineRule="auto" w:line="240" w:before="0" w:after="0"/>
              <w:ind w:left="-74" w:hanging="0"/>
              <w:jc w:val="center"/>
              <w:rPr>
                <w:sz w:val="21"/>
                <w:szCs w:val="21"/>
              </w:rPr>
            </w:pPr>
            <w:r>
              <w:rPr>
                <w:bCs/>
                <w:sz w:val="21"/>
                <w:szCs w:val="21"/>
              </w:rPr>
              <w:t>В</w:t>
            </w:r>
          </w:p>
        </w:tc>
        <w:tc>
          <w:tcPr>
            <w:tcW w:w="706" w:type="dxa"/>
            <w:vMerge w:val="continue"/>
            <w:tcBorders>
              <w:top w:val="single" w:sz="4" w:space="0" w:color="000000"/>
              <w:left w:val="single" w:sz="4" w:space="0" w:color="000000"/>
              <w:bottom w:val="single" w:sz="4" w:space="0" w:color="000000"/>
              <w:right w:val="single" w:sz="4" w:space="0" w:color="000000"/>
            </w:tcBorders>
          </w:tcPr>
          <w:p>
            <w:pPr>
              <w:pStyle w:val="Normal"/>
              <w:keepLines/>
              <w:snapToGrid w:val="false"/>
              <w:spacing w:before="0" w:after="200"/>
              <w:jc w:val="center"/>
              <w:rPr>
                <w:bCs/>
                <w:sz w:val="21"/>
                <w:szCs w:val="21"/>
              </w:rPr>
            </w:pPr>
            <w:r>
              <w:rPr>
                <w:bCs/>
                <w:sz w:val="21"/>
                <w:szCs w:val="21"/>
              </w:rPr>
            </w:r>
          </w:p>
        </w:tc>
        <w:tc>
          <w:tcPr>
            <w:tcW w:w="709" w:type="dxa"/>
            <w:vMerge w:val="continue"/>
            <w:tcBorders>
              <w:top w:val="single" w:sz="4" w:space="0" w:color="000000"/>
              <w:left w:val="single" w:sz="4" w:space="0" w:color="000000"/>
              <w:bottom w:val="single" w:sz="4" w:space="0" w:color="000000"/>
              <w:right w:val="single" w:sz="4" w:space="0" w:color="000000"/>
            </w:tcBorders>
          </w:tcPr>
          <w:p>
            <w:pPr>
              <w:pStyle w:val="Normal"/>
              <w:keepLines/>
              <w:snapToGrid w:val="false"/>
              <w:spacing w:before="0" w:after="200"/>
              <w:jc w:val="center"/>
              <w:rPr>
                <w:bCs/>
                <w:sz w:val="21"/>
                <w:szCs w:val="21"/>
              </w:rPr>
            </w:pPr>
            <w:r>
              <w:rPr>
                <w:bCs/>
                <w:sz w:val="21"/>
                <w:szCs w:val="21"/>
              </w:rPr>
            </w:r>
          </w:p>
        </w:tc>
        <w:tc>
          <w:tcPr>
            <w:tcW w:w="1417" w:type="dxa"/>
            <w:vMerge w:val="continue"/>
            <w:tcBorders>
              <w:top w:val="single" w:sz="4" w:space="0" w:color="000000"/>
              <w:left w:val="single" w:sz="4" w:space="0" w:color="000000"/>
              <w:bottom w:val="single" w:sz="4" w:space="0" w:color="000000"/>
              <w:right w:val="single" w:sz="4" w:space="0" w:color="000000"/>
            </w:tcBorders>
          </w:tcPr>
          <w:p>
            <w:pPr>
              <w:pStyle w:val="Normal"/>
              <w:keepLines/>
              <w:snapToGrid w:val="false"/>
              <w:spacing w:before="0" w:after="200"/>
              <w:jc w:val="center"/>
              <w:rPr>
                <w:bCs/>
                <w:sz w:val="21"/>
                <w:szCs w:val="21"/>
              </w:rPr>
            </w:pPr>
            <w:r>
              <w:rPr>
                <w:bCs/>
                <w:sz w:val="21"/>
                <w:szCs w:val="21"/>
              </w:rPr>
            </w:r>
          </w:p>
        </w:tc>
        <w:tc>
          <w:tcPr>
            <w:tcW w:w="1134" w:type="dxa"/>
            <w:vMerge w:val="continue"/>
            <w:tcBorders>
              <w:top w:val="single" w:sz="4" w:space="0" w:color="000000"/>
              <w:left w:val="single" w:sz="4" w:space="0" w:color="000000"/>
              <w:bottom w:val="single" w:sz="4" w:space="0" w:color="000000"/>
              <w:right w:val="single" w:sz="4" w:space="0" w:color="000000"/>
            </w:tcBorders>
          </w:tcPr>
          <w:p>
            <w:pPr>
              <w:pStyle w:val="Normal"/>
              <w:keepLines/>
              <w:snapToGrid w:val="false"/>
              <w:spacing w:before="0" w:after="200"/>
              <w:jc w:val="center"/>
              <w:rPr>
                <w:bCs/>
                <w:sz w:val="21"/>
                <w:szCs w:val="21"/>
              </w:rPr>
            </w:pPr>
            <w:r>
              <w:rPr>
                <w:bCs/>
                <w:sz w:val="21"/>
                <w:szCs w:val="21"/>
              </w:rPr>
            </w:r>
          </w:p>
        </w:tc>
      </w:tr>
      <w:tr>
        <w:trPr>
          <w:trHeight w:val="342" w:hRule="atLeast"/>
        </w:trPr>
        <w:tc>
          <w:tcPr>
            <w:tcW w:w="534" w:type="dxa"/>
            <w:vMerge w:val="continue"/>
            <w:tcBorders>
              <w:top w:val="single" w:sz="4" w:space="0" w:color="000000"/>
              <w:left w:val="single" w:sz="4" w:space="0" w:color="000000"/>
              <w:bottom w:val="single" w:sz="4" w:space="0" w:color="000000"/>
              <w:right w:val="single" w:sz="4" w:space="0" w:color="000000"/>
            </w:tcBorders>
          </w:tcPr>
          <w:p>
            <w:pPr>
              <w:pStyle w:val="Normal"/>
              <w:keepLines/>
              <w:snapToGrid w:val="false"/>
              <w:spacing w:lineRule="auto" w:line="240" w:before="0" w:after="0"/>
              <w:jc w:val="center"/>
              <w:rPr>
                <w:bCs/>
                <w:sz w:val="21"/>
                <w:szCs w:val="21"/>
              </w:rPr>
            </w:pPr>
            <w:r>
              <w:rPr>
                <w:bCs/>
                <w:sz w:val="21"/>
                <w:szCs w:val="21"/>
              </w:rPr>
            </w:r>
          </w:p>
        </w:tc>
        <w:tc>
          <w:tcPr>
            <w:tcW w:w="1417" w:type="dxa"/>
            <w:vMerge w:val="continue"/>
            <w:tcBorders>
              <w:top w:val="single" w:sz="4" w:space="0" w:color="000000"/>
              <w:left w:val="single" w:sz="4" w:space="0" w:color="000000"/>
              <w:bottom w:val="single" w:sz="4" w:space="0" w:color="000000"/>
              <w:right w:val="single" w:sz="4" w:space="0" w:color="000000"/>
            </w:tcBorders>
          </w:tcPr>
          <w:p>
            <w:pPr>
              <w:pStyle w:val="Normal"/>
              <w:keepLines/>
              <w:snapToGrid w:val="false"/>
              <w:spacing w:lineRule="auto" w:line="240" w:before="0" w:after="0"/>
              <w:ind w:left="-102" w:right="-170" w:hanging="0"/>
              <w:jc w:val="center"/>
              <w:rPr>
                <w:bCs/>
                <w:sz w:val="21"/>
                <w:szCs w:val="21"/>
              </w:rPr>
            </w:pPr>
            <w:r>
              <w:rPr>
                <w:bCs/>
                <w:sz w:val="21"/>
                <w:szCs w:val="21"/>
              </w:rPr>
            </w:r>
          </w:p>
        </w:tc>
        <w:tc>
          <w:tcPr>
            <w:tcW w:w="1558" w:type="dxa"/>
            <w:vMerge w:val="continue"/>
            <w:tcBorders>
              <w:top w:val="single" w:sz="4" w:space="0" w:color="000000"/>
              <w:left w:val="single" w:sz="4" w:space="0" w:color="000000"/>
              <w:bottom w:val="single" w:sz="4" w:space="0" w:color="000000"/>
              <w:right w:val="single" w:sz="4" w:space="0" w:color="000000"/>
            </w:tcBorders>
          </w:tcPr>
          <w:p>
            <w:pPr>
              <w:pStyle w:val="Normal"/>
              <w:keepLines/>
              <w:snapToGrid w:val="false"/>
              <w:spacing w:lineRule="auto" w:line="240" w:before="0" w:after="0"/>
              <w:ind w:left="-102" w:right="-170" w:hanging="0"/>
              <w:rPr>
                <w:bCs/>
                <w:sz w:val="21"/>
                <w:szCs w:val="21"/>
              </w:rPr>
            </w:pPr>
            <w:r>
              <w:rPr>
                <w:bCs/>
                <w:sz w:val="21"/>
                <w:szCs w:val="21"/>
              </w:rPr>
            </w:r>
          </w:p>
        </w:tc>
        <w:tc>
          <w:tcPr>
            <w:tcW w:w="1844" w:type="dxa"/>
            <w:vMerge w:val="continue"/>
            <w:tcBorders>
              <w:top w:val="single" w:sz="4" w:space="0" w:color="000000"/>
              <w:left w:val="single" w:sz="4" w:space="0" w:color="000000"/>
              <w:bottom w:val="single" w:sz="4" w:space="0" w:color="000000"/>
              <w:right w:val="single" w:sz="4" w:space="0" w:color="000000"/>
            </w:tcBorders>
          </w:tcPr>
          <w:p>
            <w:pPr>
              <w:pStyle w:val="Normal"/>
              <w:keepLines/>
              <w:snapToGrid w:val="false"/>
              <w:spacing w:lineRule="auto" w:line="240" w:before="0" w:after="0"/>
              <w:ind w:left="-102" w:right="-170" w:hanging="0"/>
              <w:rPr>
                <w:bCs/>
                <w:sz w:val="21"/>
                <w:szCs w:val="21"/>
              </w:rPr>
            </w:pPr>
            <w:r>
              <w:rPr>
                <w:bCs/>
                <w:sz w:val="21"/>
                <w:szCs w:val="21"/>
              </w:rPr>
            </w:r>
          </w:p>
        </w:tc>
        <w:tc>
          <w:tcPr>
            <w:tcW w:w="1845" w:type="dxa"/>
            <w:tcBorders>
              <w:top w:val="single" w:sz="4" w:space="0" w:color="000000"/>
              <w:left w:val="single" w:sz="4" w:space="0" w:color="000000"/>
              <w:bottom w:val="single" w:sz="4" w:space="0" w:color="000000"/>
              <w:right w:val="single" w:sz="4" w:space="0" w:color="000000"/>
            </w:tcBorders>
            <w:vAlign w:val="center"/>
          </w:tcPr>
          <w:p>
            <w:pPr>
              <w:pStyle w:val="Normal"/>
              <w:keepLines/>
              <w:spacing w:lineRule="auto" w:line="240" w:before="0" w:after="0"/>
              <w:ind w:left="-44" w:hanging="0"/>
              <w:rPr>
                <w:bCs/>
                <w:sz w:val="21"/>
                <w:szCs w:val="21"/>
              </w:rPr>
            </w:pPr>
            <w:r>
              <w:rPr>
                <w:sz w:val="21"/>
                <w:szCs w:val="21"/>
                <w:shd w:fill="FFFFFF" w:val="clear"/>
              </w:rPr>
              <w:t>Типоразмер</w:t>
            </w:r>
          </w:p>
        </w:tc>
        <w:tc>
          <w:tcPr>
            <w:tcW w:w="1843" w:type="dxa"/>
            <w:tcBorders>
              <w:top w:val="single" w:sz="4" w:space="0" w:color="000000"/>
              <w:left w:val="single" w:sz="4" w:space="0" w:color="000000"/>
              <w:bottom w:val="single" w:sz="4" w:space="0" w:color="000000"/>
              <w:right w:val="single" w:sz="4" w:space="0" w:color="000000"/>
            </w:tcBorders>
            <w:vAlign w:val="center"/>
          </w:tcPr>
          <w:p>
            <w:pPr>
              <w:pStyle w:val="Normal"/>
              <w:keepLines/>
              <w:spacing w:lineRule="auto" w:line="240" w:before="0" w:after="0"/>
              <w:ind w:left="-74" w:hanging="0"/>
              <w:jc w:val="center"/>
              <w:rPr>
                <w:bCs/>
                <w:sz w:val="21"/>
                <w:szCs w:val="21"/>
              </w:rPr>
            </w:pPr>
            <w:r>
              <w:rPr>
                <w:sz w:val="21"/>
                <w:szCs w:val="21"/>
                <w:shd w:fill="FFFFFF" w:val="clear"/>
              </w:rPr>
              <w:t>«Европейский»</w:t>
            </w:r>
          </w:p>
        </w:tc>
        <w:tc>
          <w:tcPr>
            <w:tcW w:w="1699" w:type="dxa"/>
            <w:tcBorders>
              <w:top w:val="single" w:sz="4" w:space="0" w:color="000000"/>
              <w:left w:val="single" w:sz="4" w:space="0" w:color="000000"/>
              <w:bottom w:val="single" w:sz="4" w:space="0" w:color="000000"/>
              <w:right w:val="single" w:sz="4" w:space="0" w:color="000000"/>
            </w:tcBorders>
            <w:vAlign w:val="center"/>
          </w:tcPr>
          <w:p>
            <w:pPr>
              <w:pStyle w:val="Normal"/>
              <w:keepLines/>
              <w:snapToGrid w:val="false"/>
              <w:spacing w:lineRule="auto" w:line="240" w:before="0" w:after="0"/>
              <w:ind w:left="-74" w:hanging="0"/>
              <w:jc w:val="center"/>
              <w:rPr>
                <w:bCs/>
                <w:sz w:val="21"/>
                <w:szCs w:val="21"/>
              </w:rPr>
            </w:pPr>
            <w:r>
              <w:rPr>
                <w:bCs/>
                <w:sz w:val="21"/>
                <w:szCs w:val="21"/>
              </w:rPr>
            </w:r>
          </w:p>
        </w:tc>
        <w:tc>
          <w:tcPr>
            <w:tcW w:w="706" w:type="dxa"/>
            <w:vMerge w:val="continue"/>
            <w:tcBorders>
              <w:top w:val="single" w:sz="4" w:space="0" w:color="000000"/>
              <w:left w:val="single" w:sz="4" w:space="0" w:color="000000"/>
              <w:bottom w:val="single" w:sz="4" w:space="0" w:color="000000"/>
              <w:right w:val="single" w:sz="4" w:space="0" w:color="000000"/>
            </w:tcBorders>
          </w:tcPr>
          <w:p>
            <w:pPr>
              <w:pStyle w:val="Normal"/>
              <w:keepLines/>
              <w:snapToGrid w:val="false"/>
              <w:spacing w:before="0" w:after="200"/>
              <w:jc w:val="center"/>
              <w:rPr>
                <w:bCs/>
                <w:sz w:val="21"/>
                <w:szCs w:val="21"/>
              </w:rPr>
            </w:pPr>
            <w:r>
              <w:rPr>
                <w:bCs/>
                <w:sz w:val="21"/>
                <w:szCs w:val="21"/>
              </w:rPr>
            </w:r>
          </w:p>
        </w:tc>
        <w:tc>
          <w:tcPr>
            <w:tcW w:w="709" w:type="dxa"/>
            <w:vMerge w:val="continue"/>
            <w:tcBorders>
              <w:top w:val="single" w:sz="4" w:space="0" w:color="000000"/>
              <w:left w:val="single" w:sz="4" w:space="0" w:color="000000"/>
              <w:bottom w:val="single" w:sz="4" w:space="0" w:color="000000"/>
              <w:right w:val="single" w:sz="4" w:space="0" w:color="000000"/>
            </w:tcBorders>
          </w:tcPr>
          <w:p>
            <w:pPr>
              <w:pStyle w:val="Normal"/>
              <w:keepLines/>
              <w:snapToGrid w:val="false"/>
              <w:spacing w:before="0" w:after="200"/>
              <w:jc w:val="center"/>
              <w:rPr>
                <w:bCs/>
                <w:sz w:val="21"/>
                <w:szCs w:val="21"/>
              </w:rPr>
            </w:pPr>
            <w:r>
              <w:rPr>
                <w:bCs/>
                <w:sz w:val="21"/>
                <w:szCs w:val="21"/>
              </w:rPr>
            </w:r>
          </w:p>
        </w:tc>
        <w:tc>
          <w:tcPr>
            <w:tcW w:w="1417" w:type="dxa"/>
            <w:vMerge w:val="continue"/>
            <w:tcBorders>
              <w:top w:val="single" w:sz="4" w:space="0" w:color="000000"/>
              <w:left w:val="single" w:sz="4" w:space="0" w:color="000000"/>
              <w:bottom w:val="single" w:sz="4" w:space="0" w:color="000000"/>
              <w:right w:val="single" w:sz="4" w:space="0" w:color="000000"/>
            </w:tcBorders>
          </w:tcPr>
          <w:p>
            <w:pPr>
              <w:pStyle w:val="Normal"/>
              <w:keepLines/>
              <w:snapToGrid w:val="false"/>
              <w:spacing w:before="0" w:after="200"/>
              <w:jc w:val="center"/>
              <w:rPr>
                <w:bCs/>
                <w:sz w:val="21"/>
                <w:szCs w:val="21"/>
              </w:rPr>
            </w:pPr>
            <w:r>
              <w:rPr>
                <w:bCs/>
                <w:sz w:val="21"/>
                <w:szCs w:val="21"/>
              </w:rPr>
            </w:r>
          </w:p>
        </w:tc>
        <w:tc>
          <w:tcPr>
            <w:tcW w:w="1134" w:type="dxa"/>
            <w:vMerge w:val="continue"/>
            <w:tcBorders>
              <w:top w:val="single" w:sz="4" w:space="0" w:color="000000"/>
              <w:left w:val="single" w:sz="4" w:space="0" w:color="000000"/>
              <w:bottom w:val="single" w:sz="4" w:space="0" w:color="000000"/>
              <w:right w:val="single" w:sz="4" w:space="0" w:color="000000"/>
            </w:tcBorders>
          </w:tcPr>
          <w:p>
            <w:pPr>
              <w:pStyle w:val="Normal"/>
              <w:keepLines/>
              <w:snapToGrid w:val="false"/>
              <w:spacing w:before="0" w:after="200"/>
              <w:jc w:val="center"/>
              <w:rPr>
                <w:bCs/>
                <w:sz w:val="21"/>
                <w:szCs w:val="21"/>
              </w:rPr>
            </w:pPr>
            <w:r>
              <w:rPr>
                <w:bCs/>
                <w:sz w:val="21"/>
                <w:szCs w:val="21"/>
              </w:rPr>
            </w:r>
          </w:p>
        </w:tc>
      </w:tr>
      <w:tr>
        <w:trPr>
          <w:trHeight w:val="351" w:hRule="atLeast"/>
        </w:trPr>
        <w:tc>
          <w:tcPr>
            <w:tcW w:w="534" w:type="dxa"/>
            <w:vMerge w:val="continue"/>
            <w:tcBorders>
              <w:top w:val="single" w:sz="4" w:space="0" w:color="000000"/>
              <w:left w:val="single" w:sz="4" w:space="0" w:color="000000"/>
              <w:bottom w:val="single" w:sz="4" w:space="0" w:color="000000"/>
              <w:right w:val="single" w:sz="4" w:space="0" w:color="000000"/>
            </w:tcBorders>
          </w:tcPr>
          <w:p>
            <w:pPr>
              <w:pStyle w:val="Normal"/>
              <w:keepLines/>
              <w:snapToGrid w:val="false"/>
              <w:spacing w:lineRule="auto" w:line="240" w:before="0" w:after="0"/>
              <w:jc w:val="center"/>
              <w:rPr>
                <w:bCs/>
                <w:sz w:val="21"/>
                <w:szCs w:val="21"/>
              </w:rPr>
            </w:pPr>
            <w:r>
              <w:rPr>
                <w:bCs/>
                <w:sz w:val="21"/>
                <w:szCs w:val="21"/>
              </w:rPr>
            </w:r>
          </w:p>
        </w:tc>
        <w:tc>
          <w:tcPr>
            <w:tcW w:w="1417" w:type="dxa"/>
            <w:vMerge w:val="continue"/>
            <w:tcBorders>
              <w:top w:val="single" w:sz="4" w:space="0" w:color="000000"/>
              <w:left w:val="single" w:sz="4" w:space="0" w:color="000000"/>
              <w:bottom w:val="single" w:sz="4" w:space="0" w:color="000000"/>
              <w:right w:val="single" w:sz="4" w:space="0" w:color="000000"/>
            </w:tcBorders>
          </w:tcPr>
          <w:p>
            <w:pPr>
              <w:pStyle w:val="Normal"/>
              <w:keepLines/>
              <w:snapToGrid w:val="false"/>
              <w:spacing w:lineRule="auto" w:line="240" w:before="0" w:after="0"/>
              <w:ind w:left="-102" w:right="-170" w:hanging="0"/>
              <w:jc w:val="center"/>
              <w:rPr>
                <w:bCs/>
                <w:sz w:val="21"/>
                <w:szCs w:val="21"/>
              </w:rPr>
            </w:pPr>
            <w:r>
              <w:rPr>
                <w:bCs/>
                <w:sz w:val="21"/>
                <w:szCs w:val="21"/>
              </w:rPr>
            </w:r>
          </w:p>
        </w:tc>
        <w:tc>
          <w:tcPr>
            <w:tcW w:w="1558" w:type="dxa"/>
            <w:vMerge w:val="continue"/>
            <w:tcBorders>
              <w:top w:val="single" w:sz="4" w:space="0" w:color="000000"/>
              <w:left w:val="single" w:sz="4" w:space="0" w:color="000000"/>
              <w:bottom w:val="single" w:sz="4" w:space="0" w:color="000000"/>
              <w:right w:val="single" w:sz="4" w:space="0" w:color="000000"/>
            </w:tcBorders>
          </w:tcPr>
          <w:p>
            <w:pPr>
              <w:pStyle w:val="Normal"/>
              <w:keepLines/>
              <w:snapToGrid w:val="false"/>
              <w:spacing w:lineRule="auto" w:line="240" w:before="0" w:after="0"/>
              <w:ind w:left="-102" w:right="-170" w:hanging="0"/>
              <w:rPr>
                <w:bCs/>
                <w:sz w:val="21"/>
                <w:szCs w:val="21"/>
              </w:rPr>
            </w:pPr>
            <w:r>
              <w:rPr>
                <w:bCs/>
                <w:sz w:val="21"/>
                <w:szCs w:val="21"/>
              </w:rPr>
            </w:r>
          </w:p>
        </w:tc>
        <w:tc>
          <w:tcPr>
            <w:tcW w:w="1844" w:type="dxa"/>
            <w:vMerge w:val="continue"/>
            <w:tcBorders>
              <w:top w:val="single" w:sz="4" w:space="0" w:color="000000"/>
              <w:left w:val="single" w:sz="4" w:space="0" w:color="000000"/>
              <w:bottom w:val="single" w:sz="4" w:space="0" w:color="000000"/>
              <w:right w:val="single" w:sz="4" w:space="0" w:color="000000"/>
            </w:tcBorders>
          </w:tcPr>
          <w:p>
            <w:pPr>
              <w:pStyle w:val="Normal"/>
              <w:keepLines/>
              <w:snapToGrid w:val="false"/>
              <w:spacing w:lineRule="auto" w:line="240" w:before="0" w:after="0"/>
              <w:ind w:left="-102" w:right="-170" w:hanging="0"/>
              <w:rPr>
                <w:bCs/>
                <w:sz w:val="21"/>
                <w:szCs w:val="21"/>
              </w:rPr>
            </w:pPr>
            <w:r>
              <w:rPr>
                <w:bCs/>
                <w:sz w:val="21"/>
                <w:szCs w:val="21"/>
              </w:rPr>
            </w:r>
          </w:p>
        </w:tc>
        <w:tc>
          <w:tcPr>
            <w:tcW w:w="1845" w:type="dxa"/>
            <w:tcBorders>
              <w:top w:val="single" w:sz="4" w:space="0" w:color="000000"/>
              <w:left w:val="single" w:sz="4" w:space="0" w:color="000000"/>
              <w:bottom w:val="single" w:sz="4" w:space="0" w:color="000000"/>
              <w:right w:val="single" w:sz="4" w:space="0" w:color="000000"/>
            </w:tcBorders>
            <w:vAlign w:val="center"/>
          </w:tcPr>
          <w:p>
            <w:pPr>
              <w:pStyle w:val="Normal"/>
              <w:keepLines/>
              <w:spacing w:lineRule="auto" w:line="240" w:before="0" w:after="0"/>
              <w:ind w:left="-44" w:hanging="0"/>
              <w:rPr>
                <w:bCs/>
                <w:sz w:val="21"/>
                <w:szCs w:val="21"/>
              </w:rPr>
            </w:pPr>
            <w:r>
              <w:rPr>
                <w:bCs/>
                <w:sz w:val="21"/>
                <w:szCs w:val="21"/>
              </w:rPr>
              <w:t>Длина</w:t>
            </w:r>
          </w:p>
        </w:tc>
        <w:tc>
          <w:tcPr>
            <w:tcW w:w="1843" w:type="dxa"/>
            <w:tcBorders>
              <w:top w:val="single" w:sz="4" w:space="0" w:color="000000"/>
              <w:left w:val="single" w:sz="4" w:space="0" w:color="000000"/>
              <w:bottom w:val="single" w:sz="4" w:space="0" w:color="000000"/>
              <w:right w:val="single" w:sz="4" w:space="0" w:color="000000"/>
            </w:tcBorders>
            <w:vAlign w:val="center"/>
          </w:tcPr>
          <w:p>
            <w:pPr>
              <w:pStyle w:val="Normal"/>
              <w:keepLines/>
              <w:spacing w:lineRule="auto" w:line="240" w:before="0" w:after="0"/>
              <w:ind w:left="-74" w:hanging="0"/>
              <w:jc w:val="center"/>
              <w:rPr>
                <w:bCs/>
                <w:sz w:val="21"/>
                <w:szCs w:val="21"/>
              </w:rPr>
            </w:pPr>
            <w:r>
              <w:rPr>
                <w:bCs/>
                <w:sz w:val="21"/>
                <w:szCs w:val="21"/>
              </w:rPr>
              <w:t xml:space="preserve">≥ </w:t>
            </w:r>
            <w:r>
              <w:rPr>
                <w:bCs/>
                <w:sz w:val="21"/>
                <w:szCs w:val="21"/>
              </w:rPr>
              <w:t>270  и  &lt; 285</w:t>
            </w:r>
          </w:p>
        </w:tc>
        <w:tc>
          <w:tcPr>
            <w:tcW w:w="1699" w:type="dxa"/>
            <w:tcBorders>
              <w:top w:val="single" w:sz="4" w:space="0" w:color="000000"/>
              <w:left w:val="single" w:sz="4" w:space="0" w:color="000000"/>
              <w:bottom w:val="single" w:sz="4" w:space="0" w:color="000000"/>
              <w:right w:val="single" w:sz="4" w:space="0" w:color="000000"/>
            </w:tcBorders>
            <w:vAlign w:val="center"/>
          </w:tcPr>
          <w:p>
            <w:pPr>
              <w:pStyle w:val="Normal"/>
              <w:keepLines/>
              <w:spacing w:lineRule="auto" w:line="240" w:before="0" w:after="0"/>
              <w:ind w:left="-74" w:hanging="0"/>
              <w:jc w:val="center"/>
              <w:rPr>
                <w:bCs/>
                <w:sz w:val="21"/>
                <w:szCs w:val="21"/>
              </w:rPr>
            </w:pPr>
            <w:r>
              <w:rPr>
                <w:bCs/>
                <w:sz w:val="21"/>
                <w:szCs w:val="21"/>
              </w:rPr>
              <w:t>мм</w:t>
            </w:r>
          </w:p>
        </w:tc>
        <w:tc>
          <w:tcPr>
            <w:tcW w:w="706" w:type="dxa"/>
            <w:vMerge w:val="continue"/>
            <w:tcBorders>
              <w:top w:val="single" w:sz="4" w:space="0" w:color="000000"/>
              <w:left w:val="single" w:sz="4" w:space="0" w:color="000000"/>
              <w:bottom w:val="single" w:sz="4" w:space="0" w:color="000000"/>
              <w:right w:val="single" w:sz="4" w:space="0" w:color="000000"/>
            </w:tcBorders>
          </w:tcPr>
          <w:p>
            <w:pPr>
              <w:pStyle w:val="Normal"/>
              <w:keepLines/>
              <w:snapToGrid w:val="false"/>
              <w:spacing w:before="0" w:after="200"/>
              <w:jc w:val="center"/>
              <w:rPr>
                <w:bCs/>
                <w:sz w:val="21"/>
                <w:szCs w:val="21"/>
              </w:rPr>
            </w:pPr>
            <w:r>
              <w:rPr>
                <w:bCs/>
                <w:sz w:val="21"/>
                <w:szCs w:val="21"/>
              </w:rPr>
            </w:r>
          </w:p>
        </w:tc>
        <w:tc>
          <w:tcPr>
            <w:tcW w:w="709" w:type="dxa"/>
            <w:vMerge w:val="continue"/>
            <w:tcBorders>
              <w:top w:val="single" w:sz="4" w:space="0" w:color="000000"/>
              <w:left w:val="single" w:sz="4" w:space="0" w:color="000000"/>
              <w:bottom w:val="single" w:sz="4" w:space="0" w:color="000000"/>
              <w:right w:val="single" w:sz="4" w:space="0" w:color="000000"/>
            </w:tcBorders>
          </w:tcPr>
          <w:p>
            <w:pPr>
              <w:pStyle w:val="Normal"/>
              <w:keepLines/>
              <w:snapToGrid w:val="false"/>
              <w:spacing w:before="0" w:after="200"/>
              <w:jc w:val="center"/>
              <w:rPr>
                <w:bCs/>
                <w:sz w:val="21"/>
                <w:szCs w:val="21"/>
              </w:rPr>
            </w:pPr>
            <w:r>
              <w:rPr>
                <w:bCs/>
                <w:sz w:val="21"/>
                <w:szCs w:val="21"/>
              </w:rPr>
            </w:r>
          </w:p>
        </w:tc>
        <w:tc>
          <w:tcPr>
            <w:tcW w:w="1417" w:type="dxa"/>
            <w:vMerge w:val="continue"/>
            <w:tcBorders>
              <w:top w:val="single" w:sz="4" w:space="0" w:color="000000"/>
              <w:left w:val="single" w:sz="4" w:space="0" w:color="000000"/>
              <w:bottom w:val="single" w:sz="4" w:space="0" w:color="000000"/>
              <w:right w:val="single" w:sz="4" w:space="0" w:color="000000"/>
            </w:tcBorders>
          </w:tcPr>
          <w:p>
            <w:pPr>
              <w:pStyle w:val="Normal"/>
              <w:keepLines/>
              <w:snapToGrid w:val="false"/>
              <w:spacing w:before="0" w:after="200"/>
              <w:jc w:val="center"/>
              <w:rPr>
                <w:bCs/>
                <w:sz w:val="21"/>
                <w:szCs w:val="21"/>
              </w:rPr>
            </w:pPr>
            <w:r>
              <w:rPr>
                <w:bCs/>
                <w:sz w:val="21"/>
                <w:szCs w:val="21"/>
              </w:rPr>
            </w:r>
          </w:p>
        </w:tc>
        <w:tc>
          <w:tcPr>
            <w:tcW w:w="1134" w:type="dxa"/>
            <w:vMerge w:val="continue"/>
            <w:tcBorders>
              <w:top w:val="single" w:sz="4" w:space="0" w:color="000000"/>
              <w:left w:val="single" w:sz="4" w:space="0" w:color="000000"/>
              <w:bottom w:val="single" w:sz="4" w:space="0" w:color="000000"/>
              <w:right w:val="single" w:sz="4" w:space="0" w:color="000000"/>
            </w:tcBorders>
          </w:tcPr>
          <w:p>
            <w:pPr>
              <w:pStyle w:val="Normal"/>
              <w:keepLines/>
              <w:snapToGrid w:val="false"/>
              <w:spacing w:before="0" w:after="200"/>
              <w:jc w:val="center"/>
              <w:rPr>
                <w:bCs/>
                <w:sz w:val="21"/>
                <w:szCs w:val="21"/>
              </w:rPr>
            </w:pPr>
            <w:r>
              <w:rPr>
                <w:bCs/>
                <w:sz w:val="21"/>
                <w:szCs w:val="21"/>
              </w:rPr>
            </w:r>
          </w:p>
        </w:tc>
      </w:tr>
      <w:tr>
        <w:trPr>
          <w:trHeight w:val="361" w:hRule="atLeast"/>
        </w:trPr>
        <w:tc>
          <w:tcPr>
            <w:tcW w:w="534" w:type="dxa"/>
            <w:vMerge w:val="continue"/>
            <w:tcBorders>
              <w:top w:val="single" w:sz="4" w:space="0" w:color="000000"/>
              <w:left w:val="single" w:sz="4" w:space="0" w:color="000000"/>
              <w:bottom w:val="single" w:sz="4" w:space="0" w:color="000000"/>
              <w:right w:val="single" w:sz="4" w:space="0" w:color="000000"/>
            </w:tcBorders>
          </w:tcPr>
          <w:p>
            <w:pPr>
              <w:pStyle w:val="Normal"/>
              <w:keepLines/>
              <w:snapToGrid w:val="false"/>
              <w:spacing w:lineRule="auto" w:line="240" w:before="0" w:after="0"/>
              <w:jc w:val="center"/>
              <w:rPr>
                <w:bCs/>
                <w:sz w:val="21"/>
                <w:szCs w:val="21"/>
              </w:rPr>
            </w:pPr>
            <w:r>
              <w:rPr>
                <w:bCs/>
                <w:sz w:val="21"/>
                <w:szCs w:val="21"/>
              </w:rPr>
            </w:r>
          </w:p>
        </w:tc>
        <w:tc>
          <w:tcPr>
            <w:tcW w:w="1417" w:type="dxa"/>
            <w:vMerge w:val="continue"/>
            <w:tcBorders>
              <w:top w:val="single" w:sz="4" w:space="0" w:color="000000"/>
              <w:left w:val="single" w:sz="4" w:space="0" w:color="000000"/>
              <w:bottom w:val="single" w:sz="4" w:space="0" w:color="000000"/>
              <w:right w:val="single" w:sz="4" w:space="0" w:color="000000"/>
            </w:tcBorders>
          </w:tcPr>
          <w:p>
            <w:pPr>
              <w:pStyle w:val="Normal"/>
              <w:keepLines/>
              <w:snapToGrid w:val="false"/>
              <w:spacing w:lineRule="auto" w:line="240" w:before="0" w:after="0"/>
              <w:ind w:left="-102" w:right="-170" w:hanging="0"/>
              <w:jc w:val="center"/>
              <w:rPr>
                <w:bCs/>
                <w:sz w:val="21"/>
                <w:szCs w:val="21"/>
              </w:rPr>
            </w:pPr>
            <w:r>
              <w:rPr>
                <w:bCs/>
                <w:sz w:val="21"/>
                <w:szCs w:val="21"/>
              </w:rPr>
            </w:r>
          </w:p>
        </w:tc>
        <w:tc>
          <w:tcPr>
            <w:tcW w:w="1558" w:type="dxa"/>
            <w:vMerge w:val="continue"/>
            <w:tcBorders>
              <w:top w:val="single" w:sz="4" w:space="0" w:color="000000"/>
              <w:left w:val="single" w:sz="4" w:space="0" w:color="000000"/>
              <w:bottom w:val="single" w:sz="4" w:space="0" w:color="000000"/>
              <w:right w:val="single" w:sz="4" w:space="0" w:color="000000"/>
            </w:tcBorders>
          </w:tcPr>
          <w:p>
            <w:pPr>
              <w:pStyle w:val="Normal"/>
              <w:keepLines/>
              <w:snapToGrid w:val="false"/>
              <w:spacing w:lineRule="auto" w:line="240" w:before="0" w:after="0"/>
              <w:ind w:left="-102" w:right="-170" w:hanging="0"/>
              <w:rPr>
                <w:bCs/>
                <w:sz w:val="21"/>
                <w:szCs w:val="21"/>
              </w:rPr>
            </w:pPr>
            <w:r>
              <w:rPr>
                <w:bCs/>
                <w:sz w:val="21"/>
                <w:szCs w:val="21"/>
              </w:rPr>
            </w:r>
          </w:p>
        </w:tc>
        <w:tc>
          <w:tcPr>
            <w:tcW w:w="1844" w:type="dxa"/>
            <w:vMerge w:val="continue"/>
            <w:tcBorders>
              <w:top w:val="single" w:sz="4" w:space="0" w:color="000000"/>
              <w:left w:val="single" w:sz="4" w:space="0" w:color="000000"/>
              <w:bottom w:val="single" w:sz="4" w:space="0" w:color="000000"/>
              <w:right w:val="single" w:sz="4" w:space="0" w:color="000000"/>
            </w:tcBorders>
          </w:tcPr>
          <w:p>
            <w:pPr>
              <w:pStyle w:val="Normal"/>
              <w:keepLines/>
              <w:snapToGrid w:val="false"/>
              <w:spacing w:lineRule="auto" w:line="240" w:before="0" w:after="0"/>
              <w:ind w:left="-102" w:right="-170" w:hanging="0"/>
              <w:rPr>
                <w:bCs/>
                <w:sz w:val="21"/>
                <w:szCs w:val="21"/>
              </w:rPr>
            </w:pPr>
            <w:r>
              <w:rPr>
                <w:bCs/>
                <w:sz w:val="21"/>
                <w:szCs w:val="21"/>
              </w:rPr>
            </w:r>
          </w:p>
        </w:tc>
        <w:tc>
          <w:tcPr>
            <w:tcW w:w="1845" w:type="dxa"/>
            <w:tcBorders>
              <w:top w:val="single" w:sz="4" w:space="0" w:color="000000"/>
              <w:left w:val="single" w:sz="4" w:space="0" w:color="000000"/>
              <w:bottom w:val="single" w:sz="4" w:space="0" w:color="000000"/>
              <w:right w:val="single" w:sz="4" w:space="0" w:color="000000"/>
            </w:tcBorders>
            <w:vAlign w:val="center"/>
          </w:tcPr>
          <w:p>
            <w:pPr>
              <w:pStyle w:val="Normal"/>
              <w:keepLines/>
              <w:spacing w:lineRule="auto" w:line="240" w:before="0" w:after="0"/>
              <w:ind w:left="-44" w:hanging="0"/>
              <w:rPr>
                <w:bCs/>
                <w:sz w:val="21"/>
                <w:szCs w:val="21"/>
              </w:rPr>
            </w:pPr>
            <w:r>
              <w:rPr>
                <w:bCs/>
                <w:sz w:val="21"/>
                <w:szCs w:val="21"/>
              </w:rPr>
              <w:t>Ширина</w:t>
            </w:r>
          </w:p>
        </w:tc>
        <w:tc>
          <w:tcPr>
            <w:tcW w:w="1843" w:type="dxa"/>
            <w:tcBorders>
              <w:top w:val="single" w:sz="4" w:space="0" w:color="000000"/>
              <w:left w:val="single" w:sz="4" w:space="0" w:color="000000"/>
              <w:bottom w:val="single" w:sz="4" w:space="0" w:color="000000"/>
              <w:right w:val="single" w:sz="4" w:space="0" w:color="000000"/>
            </w:tcBorders>
            <w:vAlign w:val="center"/>
          </w:tcPr>
          <w:p>
            <w:pPr>
              <w:pStyle w:val="Normal"/>
              <w:keepLines/>
              <w:spacing w:lineRule="auto" w:line="240" w:before="0" w:after="0"/>
              <w:ind w:left="-74" w:hanging="0"/>
              <w:jc w:val="center"/>
              <w:rPr>
                <w:bCs/>
                <w:sz w:val="21"/>
                <w:szCs w:val="21"/>
              </w:rPr>
            </w:pPr>
            <w:r>
              <w:rPr>
                <w:bCs/>
                <w:sz w:val="21"/>
                <w:szCs w:val="21"/>
              </w:rPr>
              <w:t xml:space="preserve">≥ </w:t>
            </w:r>
            <w:r>
              <w:rPr>
                <w:bCs/>
                <w:sz w:val="21"/>
                <w:szCs w:val="21"/>
              </w:rPr>
              <w:t>170  и  &lt; 180</w:t>
            </w:r>
          </w:p>
        </w:tc>
        <w:tc>
          <w:tcPr>
            <w:tcW w:w="1699" w:type="dxa"/>
            <w:tcBorders>
              <w:top w:val="single" w:sz="4" w:space="0" w:color="000000"/>
              <w:left w:val="single" w:sz="4" w:space="0" w:color="000000"/>
              <w:bottom w:val="single" w:sz="4" w:space="0" w:color="000000"/>
              <w:right w:val="single" w:sz="4" w:space="0" w:color="000000"/>
            </w:tcBorders>
            <w:vAlign w:val="center"/>
          </w:tcPr>
          <w:p>
            <w:pPr>
              <w:pStyle w:val="Normal"/>
              <w:keepLines/>
              <w:spacing w:lineRule="auto" w:line="240" w:before="0" w:after="0"/>
              <w:ind w:left="-74" w:hanging="0"/>
              <w:jc w:val="center"/>
              <w:rPr>
                <w:sz w:val="21"/>
                <w:szCs w:val="21"/>
              </w:rPr>
            </w:pPr>
            <w:r>
              <w:rPr>
                <w:bCs/>
                <w:sz w:val="21"/>
                <w:szCs w:val="21"/>
              </w:rPr>
              <w:t>мм</w:t>
            </w:r>
          </w:p>
        </w:tc>
        <w:tc>
          <w:tcPr>
            <w:tcW w:w="706" w:type="dxa"/>
            <w:vMerge w:val="continue"/>
            <w:tcBorders>
              <w:top w:val="single" w:sz="4" w:space="0" w:color="000000"/>
              <w:left w:val="single" w:sz="4" w:space="0" w:color="000000"/>
              <w:bottom w:val="single" w:sz="4" w:space="0" w:color="000000"/>
              <w:right w:val="single" w:sz="4" w:space="0" w:color="000000"/>
            </w:tcBorders>
          </w:tcPr>
          <w:p>
            <w:pPr>
              <w:pStyle w:val="Normal"/>
              <w:keepLines/>
              <w:snapToGrid w:val="false"/>
              <w:spacing w:before="0" w:after="200"/>
              <w:jc w:val="center"/>
              <w:rPr>
                <w:bCs/>
                <w:sz w:val="21"/>
                <w:szCs w:val="21"/>
              </w:rPr>
            </w:pPr>
            <w:r>
              <w:rPr>
                <w:bCs/>
                <w:sz w:val="21"/>
                <w:szCs w:val="21"/>
              </w:rPr>
            </w:r>
          </w:p>
        </w:tc>
        <w:tc>
          <w:tcPr>
            <w:tcW w:w="709" w:type="dxa"/>
            <w:vMerge w:val="continue"/>
            <w:tcBorders>
              <w:top w:val="single" w:sz="4" w:space="0" w:color="000000"/>
              <w:left w:val="single" w:sz="4" w:space="0" w:color="000000"/>
              <w:bottom w:val="single" w:sz="4" w:space="0" w:color="000000"/>
              <w:right w:val="single" w:sz="4" w:space="0" w:color="000000"/>
            </w:tcBorders>
          </w:tcPr>
          <w:p>
            <w:pPr>
              <w:pStyle w:val="Normal"/>
              <w:keepLines/>
              <w:snapToGrid w:val="false"/>
              <w:spacing w:before="0" w:after="200"/>
              <w:jc w:val="center"/>
              <w:rPr>
                <w:bCs/>
                <w:sz w:val="21"/>
                <w:szCs w:val="21"/>
              </w:rPr>
            </w:pPr>
            <w:r>
              <w:rPr>
                <w:bCs/>
                <w:sz w:val="21"/>
                <w:szCs w:val="21"/>
              </w:rPr>
            </w:r>
          </w:p>
        </w:tc>
        <w:tc>
          <w:tcPr>
            <w:tcW w:w="1417" w:type="dxa"/>
            <w:vMerge w:val="continue"/>
            <w:tcBorders>
              <w:top w:val="single" w:sz="4" w:space="0" w:color="000000"/>
              <w:left w:val="single" w:sz="4" w:space="0" w:color="000000"/>
              <w:bottom w:val="single" w:sz="4" w:space="0" w:color="000000"/>
              <w:right w:val="single" w:sz="4" w:space="0" w:color="000000"/>
            </w:tcBorders>
          </w:tcPr>
          <w:p>
            <w:pPr>
              <w:pStyle w:val="Normal"/>
              <w:keepLines/>
              <w:snapToGrid w:val="false"/>
              <w:spacing w:before="0" w:after="200"/>
              <w:jc w:val="center"/>
              <w:rPr>
                <w:bCs/>
                <w:sz w:val="21"/>
                <w:szCs w:val="21"/>
              </w:rPr>
            </w:pPr>
            <w:r>
              <w:rPr>
                <w:bCs/>
                <w:sz w:val="21"/>
                <w:szCs w:val="21"/>
              </w:rPr>
            </w:r>
          </w:p>
        </w:tc>
        <w:tc>
          <w:tcPr>
            <w:tcW w:w="1134" w:type="dxa"/>
            <w:vMerge w:val="continue"/>
            <w:tcBorders>
              <w:top w:val="single" w:sz="4" w:space="0" w:color="000000"/>
              <w:left w:val="single" w:sz="4" w:space="0" w:color="000000"/>
              <w:bottom w:val="single" w:sz="4" w:space="0" w:color="000000"/>
              <w:right w:val="single" w:sz="4" w:space="0" w:color="000000"/>
            </w:tcBorders>
          </w:tcPr>
          <w:p>
            <w:pPr>
              <w:pStyle w:val="Normal"/>
              <w:keepLines/>
              <w:snapToGrid w:val="false"/>
              <w:spacing w:before="0" w:after="200"/>
              <w:jc w:val="center"/>
              <w:rPr>
                <w:bCs/>
                <w:sz w:val="21"/>
                <w:szCs w:val="21"/>
              </w:rPr>
            </w:pPr>
            <w:r>
              <w:rPr>
                <w:bCs/>
                <w:sz w:val="21"/>
                <w:szCs w:val="21"/>
              </w:rPr>
            </w:r>
          </w:p>
        </w:tc>
      </w:tr>
      <w:tr>
        <w:trPr>
          <w:trHeight w:val="96" w:hRule="atLeast"/>
        </w:trPr>
        <w:tc>
          <w:tcPr>
            <w:tcW w:w="534" w:type="dxa"/>
            <w:vMerge w:val="continue"/>
            <w:tcBorders>
              <w:top w:val="single" w:sz="4" w:space="0" w:color="000000"/>
              <w:left w:val="single" w:sz="4" w:space="0" w:color="000000"/>
              <w:bottom w:val="single" w:sz="4" w:space="0" w:color="000000"/>
              <w:right w:val="single" w:sz="4" w:space="0" w:color="000000"/>
            </w:tcBorders>
          </w:tcPr>
          <w:p>
            <w:pPr>
              <w:pStyle w:val="Normal"/>
              <w:keepLines/>
              <w:snapToGrid w:val="false"/>
              <w:spacing w:lineRule="auto" w:line="240" w:before="0" w:after="0"/>
              <w:jc w:val="center"/>
              <w:rPr>
                <w:bCs/>
                <w:sz w:val="21"/>
                <w:szCs w:val="21"/>
              </w:rPr>
            </w:pPr>
            <w:r>
              <w:rPr>
                <w:bCs/>
                <w:sz w:val="21"/>
                <w:szCs w:val="21"/>
              </w:rPr>
            </w:r>
          </w:p>
        </w:tc>
        <w:tc>
          <w:tcPr>
            <w:tcW w:w="1417" w:type="dxa"/>
            <w:vMerge w:val="continue"/>
            <w:tcBorders>
              <w:top w:val="single" w:sz="4" w:space="0" w:color="000000"/>
              <w:left w:val="single" w:sz="4" w:space="0" w:color="000000"/>
              <w:bottom w:val="single" w:sz="4" w:space="0" w:color="000000"/>
              <w:right w:val="single" w:sz="4" w:space="0" w:color="000000"/>
            </w:tcBorders>
          </w:tcPr>
          <w:p>
            <w:pPr>
              <w:pStyle w:val="Normal"/>
              <w:keepLines/>
              <w:snapToGrid w:val="false"/>
              <w:spacing w:lineRule="auto" w:line="240" w:before="0" w:after="0"/>
              <w:ind w:left="-102" w:right="-170" w:hanging="0"/>
              <w:jc w:val="center"/>
              <w:rPr>
                <w:bCs/>
                <w:sz w:val="21"/>
                <w:szCs w:val="21"/>
              </w:rPr>
            </w:pPr>
            <w:r>
              <w:rPr>
                <w:bCs/>
                <w:sz w:val="21"/>
                <w:szCs w:val="21"/>
              </w:rPr>
            </w:r>
          </w:p>
        </w:tc>
        <w:tc>
          <w:tcPr>
            <w:tcW w:w="1558" w:type="dxa"/>
            <w:vMerge w:val="continue"/>
            <w:tcBorders>
              <w:top w:val="single" w:sz="4" w:space="0" w:color="000000"/>
              <w:left w:val="single" w:sz="4" w:space="0" w:color="000000"/>
              <w:bottom w:val="single" w:sz="4" w:space="0" w:color="000000"/>
              <w:right w:val="single" w:sz="4" w:space="0" w:color="000000"/>
            </w:tcBorders>
          </w:tcPr>
          <w:p>
            <w:pPr>
              <w:pStyle w:val="Normal"/>
              <w:keepLines/>
              <w:snapToGrid w:val="false"/>
              <w:spacing w:lineRule="auto" w:line="240" w:before="0" w:after="0"/>
              <w:ind w:left="-102" w:right="-170" w:hanging="0"/>
              <w:rPr>
                <w:bCs/>
                <w:sz w:val="21"/>
                <w:szCs w:val="21"/>
              </w:rPr>
            </w:pPr>
            <w:r>
              <w:rPr>
                <w:bCs/>
                <w:sz w:val="21"/>
                <w:szCs w:val="21"/>
              </w:rPr>
            </w:r>
          </w:p>
        </w:tc>
        <w:tc>
          <w:tcPr>
            <w:tcW w:w="1844" w:type="dxa"/>
            <w:vMerge w:val="continue"/>
            <w:tcBorders>
              <w:top w:val="single" w:sz="4" w:space="0" w:color="000000"/>
              <w:left w:val="single" w:sz="4" w:space="0" w:color="000000"/>
              <w:bottom w:val="single" w:sz="4" w:space="0" w:color="000000"/>
              <w:right w:val="single" w:sz="4" w:space="0" w:color="000000"/>
            </w:tcBorders>
          </w:tcPr>
          <w:p>
            <w:pPr>
              <w:pStyle w:val="Normal"/>
              <w:keepLines/>
              <w:snapToGrid w:val="false"/>
              <w:spacing w:lineRule="auto" w:line="240" w:before="0" w:after="0"/>
              <w:ind w:left="-102" w:right="-170" w:hanging="0"/>
              <w:rPr>
                <w:bCs/>
                <w:sz w:val="21"/>
                <w:szCs w:val="21"/>
              </w:rPr>
            </w:pPr>
            <w:r>
              <w:rPr>
                <w:bCs/>
                <w:sz w:val="21"/>
                <w:szCs w:val="21"/>
              </w:rPr>
            </w:r>
          </w:p>
        </w:tc>
        <w:tc>
          <w:tcPr>
            <w:tcW w:w="1845" w:type="dxa"/>
            <w:tcBorders>
              <w:top w:val="single" w:sz="4" w:space="0" w:color="000000"/>
              <w:left w:val="single" w:sz="4" w:space="0" w:color="000000"/>
              <w:bottom w:val="single" w:sz="4" w:space="0" w:color="000000"/>
              <w:right w:val="single" w:sz="4" w:space="0" w:color="000000"/>
            </w:tcBorders>
            <w:vAlign w:val="center"/>
          </w:tcPr>
          <w:p>
            <w:pPr>
              <w:pStyle w:val="Normal"/>
              <w:keepLines/>
              <w:spacing w:lineRule="auto" w:line="240" w:before="0" w:after="0"/>
              <w:ind w:left="-44" w:hanging="0"/>
              <w:rPr>
                <w:bCs/>
                <w:sz w:val="21"/>
                <w:szCs w:val="21"/>
              </w:rPr>
            </w:pPr>
            <w:r>
              <w:rPr>
                <w:bCs/>
                <w:sz w:val="21"/>
                <w:szCs w:val="21"/>
              </w:rPr>
              <w:t>Высота</w:t>
            </w:r>
          </w:p>
        </w:tc>
        <w:tc>
          <w:tcPr>
            <w:tcW w:w="1843" w:type="dxa"/>
            <w:tcBorders>
              <w:top w:val="single" w:sz="4" w:space="0" w:color="000000"/>
              <w:left w:val="single" w:sz="4" w:space="0" w:color="000000"/>
              <w:bottom w:val="single" w:sz="4" w:space="0" w:color="000000"/>
              <w:right w:val="single" w:sz="4" w:space="0" w:color="000000"/>
            </w:tcBorders>
            <w:vAlign w:val="center"/>
          </w:tcPr>
          <w:p>
            <w:pPr>
              <w:pStyle w:val="Normal"/>
              <w:keepLines/>
              <w:spacing w:lineRule="auto" w:line="240" w:before="0" w:after="0"/>
              <w:ind w:left="-74" w:hanging="0"/>
              <w:jc w:val="center"/>
              <w:rPr>
                <w:bCs/>
                <w:sz w:val="21"/>
                <w:szCs w:val="21"/>
              </w:rPr>
            </w:pPr>
            <w:r>
              <w:rPr>
                <w:bCs/>
                <w:sz w:val="21"/>
                <w:szCs w:val="21"/>
              </w:rPr>
              <w:t xml:space="preserve">≥ </w:t>
            </w:r>
            <w:r>
              <w:rPr>
                <w:bCs/>
                <w:sz w:val="21"/>
                <w:szCs w:val="21"/>
              </w:rPr>
              <w:t>180  и  &lt; 195</w:t>
            </w:r>
          </w:p>
        </w:tc>
        <w:tc>
          <w:tcPr>
            <w:tcW w:w="1699" w:type="dxa"/>
            <w:tcBorders>
              <w:top w:val="single" w:sz="4" w:space="0" w:color="000000"/>
              <w:left w:val="single" w:sz="4" w:space="0" w:color="000000"/>
              <w:bottom w:val="single" w:sz="4" w:space="0" w:color="000000"/>
              <w:right w:val="single" w:sz="4" w:space="0" w:color="000000"/>
            </w:tcBorders>
            <w:vAlign w:val="center"/>
          </w:tcPr>
          <w:p>
            <w:pPr>
              <w:pStyle w:val="Normal"/>
              <w:keepLines/>
              <w:spacing w:lineRule="auto" w:line="240" w:before="0" w:after="0"/>
              <w:ind w:left="-74" w:hanging="0"/>
              <w:jc w:val="center"/>
              <w:rPr>
                <w:sz w:val="21"/>
                <w:szCs w:val="21"/>
              </w:rPr>
            </w:pPr>
            <w:r>
              <w:rPr>
                <w:bCs/>
                <w:sz w:val="21"/>
                <w:szCs w:val="21"/>
              </w:rPr>
              <w:t>мм</w:t>
            </w:r>
          </w:p>
        </w:tc>
        <w:tc>
          <w:tcPr>
            <w:tcW w:w="706" w:type="dxa"/>
            <w:vMerge w:val="continue"/>
            <w:tcBorders>
              <w:top w:val="single" w:sz="4" w:space="0" w:color="000000"/>
              <w:left w:val="single" w:sz="4" w:space="0" w:color="000000"/>
              <w:bottom w:val="single" w:sz="4" w:space="0" w:color="000000"/>
              <w:right w:val="single" w:sz="4" w:space="0" w:color="000000"/>
            </w:tcBorders>
          </w:tcPr>
          <w:p>
            <w:pPr>
              <w:pStyle w:val="Normal"/>
              <w:keepLines/>
              <w:snapToGrid w:val="false"/>
              <w:spacing w:before="0" w:after="200"/>
              <w:jc w:val="center"/>
              <w:rPr>
                <w:bCs/>
                <w:sz w:val="21"/>
                <w:szCs w:val="21"/>
              </w:rPr>
            </w:pPr>
            <w:r>
              <w:rPr>
                <w:bCs/>
                <w:sz w:val="21"/>
                <w:szCs w:val="21"/>
              </w:rPr>
            </w:r>
          </w:p>
        </w:tc>
        <w:tc>
          <w:tcPr>
            <w:tcW w:w="709" w:type="dxa"/>
            <w:vMerge w:val="continue"/>
            <w:tcBorders>
              <w:top w:val="single" w:sz="4" w:space="0" w:color="000000"/>
              <w:left w:val="single" w:sz="4" w:space="0" w:color="000000"/>
              <w:bottom w:val="single" w:sz="4" w:space="0" w:color="000000"/>
              <w:right w:val="single" w:sz="4" w:space="0" w:color="000000"/>
            </w:tcBorders>
          </w:tcPr>
          <w:p>
            <w:pPr>
              <w:pStyle w:val="Normal"/>
              <w:keepLines/>
              <w:snapToGrid w:val="false"/>
              <w:spacing w:before="0" w:after="200"/>
              <w:jc w:val="center"/>
              <w:rPr>
                <w:bCs/>
                <w:sz w:val="21"/>
                <w:szCs w:val="21"/>
              </w:rPr>
            </w:pPr>
            <w:r>
              <w:rPr>
                <w:bCs/>
                <w:sz w:val="21"/>
                <w:szCs w:val="21"/>
              </w:rPr>
            </w:r>
          </w:p>
        </w:tc>
        <w:tc>
          <w:tcPr>
            <w:tcW w:w="1417" w:type="dxa"/>
            <w:vMerge w:val="continue"/>
            <w:tcBorders>
              <w:top w:val="single" w:sz="4" w:space="0" w:color="000000"/>
              <w:left w:val="single" w:sz="4" w:space="0" w:color="000000"/>
              <w:bottom w:val="single" w:sz="4" w:space="0" w:color="000000"/>
              <w:right w:val="single" w:sz="4" w:space="0" w:color="000000"/>
            </w:tcBorders>
          </w:tcPr>
          <w:p>
            <w:pPr>
              <w:pStyle w:val="Normal"/>
              <w:keepLines/>
              <w:snapToGrid w:val="false"/>
              <w:spacing w:before="0" w:after="200"/>
              <w:jc w:val="center"/>
              <w:rPr>
                <w:bCs/>
                <w:sz w:val="21"/>
                <w:szCs w:val="21"/>
              </w:rPr>
            </w:pPr>
            <w:r>
              <w:rPr>
                <w:bCs/>
                <w:sz w:val="21"/>
                <w:szCs w:val="21"/>
              </w:rPr>
            </w:r>
          </w:p>
        </w:tc>
        <w:tc>
          <w:tcPr>
            <w:tcW w:w="1134" w:type="dxa"/>
            <w:vMerge w:val="continue"/>
            <w:tcBorders>
              <w:top w:val="single" w:sz="4" w:space="0" w:color="000000"/>
              <w:left w:val="single" w:sz="4" w:space="0" w:color="000000"/>
              <w:bottom w:val="single" w:sz="4" w:space="0" w:color="000000"/>
              <w:right w:val="single" w:sz="4" w:space="0" w:color="000000"/>
            </w:tcBorders>
          </w:tcPr>
          <w:p>
            <w:pPr>
              <w:pStyle w:val="Normal"/>
              <w:keepLines/>
              <w:snapToGrid w:val="false"/>
              <w:spacing w:before="0" w:after="200"/>
              <w:jc w:val="center"/>
              <w:rPr>
                <w:bCs/>
                <w:sz w:val="21"/>
                <w:szCs w:val="21"/>
              </w:rPr>
            </w:pPr>
            <w:r>
              <w:rPr>
                <w:bCs/>
                <w:sz w:val="21"/>
                <w:szCs w:val="21"/>
              </w:rPr>
            </w:r>
          </w:p>
        </w:tc>
      </w:tr>
      <w:tr>
        <w:trPr>
          <w:trHeight w:val="362" w:hRule="atLeast"/>
        </w:trPr>
        <w:tc>
          <w:tcPr>
            <w:tcW w:w="534" w:type="dxa"/>
            <w:vMerge w:val="restart"/>
            <w:tcBorders>
              <w:top w:val="single" w:sz="4" w:space="0" w:color="000000"/>
              <w:left w:val="single" w:sz="4" w:space="0" w:color="000000"/>
              <w:bottom w:val="single" w:sz="4" w:space="0" w:color="000000"/>
              <w:right w:val="single" w:sz="4" w:space="0" w:color="000000"/>
            </w:tcBorders>
          </w:tcPr>
          <w:p>
            <w:pPr>
              <w:pStyle w:val="Normal"/>
              <w:keepLines/>
              <w:spacing w:lineRule="auto" w:line="240" w:before="0" w:after="0"/>
              <w:ind w:left="-142" w:hanging="0"/>
              <w:jc w:val="center"/>
              <w:rPr>
                <w:bCs/>
                <w:sz w:val="21"/>
                <w:szCs w:val="21"/>
              </w:rPr>
            </w:pPr>
            <w:r>
              <w:rPr>
                <w:bCs/>
                <w:sz w:val="21"/>
                <w:szCs w:val="21"/>
              </w:rPr>
              <w:t>2</w:t>
            </w:r>
          </w:p>
        </w:tc>
        <w:tc>
          <w:tcPr>
            <w:tcW w:w="1417" w:type="dxa"/>
            <w:vMerge w:val="restart"/>
            <w:tcBorders>
              <w:top w:val="single" w:sz="4" w:space="0" w:color="000000"/>
              <w:left w:val="single" w:sz="4" w:space="0" w:color="000000"/>
              <w:bottom w:val="single" w:sz="4" w:space="0" w:color="000000"/>
              <w:right w:val="single" w:sz="4" w:space="0" w:color="000000"/>
            </w:tcBorders>
          </w:tcPr>
          <w:p>
            <w:pPr>
              <w:pStyle w:val="Normal"/>
              <w:keepLines/>
              <w:spacing w:lineRule="auto" w:line="240" w:before="0" w:after="0"/>
              <w:ind w:left="-102" w:right="-170" w:hanging="0"/>
              <w:jc w:val="center"/>
              <w:rPr>
                <w:bCs/>
                <w:sz w:val="21"/>
                <w:szCs w:val="21"/>
              </w:rPr>
            </w:pPr>
            <w:r>
              <w:rPr>
                <w:sz w:val="21"/>
                <w:szCs w:val="21"/>
              </w:rPr>
              <w:t>27.20.21.000</w:t>
            </w:r>
          </w:p>
        </w:tc>
        <w:tc>
          <w:tcPr>
            <w:tcW w:w="1558" w:type="dxa"/>
            <w:vMerge w:val="restart"/>
            <w:tcBorders>
              <w:top w:val="single" w:sz="4" w:space="0" w:color="000000"/>
              <w:left w:val="single" w:sz="4" w:space="0" w:color="000000"/>
              <w:bottom w:val="single" w:sz="4" w:space="0" w:color="000000"/>
              <w:right w:val="single" w:sz="4" w:space="0" w:color="000000"/>
            </w:tcBorders>
          </w:tcPr>
          <w:p>
            <w:pPr>
              <w:pStyle w:val="Normal"/>
              <w:keepLines/>
              <w:snapToGrid w:val="false"/>
              <w:spacing w:lineRule="auto" w:line="240" w:before="0" w:after="0"/>
              <w:ind w:left="-102" w:right="-170" w:hanging="0"/>
              <w:rPr>
                <w:bCs/>
                <w:sz w:val="21"/>
                <w:szCs w:val="21"/>
              </w:rPr>
            </w:pPr>
            <w:r>
              <w:rPr>
                <w:bCs/>
                <w:sz w:val="21"/>
                <w:szCs w:val="21"/>
              </w:rPr>
            </w:r>
          </w:p>
        </w:tc>
        <w:tc>
          <w:tcPr>
            <w:tcW w:w="1844"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left="-102" w:right="-170" w:hanging="0"/>
              <w:jc w:val="center"/>
              <w:rPr/>
            </w:pPr>
            <w:r>
              <w:rPr>
                <w:iCs/>
                <w:color w:val="000000"/>
                <w:sz w:val="21"/>
                <w:szCs w:val="21"/>
              </w:rPr>
              <w:t xml:space="preserve">Автомобильная аккумуляторная батарея для автомобиля </w:t>
            </w:r>
            <w:r>
              <w:rPr>
                <w:sz w:val="21"/>
                <w:szCs w:val="21"/>
                <w:shd w:fill="FFFFFF" w:val="clear"/>
                <w:lang w:val="en-US"/>
              </w:rPr>
              <w:t>VOLKSWAGEN</w:t>
            </w:r>
            <w:r>
              <w:rPr>
                <w:sz w:val="21"/>
                <w:szCs w:val="21"/>
                <w:shd w:fill="FFFFFF" w:val="clear"/>
              </w:rPr>
              <w:t xml:space="preserve"> </w:t>
            </w:r>
            <w:r>
              <w:rPr>
                <w:sz w:val="21"/>
                <w:szCs w:val="21"/>
                <w:shd w:fill="FFFFFF" w:val="clear"/>
                <w:lang w:val="en-US"/>
              </w:rPr>
              <w:t>CARAVELLE</w:t>
            </w:r>
            <w:r>
              <w:rPr>
                <w:sz w:val="21"/>
                <w:szCs w:val="21"/>
                <w:shd w:fill="FFFFFF" w:val="clear"/>
              </w:rPr>
              <w:t xml:space="preserve"> </w:t>
            </w:r>
            <w:r>
              <w:rPr>
                <w:sz w:val="21"/>
                <w:szCs w:val="21"/>
                <w:shd w:fill="FFFFFF" w:val="clear"/>
                <w:lang w:val="en-US"/>
              </w:rPr>
              <w:t>T</w:t>
            </w:r>
            <w:r>
              <w:rPr>
                <w:sz w:val="21"/>
                <w:szCs w:val="21"/>
                <w:shd w:fill="FFFFFF" w:val="clear"/>
              </w:rPr>
              <w:t>6</w:t>
            </w:r>
          </w:p>
          <w:p>
            <w:pPr>
              <w:pStyle w:val="Normal"/>
              <w:keepLines/>
              <w:spacing w:lineRule="auto" w:line="240" w:before="0" w:after="0"/>
              <w:ind w:left="-102" w:right="-170" w:hanging="0"/>
              <w:rPr>
                <w:bCs/>
                <w:sz w:val="21"/>
                <w:szCs w:val="21"/>
                <w:shd w:fill="FFFFFF" w:val="clear"/>
              </w:rPr>
            </w:pPr>
            <w:r>
              <w:rPr>
                <w:bCs/>
                <w:sz w:val="21"/>
                <w:szCs w:val="21"/>
                <w:shd w:fill="FFFFFF" w:val="clear"/>
              </w:rPr>
            </w:r>
          </w:p>
        </w:tc>
        <w:tc>
          <w:tcPr>
            <w:tcW w:w="1845" w:type="dxa"/>
            <w:tcBorders>
              <w:top w:val="single" w:sz="4" w:space="0" w:color="000000"/>
              <w:left w:val="single" w:sz="4" w:space="0" w:color="000000"/>
              <w:bottom w:val="single" w:sz="4" w:space="0" w:color="000000"/>
              <w:right w:val="single" w:sz="4" w:space="0" w:color="000000"/>
            </w:tcBorders>
            <w:vAlign w:val="center"/>
          </w:tcPr>
          <w:p>
            <w:pPr>
              <w:pStyle w:val="Normal"/>
              <w:keepLines/>
              <w:spacing w:lineRule="auto" w:line="240" w:before="0" w:after="0"/>
              <w:ind w:left="-44" w:hanging="0"/>
              <w:rPr>
                <w:bCs/>
                <w:sz w:val="21"/>
                <w:szCs w:val="21"/>
              </w:rPr>
            </w:pPr>
            <w:r>
              <w:rPr>
                <w:sz w:val="21"/>
                <w:szCs w:val="21"/>
                <w:shd w:fill="FFFFFF" w:val="clear"/>
              </w:rPr>
              <w:t>Полярность</w:t>
            </w:r>
          </w:p>
        </w:tc>
        <w:tc>
          <w:tcPr>
            <w:tcW w:w="1843" w:type="dxa"/>
            <w:tcBorders>
              <w:top w:val="single" w:sz="4" w:space="0" w:color="000000"/>
              <w:left w:val="single" w:sz="4" w:space="0" w:color="000000"/>
              <w:bottom w:val="single" w:sz="4" w:space="0" w:color="000000"/>
              <w:right w:val="single" w:sz="4" w:space="0" w:color="000000"/>
            </w:tcBorders>
            <w:vAlign w:val="center"/>
          </w:tcPr>
          <w:p>
            <w:pPr>
              <w:pStyle w:val="Normal"/>
              <w:keepLines/>
              <w:spacing w:lineRule="auto" w:line="240" w:before="0" w:after="0"/>
              <w:ind w:left="-74" w:hanging="0"/>
              <w:jc w:val="center"/>
              <w:rPr>
                <w:bCs/>
                <w:sz w:val="21"/>
                <w:szCs w:val="21"/>
              </w:rPr>
            </w:pPr>
            <w:r>
              <w:rPr>
                <w:bCs/>
                <w:sz w:val="21"/>
                <w:szCs w:val="21"/>
              </w:rPr>
              <w:t>обратная</w:t>
            </w:r>
          </w:p>
        </w:tc>
        <w:tc>
          <w:tcPr>
            <w:tcW w:w="1699" w:type="dxa"/>
            <w:tcBorders>
              <w:top w:val="single" w:sz="4" w:space="0" w:color="000000"/>
              <w:left w:val="single" w:sz="4" w:space="0" w:color="000000"/>
              <w:bottom w:val="single" w:sz="4" w:space="0" w:color="000000"/>
              <w:right w:val="single" w:sz="4" w:space="0" w:color="000000"/>
            </w:tcBorders>
            <w:vAlign w:val="center"/>
          </w:tcPr>
          <w:p>
            <w:pPr>
              <w:pStyle w:val="Normal"/>
              <w:keepLines/>
              <w:snapToGrid w:val="false"/>
              <w:spacing w:lineRule="auto" w:line="240" w:before="0" w:after="0"/>
              <w:ind w:left="-74" w:hanging="0"/>
              <w:rPr>
                <w:bCs/>
                <w:sz w:val="21"/>
                <w:szCs w:val="21"/>
              </w:rPr>
            </w:pPr>
            <w:r>
              <w:rPr>
                <w:bCs/>
                <w:sz w:val="21"/>
                <w:szCs w:val="21"/>
              </w:rPr>
            </w:r>
          </w:p>
        </w:tc>
        <w:tc>
          <w:tcPr>
            <w:tcW w:w="706" w:type="dxa"/>
            <w:vMerge w:val="restart"/>
            <w:tcBorders>
              <w:top w:val="single" w:sz="4" w:space="0" w:color="000000"/>
              <w:left w:val="single" w:sz="4" w:space="0" w:color="000000"/>
              <w:bottom w:val="single" w:sz="4" w:space="0" w:color="000000"/>
              <w:right w:val="single" w:sz="4" w:space="0" w:color="000000"/>
            </w:tcBorders>
          </w:tcPr>
          <w:p>
            <w:pPr>
              <w:pStyle w:val="Normal"/>
              <w:keepLines/>
              <w:spacing w:before="0" w:after="200"/>
              <w:ind w:left="-109" w:hanging="0"/>
              <w:jc w:val="center"/>
              <w:rPr>
                <w:bCs/>
                <w:sz w:val="21"/>
                <w:szCs w:val="21"/>
              </w:rPr>
            </w:pPr>
            <w:r>
              <w:rPr>
                <w:bCs/>
                <w:sz w:val="21"/>
                <w:szCs w:val="21"/>
              </w:rPr>
              <w:t>шт</w:t>
            </w:r>
          </w:p>
        </w:tc>
        <w:tc>
          <w:tcPr>
            <w:tcW w:w="709" w:type="dxa"/>
            <w:vMerge w:val="restart"/>
            <w:tcBorders>
              <w:top w:val="single" w:sz="4" w:space="0" w:color="000000"/>
              <w:left w:val="single" w:sz="4" w:space="0" w:color="000000"/>
              <w:bottom w:val="single" w:sz="4" w:space="0" w:color="000000"/>
              <w:right w:val="single" w:sz="4" w:space="0" w:color="000000"/>
            </w:tcBorders>
          </w:tcPr>
          <w:p>
            <w:pPr>
              <w:pStyle w:val="Normal"/>
              <w:keepLines/>
              <w:spacing w:before="0" w:after="200"/>
              <w:ind w:left="-108" w:hanging="0"/>
              <w:jc w:val="center"/>
              <w:rPr>
                <w:bCs/>
                <w:sz w:val="21"/>
                <w:szCs w:val="21"/>
              </w:rPr>
            </w:pPr>
            <w:r>
              <w:rPr>
                <w:bCs/>
                <w:sz w:val="21"/>
                <w:szCs w:val="21"/>
              </w:rPr>
              <w:t>1</w:t>
            </w:r>
          </w:p>
        </w:tc>
        <w:tc>
          <w:tcPr>
            <w:tcW w:w="1417" w:type="dxa"/>
            <w:vMerge w:val="restart"/>
            <w:tcBorders>
              <w:top w:val="single" w:sz="4" w:space="0" w:color="000000"/>
              <w:left w:val="single" w:sz="4" w:space="0" w:color="000000"/>
              <w:bottom w:val="single" w:sz="4" w:space="0" w:color="000000"/>
              <w:right w:val="single" w:sz="4" w:space="0" w:color="000000"/>
            </w:tcBorders>
          </w:tcPr>
          <w:p>
            <w:pPr>
              <w:pStyle w:val="Normal"/>
              <w:keepLines/>
              <w:snapToGrid w:val="false"/>
              <w:spacing w:before="0" w:after="200"/>
              <w:ind w:left="0" w:hanging="0"/>
              <w:jc w:val="center"/>
              <w:rPr>
                <w:bCs/>
                <w:sz w:val="21"/>
                <w:szCs w:val="21"/>
              </w:rPr>
            </w:pPr>
            <w:r>
              <w:rPr>
                <w:bCs/>
                <w:sz w:val="21"/>
                <w:szCs w:val="21"/>
              </w:rPr>
            </w:r>
          </w:p>
        </w:tc>
        <w:tc>
          <w:tcPr>
            <w:tcW w:w="1134" w:type="dxa"/>
            <w:vMerge w:val="restart"/>
            <w:tcBorders>
              <w:top w:val="single" w:sz="4" w:space="0" w:color="000000"/>
              <w:left w:val="single" w:sz="4" w:space="0" w:color="000000"/>
              <w:bottom w:val="single" w:sz="4" w:space="0" w:color="000000"/>
              <w:right w:val="single" w:sz="4" w:space="0" w:color="000000"/>
            </w:tcBorders>
          </w:tcPr>
          <w:p>
            <w:pPr>
              <w:pStyle w:val="Normal"/>
              <w:keepLines/>
              <w:snapToGrid w:val="false"/>
              <w:spacing w:before="0" w:after="200"/>
              <w:ind w:left="0" w:hanging="0"/>
              <w:jc w:val="center"/>
              <w:rPr>
                <w:bCs/>
                <w:sz w:val="21"/>
                <w:szCs w:val="21"/>
              </w:rPr>
            </w:pPr>
            <w:r>
              <w:rPr>
                <w:bCs/>
                <w:sz w:val="21"/>
                <w:szCs w:val="21"/>
              </w:rPr>
            </w:r>
          </w:p>
        </w:tc>
      </w:tr>
      <w:tr>
        <w:trPr>
          <w:trHeight w:val="330" w:hRule="atLeast"/>
        </w:trPr>
        <w:tc>
          <w:tcPr>
            <w:tcW w:w="534" w:type="dxa"/>
            <w:vMerge w:val="continue"/>
            <w:tcBorders>
              <w:top w:val="single" w:sz="4" w:space="0" w:color="000000"/>
              <w:left w:val="single" w:sz="4" w:space="0" w:color="000000"/>
              <w:bottom w:val="single" w:sz="4" w:space="0" w:color="000000"/>
              <w:right w:val="single" w:sz="4" w:space="0" w:color="000000"/>
            </w:tcBorders>
          </w:tcPr>
          <w:p>
            <w:pPr>
              <w:pStyle w:val="Normal"/>
              <w:keepLines/>
              <w:snapToGrid w:val="false"/>
              <w:spacing w:lineRule="auto" w:line="240" w:before="0" w:after="0"/>
              <w:jc w:val="center"/>
              <w:rPr>
                <w:bCs/>
                <w:sz w:val="21"/>
                <w:szCs w:val="21"/>
              </w:rPr>
            </w:pPr>
            <w:r>
              <w:rPr>
                <w:bCs/>
                <w:sz w:val="21"/>
                <w:szCs w:val="21"/>
              </w:rPr>
            </w:r>
          </w:p>
        </w:tc>
        <w:tc>
          <w:tcPr>
            <w:tcW w:w="1417" w:type="dxa"/>
            <w:vMerge w:val="continue"/>
            <w:tcBorders>
              <w:top w:val="single" w:sz="4" w:space="0" w:color="000000"/>
              <w:left w:val="single" w:sz="4" w:space="0" w:color="000000"/>
              <w:bottom w:val="single" w:sz="4" w:space="0" w:color="000000"/>
              <w:right w:val="single" w:sz="4" w:space="0" w:color="000000"/>
            </w:tcBorders>
          </w:tcPr>
          <w:p>
            <w:pPr>
              <w:pStyle w:val="Normal"/>
              <w:keepLines/>
              <w:snapToGrid w:val="false"/>
              <w:spacing w:lineRule="auto" w:line="240" w:before="0" w:after="0"/>
              <w:rPr>
                <w:bCs/>
                <w:sz w:val="21"/>
                <w:szCs w:val="21"/>
              </w:rPr>
            </w:pPr>
            <w:r>
              <w:rPr>
                <w:bCs/>
                <w:sz w:val="21"/>
                <w:szCs w:val="21"/>
              </w:rPr>
            </w:r>
          </w:p>
        </w:tc>
        <w:tc>
          <w:tcPr>
            <w:tcW w:w="1558" w:type="dxa"/>
            <w:vMerge w:val="continue"/>
            <w:tcBorders>
              <w:top w:val="single" w:sz="4" w:space="0" w:color="000000"/>
              <w:left w:val="single" w:sz="4" w:space="0" w:color="000000"/>
              <w:bottom w:val="single" w:sz="4" w:space="0" w:color="000000"/>
              <w:right w:val="single" w:sz="4" w:space="0" w:color="000000"/>
            </w:tcBorders>
          </w:tcPr>
          <w:p>
            <w:pPr>
              <w:pStyle w:val="Normal"/>
              <w:keepLines/>
              <w:snapToGrid w:val="false"/>
              <w:spacing w:lineRule="auto" w:line="240" w:before="0" w:after="0"/>
              <w:rPr>
                <w:bCs/>
                <w:sz w:val="21"/>
                <w:szCs w:val="21"/>
              </w:rPr>
            </w:pPr>
            <w:r>
              <w:rPr>
                <w:bCs/>
                <w:sz w:val="21"/>
                <w:szCs w:val="21"/>
              </w:rPr>
            </w:r>
          </w:p>
        </w:tc>
        <w:tc>
          <w:tcPr>
            <w:tcW w:w="1844" w:type="dxa"/>
            <w:vMerge w:val="continue"/>
            <w:tcBorders>
              <w:top w:val="single" w:sz="4" w:space="0" w:color="000000"/>
              <w:left w:val="single" w:sz="4" w:space="0" w:color="000000"/>
              <w:bottom w:val="single" w:sz="4" w:space="0" w:color="000000"/>
              <w:right w:val="single" w:sz="4" w:space="0" w:color="000000"/>
            </w:tcBorders>
          </w:tcPr>
          <w:p>
            <w:pPr>
              <w:pStyle w:val="Normal"/>
              <w:keepLines/>
              <w:snapToGrid w:val="false"/>
              <w:spacing w:lineRule="auto" w:line="240" w:before="0" w:after="0"/>
              <w:rPr>
                <w:bCs/>
                <w:sz w:val="21"/>
                <w:szCs w:val="21"/>
              </w:rPr>
            </w:pPr>
            <w:r>
              <w:rPr>
                <w:bCs/>
                <w:sz w:val="21"/>
                <w:szCs w:val="21"/>
              </w:rPr>
            </w:r>
          </w:p>
        </w:tc>
        <w:tc>
          <w:tcPr>
            <w:tcW w:w="1845" w:type="dxa"/>
            <w:tcBorders>
              <w:top w:val="single" w:sz="4" w:space="0" w:color="000000"/>
              <w:left w:val="single" w:sz="4" w:space="0" w:color="000000"/>
              <w:bottom w:val="single" w:sz="4" w:space="0" w:color="000000"/>
              <w:right w:val="single" w:sz="4" w:space="0" w:color="000000"/>
            </w:tcBorders>
            <w:vAlign w:val="center"/>
          </w:tcPr>
          <w:p>
            <w:pPr>
              <w:pStyle w:val="Normal"/>
              <w:keepLines/>
              <w:spacing w:lineRule="auto" w:line="240" w:before="0" w:after="0"/>
              <w:ind w:left="-44" w:hanging="0"/>
              <w:rPr>
                <w:bCs/>
                <w:sz w:val="21"/>
                <w:szCs w:val="21"/>
              </w:rPr>
            </w:pPr>
            <w:r>
              <w:rPr>
                <w:sz w:val="21"/>
                <w:szCs w:val="21"/>
                <w:shd w:fill="FFFFFF" w:val="clear"/>
              </w:rPr>
              <w:t>Емкость</w:t>
            </w:r>
          </w:p>
        </w:tc>
        <w:tc>
          <w:tcPr>
            <w:tcW w:w="1843" w:type="dxa"/>
            <w:tcBorders>
              <w:top w:val="single" w:sz="4" w:space="0" w:color="000000"/>
              <w:left w:val="single" w:sz="4" w:space="0" w:color="000000"/>
              <w:bottom w:val="single" w:sz="4" w:space="0" w:color="000000"/>
              <w:right w:val="single" w:sz="4" w:space="0" w:color="000000"/>
            </w:tcBorders>
            <w:vAlign w:val="center"/>
          </w:tcPr>
          <w:p>
            <w:pPr>
              <w:pStyle w:val="Normal"/>
              <w:keepLines/>
              <w:spacing w:lineRule="auto" w:line="240" w:before="0" w:after="0"/>
              <w:ind w:left="-74" w:hanging="0"/>
              <w:jc w:val="center"/>
              <w:rPr>
                <w:bCs/>
                <w:sz w:val="21"/>
                <w:szCs w:val="21"/>
              </w:rPr>
            </w:pPr>
            <w:r>
              <w:rPr>
                <w:bCs/>
                <w:sz w:val="21"/>
                <w:szCs w:val="21"/>
              </w:rPr>
              <w:t xml:space="preserve">≥ </w:t>
            </w:r>
            <w:r>
              <w:rPr>
                <w:bCs/>
                <w:sz w:val="21"/>
                <w:szCs w:val="21"/>
              </w:rPr>
              <w:t>90  </w:t>
            </w:r>
          </w:p>
        </w:tc>
        <w:tc>
          <w:tcPr>
            <w:tcW w:w="1699" w:type="dxa"/>
            <w:tcBorders>
              <w:top w:val="single" w:sz="4" w:space="0" w:color="000000"/>
              <w:left w:val="single" w:sz="4" w:space="0" w:color="000000"/>
              <w:bottom w:val="single" w:sz="4" w:space="0" w:color="000000"/>
              <w:right w:val="single" w:sz="4" w:space="0" w:color="000000"/>
            </w:tcBorders>
          </w:tcPr>
          <w:p>
            <w:pPr>
              <w:pStyle w:val="Normal"/>
              <w:keepLines/>
              <w:spacing w:lineRule="auto" w:line="240" w:before="0" w:after="0"/>
              <w:ind w:left="-74" w:hanging="0"/>
              <w:jc w:val="center"/>
              <w:rPr>
                <w:sz w:val="21"/>
                <w:szCs w:val="21"/>
              </w:rPr>
            </w:pPr>
            <w:r>
              <w:rPr>
                <w:sz w:val="21"/>
                <w:szCs w:val="21"/>
                <w:shd w:fill="FFFFFF" w:val="clear"/>
              </w:rPr>
              <w:t>А/ч</w:t>
            </w:r>
          </w:p>
        </w:tc>
        <w:tc>
          <w:tcPr>
            <w:tcW w:w="706" w:type="dxa"/>
            <w:vMerge w:val="continue"/>
            <w:tcBorders>
              <w:top w:val="single" w:sz="4" w:space="0" w:color="000000"/>
              <w:left w:val="single" w:sz="4" w:space="0" w:color="000000"/>
              <w:bottom w:val="single" w:sz="4" w:space="0" w:color="000000"/>
              <w:right w:val="single" w:sz="4" w:space="0" w:color="000000"/>
            </w:tcBorders>
          </w:tcPr>
          <w:p>
            <w:pPr>
              <w:pStyle w:val="Normal"/>
              <w:keepLines/>
              <w:snapToGrid w:val="false"/>
              <w:spacing w:before="0" w:after="200"/>
              <w:jc w:val="center"/>
              <w:rPr>
                <w:bCs/>
                <w:sz w:val="21"/>
                <w:szCs w:val="21"/>
              </w:rPr>
            </w:pPr>
            <w:r>
              <w:rPr>
                <w:bCs/>
                <w:sz w:val="21"/>
                <w:szCs w:val="21"/>
              </w:rPr>
            </w:r>
          </w:p>
        </w:tc>
        <w:tc>
          <w:tcPr>
            <w:tcW w:w="709" w:type="dxa"/>
            <w:vMerge w:val="continue"/>
            <w:tcBorders>
              <w:top w:val="single" w:sz="4" w:space="0" w:color="000000"/>
              <w:left w:val="single" w:sz="4" w:space="0" w:color="000000"/>
              <w:bottom w:val="single" w:sz="4" w:space="0" w:color="000000"/>
              <w:right w:val="single" w:sz="4" w:space="0" w:color="000000"/>
            </w:tcBorders>
          </w:tcPr>
          <w:p>
            <w:pPr>
              <w:pStyle w:val="Normal"/>
              <w:keepLines/>
              <w:snapToGrid w:val="false"/>
              <w:spacing w:before="0" w:after="200"/>
              <w:jc w:val="center"/>
              <w:rPr>
                <w:bCs/>
                <w:sz w:val="21"/>
                <w:szCs w:val="21"/>
              </w:rPr>
            </w:pPr>
            <w:r>
              <w:rPr>
                <w:bCs/>
                <w:sz w:val="21"/>
                <w:szCs w:val="21"/>
              </w:rPr>
            </w:r>
          </w:p>
        </w:tc>
        <w:tc>
          <w:tcPr>
            <w:tcW w:w="1417" w:type="dxa"/>
            <w:vMerge w:val="continue"/>
            <w:tcBorders>
              <w:top w:val="single" w:sz="4" w:space="0" w:color="000000"/>
              <w:left w:val="single" w:sz="4" w:space="0" w:color="000000"/>
              <w:bottom w:val="single" w:sz="4" w:space="0" w:color="000000"/>
              <w:right w:val="single" w:sz="4" w:space="0" w:color="000000"/>
            </w:tcBorders>
          </w:tcPr>
          <w:p>
            <w:pPr>
              <w:pStyle w:val="Normal"/>
              <w:keepLines/>
              <w:snapToGrid w:val="false"/>
              <w:spacing w:before="0" w:after="200"/>
              <w:jc w:val="center"/>
              <w:rPr>
                <w:bCs/>
                <w:sz w:val="21"/>
                <w:szCs w:val="21"/>
              </w:rPr>
            </w:pPr>
            <w:r>
              <w:rPr>
                <w:bCs/>
                <w:sz w:val="21"/>
                <w:szCs w:val="21"/>
              </w:rPr>
            </w:r>
          </w:p>
        </w:tc>
        <w:tc>
          <w:tcPr>
            <w:tcW w:w="1134" w:type="dxa"/>
            <w:vMerge w:val="continue"/>
            <w:tcBorders>
              <w:top w:val="single" w:sz="4" w:space="0" w:color="000000"/>
              <w:left w:val="single" w:sz="4" w:space="0" w:color="000000"/>
              <w:bottom w:val="single" w:sz="4" w:space="0" w:color="000000"/>
              <w:right w:val="single" w:sz="4" w:space="0" w:color="000000"/>
            </w:tcBorders>
          </w:tcPr>
          <w:p>
            <w:pPr>
              <w:pStyle w:val="Normal"/>
              <w:keepLines/>
              <w:snapToGrid w:val="false"/>
              <w:spacing w:before="0" w:after="200"/>
              <w:jc w:val="center"/>
              <w:rPr>
                <w:bCs/>
                <w:sz w:val="21"/>
                <w:szCs w:val="21"/>
              </w:rPr>
            </w:pPr>
            <w:r>
              <w:rPr>
                <w:bCs/>
                <w:sz w:val="21"/>
                <w:szCs w:val="21"/>
              </w:rPr>
            </w:r>
          </w:p>
        </w:tc>
      </w:tr>
      <w:tr>
        <w:trPr>
          <w:trHeight w:val="355" w:hRule="atLeast"/>
        </w:trPr>
        <w:tc>
          <w:tcPr>
            <w:tcW w:w="534" w:type="dxa"/>
            <w:vMerge w:val="continue"/>
            <w:tcBorders>
              <w:top w:val="single" w:sz="4" w:space="0" w:color="000000"/>
              <w:left w:val="single" w:sz="4" w:space="0" w:color="000000"/>
              <w:bottom w:val="single" w:sz="4" w:space="0" w:color="000000"/>
              <w:right w:val="single" w:sz="4" w:space="0" w:color="000000"/>
            </w:tcBorders>
          </w:tcPr>
          <w:p>
            <w:pPr>
              <w:pStyle w:val="Normal"/>
              <w:keepLines/>
              <w:snapToGrid w:val="false"/>
              <w:spacing w:lineRule="auto" w:line="240" w:before="0" w:after="0"/>
              <w:jc w:val="center"/>
              <w:rPr>
                <w:bCs/>
                <w:sz w:val="21"/>
                <w:szCs w:val="21"/>
              </w:rPr>
            </w:pPr>
            <w:r>
              <w:rPr>
                <w:bCs/>
                <w:sz w:val="21"/>
                <w:szCs w:val="21"/>
              </w:rPr>
            </w:r>
          </w:p>
        </w:tc>
        <w:tc>
          <w:tcPr>
            <w:tcW w:w="1417" w:type="dxa"/>
            <w:vMerge w:val="continue"/>
            <w:tcBorders>
              <w:top w:val="single" w:sz="4" w:space="0" w:color="000000"/>
              <w:left w:val="single" w:sz="4" w:space="0" w:color="000000"/>
              <w:bottom w:val="single" w:sz="4" w:space="0" w:color="000000"/>
              <w:right w:val="single" w:sz="4" w:space="0" w:color="000000"/>
            </w:tcBorders>
          </w:tcPr>
          <w:p>
            <w:pPr>
              <w:pStyle w:val="Normal"/>
              <w:keepLines/>
              <w:snapToGrid w:val="false"/>
              <w:spacing w:lineRule="auto" w:line="240" w:before="0" w:after="0"/>
              <w:rPr>
                <w:bCs/>
                <w:sz w:val="21"/>
                <w:szCs w:val="21"/>
              </w:rPr>
            </w:pPr>
            <w:r>
              <w:rPr>
                <w:bCs/>
                <w:sz w:val="21"/>
                <w:szCs w:val="21"/>
              </w:rPr>
            </w:r>
          </w:p>
        </w:tc>
        <w:tc>
          <w:tcPr>
            <w:tcW w:w="1558" w:type="dxa"/>
            <w:vMerge w:val="continue"/>
            <w:tcBorders>
              <w:top w:val="single" w:sz="4" w:space="0" w:color="000000"/>
              <w:left w:val="single" w:sz="4" w:space="0" w:color="000000"/>
              <w:bottom w:val="single" w:sz="4" w:space="0" w:color="000000"/>
              <w:right w:val="single" w:sz="4" w:space="0" w:color="000000"/>
            </w:tcBorders>
          </w:tcPr>
          <w:p>
            <w:pPr>
              <w:pStyle w:val="Normal"/>
              <w:keepLines/>
              <w:snapToGrid w:val="false"/>
              <w:spacing w:lineRule="auto" w:line="240" w:before="0" w:after="0"/>
              <w:rPr>
                <w:bCs/>
                <w:sz w:val="21"/>
                <w:szCs w:val="21"/>
              </w:rPr>
            </w:pPr>
            <w:r>
              <w:rPr>
                <w:bCs/>
                <w:sz w:val="21"/>
                <w:szCs w:val="21"/>
              </w:rPr>
            </w:r>
          </w:p>
        </w:tc>
        <w:tc>
          <w:tcPr>
            <w:tcW w:w="1844" w:type="dxa"/>
            <w:vMerge w:val="continue"/>
            <w:tcBorders>
              <w:top w:val="single" w:sz="4" w:space="0" w:color="000000"/>
              <w:left w:val="single" w:sz="4" w:space="0" w:color="000000"/>
              <w:bottom w:val="single" w:sz="4" w:space="0" w:color="000000"/>
              <w:right w:val="single" w:sz="4" w:space="0" w:color="000000"/>
            </w:tcBorders>
          </w:tcPr>
          <w:p>
            <w:pPr>
              <w:pStyle w:val="Normal"/>
              <w:keepLines/>
              <w:snapToGrid w:val="false"/>
              <w:spacing w:lineRule="auto" w:line="240" w:before="0" w:after="0"/>
              <w:rPr>
                <w:bCs/>
                <w:sz w:val="21"/>
                <w:szCs w:val="21"/>
              </w:rPr>
            </w:pPr>
            <w:r>
              <w:rPr>
                <w:bCs/>
                <w:sz w:val="21"/>
                <w:szCs w:val="21"/>
              </w:rPr>
            </w:r>
          </w:p>
        </w:tc>
        <w:tc>
          <w:tcPr>
            <w:tcW w:w="1845" w:type="dxa"/>
            <w:tcBorders>
              <w:top w:val="single" w:sz="4" w:space="0" w:color="000000"/>
              <w:left w:val="single" w:sz="4" w:space="0" w:color="000000"/>
              <w:bottom w:val="single" w:sz="4" w:space="0" w:color="000000"/>
              <w:right w:val="single" w:sz="4" w:space="0" w:color="000000"/>
            </w:tcBorders>
            <w:vAlign w:val="center"/>
          </w:tcPr>
          <w:p>
            <w:pPr>
              <w:pStyle w:val="Normal"/>
              <w:keepLines/>
              <w:spacing w:lineRule="auto" w:line="240" w:before="0" w:after="0"/>
              <w:ind w:left="-44" w:hanging="0"/>
              <w:rPr>
                <w:bCs/>
                <w:sz w:val="21"/>
                <w:szCs w:val="21"/>
              </w:rPr>
            </w:pPr>
            <w:r>
              <w:rPr>
                <w:sz w:val="21"/>
                <w:szCs w:val="21"/>
                <w:shd w:fill="FFFFFF" w:val="clear"/>
              </w:rPr>
              <w:t>Пусковой ток</w:t>
            </w:r>
          </w:p>
        </w:tc>
        <w:tc>
          <w:tcPr>
            <w:tcW w:w="1843" w:type="dxa"/>
            <w:tcBorders>
              <w:top w:val="single" w:sz="4" w:space="0" w:color="000000"/>
              <w:left w:val="single" w:sz="4" w:space="0" w:color="000000"/>
              <w:bottom w:val="single" w:sz="4" w:space="0" w:color="000000"/>
              <w:right w:val="single" w:sz="4" w:space="0" w:color="000000"/>
            </w:tcBorders>
            <w:vAlign w:val="center"/>
          </w:tcPr>
          <w:p>
            <w:pPr>
              <w:pStyle w:val="Normal"/>
              <w:keepLines/>
              <w:spacing w:lineRule="auto" w:line="240" w:before="0" w:after="0"/>
              <w:ind w:left="-74" w:hanging="0"/>
              <w:jc w:val="center"/>
              <w:rPr>
                <w:bCs/>
                <w:sz w:val="21"/>
                <w:szCs w:val="21"/>
              </w:rPr>
            </w:pPr>
            <w:r>
              <w:rPr>
                <w:bCs/>
                <w:sz w:val="21"/>
                <w:szCs w:val="21"/>
              </w:rPr>
              <w:t xml:space="preserve">≥ </w:t>
            </w:r>
            <w:r>
              <w:rPr>
                <w:bCs/>
                <w:sz w:val="21"/>
                <w:szCs w:val="21"/>
              </w:rPr>
              <w:t>800  </w:t>
            </w:r>
          </w:p>
        </w:tc>
        <w:tc>
          <w:tcPr>
            <w:tcW w:w="1699" w:type="dxa"/>
            <w:tcBorders>
              <w:top w:val="single" w:sz="4" w:space="0" w:color="000000"/>
              <w:left w:val="single" w:sz="4" w:space="0" w:color="000000"/>
              <w:bottom w:val="single" w:sz="4" w:space="0" w:color="000000"/>
              <w:right w:val="single" w:sz="4" w:space="0" w:color="000000"/>
            </w:tcBorders>
          </w:tcPr>
          <w:p>
            <w:pPr>
              <w:pStyle w:val="Normal"/>
              <w:keepLines/>
              <w:spacing w:lineRule="auto" w:line="240" w:before="0" w:after="0"/>
              <w:ind w:left="-74" w:hanging="0"/>
              <w:jc w:val="center"/>
              <w:rPr>
                <w:sz w:val="21"/>
                <w:szCs w:val="21"/>
              </w:rPr>
            </w:pPr>
            <w:r>
              <w:rPr>
                <w:sz w:val="21"/>
                <w:szCs w:val="21"/>
                <w:shd w:fill="FFFFFF" w:val="clear"/>
              </w:rPr>
              <w:t>А</w:t>
            </w:r>
          </w:p>
        </w:tc>
        <w:tc>
          <w:tcPr>
            <w:tcW w:w="706" w:type="dxa"/>
            <w:vMerge w:val="continue"/>
            <w:tcBorders>
              <w:top w:val="single" w:sz="4" w:space="0" w:color="000000"/>
              <w:left w:val="single" w:sz="4" w:space="0" w:color="000000"/>
              <w:bottom w:val="single" w:sz="4" w:space="0" w:color="000000"/>
              <w:right w:val="single" w:sz="4" w:space="0" w:color="000000"/>
            </w:tcBorders>
          </w:tcPr>
          <w:p>
            <w:pPr>
              <w:pStyle w:val="Normal"/>
              <w:keepLines/>
              <w:snapToGrid w:val="false"/>
              <w:spacing w:before="0" w:after="200"/>
              <w:jc w:val="center"/>
              <w:rPr>
                <w:bCs/>
                <w:sz w:val="21"/>
                <w:szCs w:val="21"/>
              </w:rPr>
            </w:pPr>
            <w:r>
              <w:rPr>
                <w:bCs/>
                <w:sz w:val="21"/>
                <w:szCs w:val="21"/>
              </w:rPr>
            </w:r>
          </w:p>
        </w:tc>
        <w:tc>
          <w:tcPr>
            <w:tcW w:w="709" w:type="dxa"/>
            <w:vMerge w:val="continue"/>
            <w:tcBorders>
              <w:top w:val="single" w:sz="4" w:space="0" w:color="000000"/>
              <w:left w:val="single" w:sz="4" w:space="0" w:color="000000"/>
              <w:bottom w:val="single" w:sz="4" w:space="0" w:color="000000"/>
              <w:right w:val="single" w:sz="4" w:space="0" w:color="000000"/>
            </w:tcBorders>
          </w:tcPr>
          <w:p>
            <w:pPr>
              <w:pStyle w:val="Normal"/>
              <w:keepLines/>
              <w:snapToGrid w:val="false"/>
              <w:spacing w:before="0" w:after="200"/>
              <w:jc w:val="center"/>
              <w:rPr>
                <w:bCs/>
                <w:sz w:val="21"/>
                <w:szCs w:val="21"/>
              </w:rPr>
            </w:pPr>
            <w:r>
              <w:rPr>
                <w:bCs/>
                <w:sz w:val="21"/>
                <w:szCs w:val="21"/>
              </w:rPr>
            </w:r>
          </w:p>
        </w:tc>
        <w:tc>
          <w:tcPr>
            <w:tcW w:w="1417" w:type="dxa"/>
            <w:vMerge w:val="continue"/>
            <w:tcBorders>
              <w:top w:val="single" w:sz="4" w:space="0" w:color="000000"/>
              <w:left w:val="single" w:sz="4" w:space="0" w:color="000000"/>
              <w:bottom w:val="single" w:sz="4" w:space="0" w:color="000000"/>
              <w:right w:val="single" w:sz="4" w:space="0" w:color="000000"/>
            </w:tcBorders>
          </w:tcPr>
          <w:p>
            <w:pPr>
              <w:pStyle w:val="Normal"/>
              <w:keepLines/>
              <w:snapToGrid w:val="false"/>
              <w:spacing w:before="0" w:after="200"/>
              <w:jc w:val="center"/>
              <w:rPr>
                <w:bCs/>
                <w:sz w:val="21"/>
                <w:szCs w:val="21"/>
              </w:rPr>
            </w:pPr>
            <w:r>
              <w:rPr>
                <w:bCs/>
                <w:sz w:val="21"/>
                <w:szCs w:val="21"/>
              </w:rPr>
            </w:r>
          </w:p>
        </w:tc>
        <w:tc>
          <w:tcPr>
            <w:tcW w:w="1134" w:type="dxa"/>
            <w:vMerge w:val="continue"/>
            <w:tcBorders>
              <w:top w:val="single" w:sz="4" w:space="0" w:color="000000"/>
              <w:left w:val="single" w:sz="4" w:space="0" w:color="000000"/>
              <w:bottom w:val="single" w:sz="4" w:space="0" w:color="000000"/>
              <w:right w:val="single" w:sz="4" w:space="0" w:color="000000"/>
            </w:tcBorders>
          </w:tcPr>
          <w:p>
            <w:pPr>
              <w:pStyle w:val="Normal"/>
              <w:keepLines/>
              <w:snapToGrid w:val="false"/>
              <w:spacing w:before="0" w:after="200"/>
              <w:jc w:val="center"/>
              <w:rPr>
                <w:bCs/>
                <w:sz w:val="21"/>
                <w:szCs w:val="21"/>
              </w:rPr>
            </w:pPr>
            <w:r>
              <w:rPr>
                <w:bCs/>
                <w:sz w:val="21"/>
                <w:szCs w:val="21"/>
              </w:rPr>
            </w:r>
          </w:p>
        </w:tc>
      </w:tr>
      <w:tr>
        <w:trPr>
          <w:trHeight w:val="350" w:hRule="atLeast"/>
        </w:trPr>
        <w:tc>
          <w:tcPr>
            <w:tcW w:w="534" w:type="dxa"/>
            <w:vMerge w:val="continue"/>
            <w:tcBorders>
              <w:top w:val="single" w:sz="4" w:space="0" w:color="000000"/>
              <w:left w:val="single" w:sz="4" w:space="0" w:color="000000"/>
              <w:bottom w:val="single" w:sz="4" w:space="0" w:color="000000"/>
              <w:right w:val="single" w:sz="4" w:space="0" w:color="000000"/>
            </w:tcBorders>
          </w:tcPr>
          <w:p>
            <w:pPr>
              <w:pStyle w:val="Normal"/>
              <w:keepLines/>
              <w:snapToGrid w:val="false"/>
              <w:spacing w:lineRule="auto" w:line="240" w:before="0" w:after="0"/>
              <w:jc w:val="center"/>
              <w:rPr>
                <w:bCs/>
                <w:sz w:val="21"/>
                <w:szCs w:val="21"/>
              </w:rPr>
            </w:pPr>
            <w:r>
              <w:rPr>
                <w:bCs/>
                <w:sz w:val="21"/>
                <w:szCs w:val="21"/>
              </w:rPr>
            </w:r>
          </w:p>
        </w:tc>
        <w:tc>
          <w:tcPr>
            <w:tcW w:w="1417" w:type="dxa"/>
            <w:vMerge w:val="continue"/>
            <w:tcBorders>
              <w:top w:val="single" w:sz="4" w:space="0" w:color="000000"/>
              <w:left w:val="single" w:sz="4" w:space="0" w:color="000000"/>
              <w:bottom w:val="single" w:sz="4" w:space="0" w:color="000000"/>
              <w:right w:val="single" w:sz="4" w:space="0" w:color="000000"/>
            </w:tcBorders>
          </w:tcPr>
          <w:p>
            <w:pPr>
              <w:pStyle w:val="Normal"/>
              <w:keepLines/>
              <w:snapToGrid w:val="false"/>
              <w:spacing w:lineRule="auto" w:line="240" w:before="0" w:after="0"/>
              <w:rPr>
                <w:bCs/>
                <w:sz w:val="21"/>
                <w:szCs w:val="21"/>
              </w:rPr>
            </w:pPr>
            <w:r>
              <w:rPr>
                <w:bCs/>
                <w:sz w:val="21"/>
                <w:szCs w:val="21"/>
              </w:rPr>
            </w:r>
          </w:p>
        </w:tc>
        <w:tc>
          <w:tcPr>
            <w:tcW w:w="1558" w:type="dxa"/>
            <w:vMerge w:val="continue"/>
            <w:tcBorders>
              <w:top w:val="single" w:sz="4" w:space="0" w:color="000000"/>
              <w:left w:val="single" w:sz="4" w:space="0" w:color="000000"/>
              <w:bottom w:val="single" w:sz="4" w:space="0" w:color="000000"/>
              <w:right w:val="single" w:sz="4" w:space="0" w:color="000000"/>
            </w:tcBorders>
          </w:tcPr>
          <w:p>
            <w:pPr>
              <w:pStyle w:val="Normal"/>
              <w:keepLines/>
              <w:snapToGrid w:val="false"/>
              <w:spacing w:lineRule="auto" w:line="240" w:before="0" w:after="0"/>
              <w:rPr>
                <w:bCs/>
                <w:sz w:val="21"/>
                <w:szCs w:val="21"/>
              </w:rPr>
            </w:pPr>
            <w:r>
              <w:rPr>
                <w:bCs/>
                <w:sz w:val="21"/>
                <w:szCs w:val="21"/>
              </w:rPr>
            </w:r>
          </w:p>
        </w:tc>
        <w:tc>
          <w:tcPr>
            <w:tcW w:w="1844" w:type="dxa"/>
            <w:vMerge w:val="continue"/>
            <w:tcBorders>
              <w:top w:val="single" w:sz="4" w:space="0" w:color="000000"/>
              <w:left w:val="single" w:sz="4" w:space="0" w:color="000000"/>
              <w:bottom w:val="single" w:sz="4" w:space="0" w:color="000000"/>
              <w:right w:val="single" w:sz="4" w:space="0" w:color="000000"/>
            </w:tcBorders>
          </w:tcPr>
          <w:p>
            <w:pPr>
              <w:pStyle w:val="Normal"/>
              <w:keepLines/>
              <w:snapToGrid w:val="false"/>
              <w:spacing w:lineRule="auto" w:line="240" w:before="0" w:after="0"/>
              <w:rPr>
                <w:bCs/>
                <w:sz w:val="21"/>
                <w:szCs w:val="21"/>
              </w:rPr>
            </w:pPr>
            <w:r>
              <w:rPr>
                <w:bCs/>
                <w:sz w:val="21"/>
                <w:szCs w:val="21"/>
              </w:rPr>
            </w:r>
          </w:p>
        </w:tc>
        <w:tc>
          <w:tcPr>
            <w:tcW w:w="1845" w:type="dxa"/>
            <w:tcBorders>
              <w:top w:val="single" w:sz="4" w:space="0" w:color="000000"/>
              <w:left w:val="single" w:sz="4" w:space="0" w:color="000000"/>
              <w:bottom w:val="single" w:sz="4" w:space="0" w:color="000000"/>
              <w:right w:val="single" w:sz="4" w:space="0" w:color="000000"/>
            </w:tcBorders>
            <w:vAlign w:val="center"/>
          </w:tcPr>
          <w:p>
            <w:pPr>
              <w:pStyle w:val="Normal"/>
              <w:keepLines/>
              <w:spacing w:lineRule="auto" w:line="240" w:before="0" w:after="0"/>
              <w:ind w:left="-44" w:hanging="0"/>
              <w:rPr>
                <w:bCs/>
                <w:sz w:val="21"/>
                <w:szCs w:val="21"/>
              </w:rPr>
            </w:pPr>
            <w:r>
              <w:rPr>
                <w:sz w:val="21"/>
                <w:szCs w:val="21"/>
                <w:shd w:fill="FFFFFF" w:val="clear"/>
              </w:rPr>
              <w:t>Напряжение</w:t>
            </w:r>
          </w:p>
        </w:tc>
        <w:tc>
          <w:tcPr>
            <w:tcW w:w="1843" w:type="dxa"/>
            <w:tcBorders>
              <w:top w:val="single" w:sz="4" w:space="0" w:color="000000"/>
              <w:left w:val="single" w:sz="4" w:space="0" w:color="000000"/>
              <w:bottom w:val="single" w:sz="4" w:space="0" w:color="000000"/>
              <w:right w:val="single" w:sz="4" w:space="0" w:color="000000"/>
            </w:tcBorders>
            <w:vAlign w:val="center"/>
          </w:tcPr>
          <w:p>
            <w:pPr>
              <w:pStyle w:val="Normal"/>
              <w:keepLines/>
              <w:spacing w:lineRule="auto" w:line="240" w:before="0" w:after="0"/>
              <w:ind w:left="-74" w:hanging="0"/>
              <w:jc w:val="center"/>
              <w:rPr>
                <w:bCs/>
                <w:sz w:val="21"/>
                <w:szCs w:val="21"/>
              </w:rPr>
            </w:pPr>
            <w:r>
              <w:rPr>
                <w:bCs/>
                <w:sz w:val="21"/>
                <w:szCs w:val="21"/>
              </w:rPr>
              <w:t>12</w:t>
            </w:r>
          </w:p>
        </w:tc>
        <w:tc>
          <w:tcPr>
            <w:tcW w:w="1699" w:type="dxa"/>
            <w:tcBorders>
              <w:top w:val="single" w:sz="4" w:space="0" w:color="000000"/>
              <w:left w:val="single" w:sz="4" w:space="0" w:color="000000"/>
              <w:bottom w:val="single" w:sz="4" w:space="0" w:color="000000"/>
              <w:right w:val="single" w:sz="4" w:space="0" w:color="000000"/>
            </w:tcBorders>
          </w:tcPr>
          <w:p>
            <w:pPr>
              <w:pStyle w:val="Normal"/>
              <w:keepLines/>
              <w:spacing w:lineRule="auto" w:line="240" w:before="0" w:after="0"/>
              <w:ind w:left="-74" w:hanging="0"/>
              <w:jc w:val="center"/>
              <w:rPr>
                <w:sz w:val="21"/>
                <w:szCs w:val="21"/>
              </w:rPr>
            </w:pPr>
            <w:r>
              <w:rPr>
                <w:bCs/>
                <w:sz w:val="21"/>
                <w:szCs w:val="21"/>
              </w:rPr>
              <w:t>В</w:t>
            </w:r>
          </w:p>
        </w:tc>
        <w:tc>
          <w:tcPr>
            <w:tcW w:w="706" w:type="dxa"/>
            <w:vMerge w:val="continue"/>
            <w:tcBorders>
              <w:top w:val="single" w:sz="4" w:space="0" w:color="000000"/>
              <w:left w:val="single" w:sz="4" w:space="0" w:color="000000"/>
              <w:bottom w:val="single" w:sz="4" w:space="0" w:color="000000"/>
              <w:right w:val="single" w:sz="4" w:space="0" w:color="000000"/>
            </w:tcBorders>
          </w:tcPr>
          <w:p>
            <w:pPr>
              <w:pStyle w:val="Normal"/>
              <w:keepLines/>
              <w:snapToGrid w:val="false"/>
              <w:spacing w:before="0" w:after="200"/>
              <w:jc w:val="center"/>
              <w:rPr>
                <w:bCs/>
                <w:sz w:val="21"/>
                <w:szCs w:val="21"/>
              </w:rPr>
            </w:pPr>
            <w:r>
              <w:rPr>
                <w:bCs/>
                <w:sz w:val="21"/>
                <w:szCs w:val="21"/>
              </w:rPr>
            </w:r>
          </w:p>
        </w:tc>
        <w:tc>
          <w:tcPr>
            <w:tcW w:w="709" w:type="dxa"/>
            <w:vMerge w:val="continue"/>
            <w:tcBorders>
              <w:top w:val="single" w:sz="4" w:space="0" w:color="000000"/>
              <w:left w:val="single" w:sz="4" w:space="0" w:color="000000"/>
              <w:bottom w:val="single" w:sz="4" w:space="0" w:color="000000"/>
              <w:right w:val="single" w:sz="4" w:space="0" w:color="000000"/>
            </w:tcBorders>
          </w:tcPr>
          <w:p>
            <w:pPr>
              <w:pStyle w:val="Normal"/>
              <w:keepLines/>
              <w:snapToGrid w:val="false"/>
              <w:spacing w:before="0" w:after="200"/>
              <w:jc w:val="center"/>
              <w:rPr>
                <w:bCs/>
                <w:sz w:val="21"/>
                <w:szCs w:val="21"/>
              </w:rPr>
            </w:pPr>
            <w:r>
              <w:rPr>
                <w:bCs/>
                <w:sz w:val="21"/>
                <w:szCs w:val="21"/>
              </w:rPr>
            </w:r>
          </w:p>
        </w:tc>
        <w:tc>
          <w:tcPr>
            <w:tcW w:w="1417" w:type="dxa"/>
            <w:vMerge w:val="continue"/>
            <w:tcBorders>
              <w:top w:val="single" w:sz="4" w:space="0" w:color="000000"/>
              <w:left w:val="single" w:sz="4" w:space="0" w:color="000000"/>
              <w:bottom w:val="single" w:sz="4" w:space="0" w:color="000000"/>
              <w:right w:val="single" w:sz="4" w:space="0" w:color="000000"/>
            </w:tcBorders>
          </w:tcPr>
          <w:p>
            <w:pPr>
              <w:pStyle w:val="Normal"/>
              <w:keepLines/>
              <w:snapToGrid w:val="false"/>
              <w:spacing w:before="0" w:after="200"/>
              <w:jc w:val="center"/>
              <w:rPr>
                <w:bCs/>
                <w:sz w:val="21"/>
                <w:szCs w:val="21"/>
              </w:rPr>
            </w:pPr>
            <w:r>
              <w:rPr>
                <w:bCs/>
                <w:sz w:val="21"/>
                <w:szCs w:val="21"/>
              </w:rPr>
            </w:r>
          </w:p>
        </w:tc>
        <w:tc>
          <w:tcPr>
            <w:tcW w:w="1134" w:type="dxa"/>
            <w:vMerge w:val="continue"/>
            <w:tcBorders>
              <w:top w:val="single" w:sz="4" w:space="0" w:color="000000"/>
              <w:left w:val="single" w:sz="4" w:space="0" w:color="000000"/>
              <w:bottom w:val="single" w:sz="4" w:space="0" w:color="000000"/>
              <w:right w:val="single" w:sz="4" w:space="0" w:color="000000"/>
            </w:tcBorders>
          </w:tcPr>
          <w:p>
            <w:pPr>
              <w:pStyle w:val="Normal"/>
              <w:keepLines/>
              <w:snapToGrid w:val="false"/>
              <w:spacing w:before="0" w:after="200"/>
              <w:jc w:val="center"/>
              <w:rPr>
                <w:bCs/>
                <w:sz w:val="21"/>
                <w:szCs w:val="21"/>
              </w:rPr>
            </w:pPr>
            <w:r>
              <w:rPr>
                <w:bCs/>
                <w:sz w:val="21"/>
                <w:szCs w:val="21"/>
              </w:rPr>
            </w:r>
          </w:p>
        </w:tc>
      </w:tr>
      <w:tr>
        <w:trPr>
          <w:trHeight w:val="359" w:hRule="atLeast"/>
        </w:trPr>
        <w:tc>
          <w:tcPr>
            <w:tcW w:w="534" w:type="dxa"/>
            <w:vMerge w:val="continue"/>
            <w:tcBorders>
              <w:top w:val="single" w:sz="4" w:space="0" w:color="000000"/>
              <w:left w:val="single" w:sz="4" w:space="0" w:color="000000"/>
              <w:bottom w:val="single" w:sz="4" w:space="0" w:color="000000"/>
              <w:right w:val="single" w:sz="4" w:space="0" w:color="000000"/>
            </w:tcBorders>
          </w:tcPr>
          <w:p>
            <w:pPr>
              <w:pStyle w:val="Normal"/>
              <w:keepLines/>
              <w:snapToGrid w:val="false"/>
              <w:spacing w:lineRule="auto" w:line="240" w:before="0" w:after="0"/>
              <w:jc w:val="center"/>
              <w:rPr>
                <w:bCs/>
                <w:sz w:val="21"/>
                <w:szCs w:val="21"/>
              </w:rPr>
            </w:pPr>
            <w:r>
              <w:rPr>
                <w:bCs/>
                <w:sz w:val="21"/>
                <w:szCs w:val="21"/>
              </w:rPr>
            </w:r>
          </w:p>
        </w:tc>
        <w:tc>
          <w:tcPr>
            <w:tcW w:w="1417" w:type="dxa"/>
            <w:vMerge w:val="continue"/>
            <w:tcBorders>
              <w:top w:val="single" w:sz="4" w:space="0" w:color="000000"/>
              <w:left w:val="single" w:sz="4" w:space="0" w:color="000000"/>
              <w:bottom w:val="single" w:sz="4" w:space="0" w:color="000000"/>
              <w:right w:val="single" w:sz="4" w:space="0" w:color="000000"/>
            </w:tcBorders>
          </w:tcPr>
          <w:p>
            <w:pPr>
              <w:pStyle w:val="Normal"/>
              <w:keepLines/>
              <w:snapToGrid w:val="false"/>
              <w:spacing w:lineRule="auto" w:line="240" w:before="0" w:after="0"/>
              <w:rPr>
                <w:bCs/>
                <w:sz w:val="21"/>
                <w:szCs w:val="21"/>
              </w:rPr>
            </w:pPr>
            <w:r>
              <w:rPr>
                <w:bCs/>
                <w:sz w:val="21"/>
                <w:szCs w:val="21"/>
              </w:rPr>
            </w:r>
          </w:p>
        </w:tc>
        <w:tc>
          <w:tcPr>
            <w:tcW w:w="1558" w:type="dxa"/>
            <w:vMerge w:val="continue"/>
            <w:tcBorders>
              <w:top w:val="single" w:sz="4" w:space="0" w:color="000000"/>
              <w:left w:val="single" w:sz="4" w:space="0" w:color="000000"/>
              <w:bottom w:val="single" w:sz="4" w:space="0" w:color="000000"/>
              <w:right w:val="single" w:sz="4" w:space="0" w:color="000000"/>
            </w:tcBorders>
          </w:tcPr>
          <w:p>
            <w:pPr>
              <w:pStyle w:val="Normal"/>
              <w:keepLines/>
              <w:snapToGrid w:val="false"/>
              <w:spacing w:lineRule="auto" w:line="240" w:before="0" w:after="0"/>
              <w:rPr>
                <w:bCs/>
                <w:sz w:val="21"/>
                <w:szCs w:val="21"/>
              </w:rPr>
            </w:pPr>
            <w:r>
              <w:rPr>
                <w:bCs/>
                <w:sz w:val="21"/>
                <w:szCs w:val="21"/>
              </w:rPr>
            </w:r>
          </w:p>
        </w:tc>
        <w:tc>
          <w:tcPr>
            <w:tcW w:w="1844" w:type="dxa"/>
            <w:vMerge w:val="continue"/>
            <w:tcBorders>
              <w:top w:val="single" w:sz="4" w:space="0" w:color="000000"/>
              <w:left w:val="single" w:sz="4" w:space="0" w:color="000000"/>
              <w:bottom w:val="single" w:sz="4" w:space="0" w:color="000000"/>
              <w:right w:val="single" w:sz="4" w:space="0" w:color="000000"/>
            </w:tcBorders>
          </w:tcPr>
          <w:p>
            <w:pPr>
              <w:pStyle w:val="Normal"/>
              <w:keepLines/>
              <w:snapToGrid w:val="false"/>
              <w:spacing w:lineRule="auto" w:line="240" w:before="0" w:after="0"/>
              <w:rPr>
                <w:bCs/>
                <w:sz w:val="21"/>
                <w:szCs w:val="21"/>
              </w:rPr>
            </w:pPr>
            <w:r>
              <w:rPr>
                <w:bCs/>
                <w:sz w:val="21"/>
                <w:szCs w:val="21"/>
              </w:rPr>
            </w:r>
          </w:p>
        </w:tc>
        <w:tc>
          <w:tcPr>
            <w:tcW w:w="1845" w:type="dxa"/>
            <w:tcBorders>
              <w:top w:val="single" w:sz="4" w:space="0" w:color="000000"/>
              <w:left w:val="single" w:sz="4" w:space="0" w:color="000000"/>
              <w:bottom w:val="single" w:sz="4" w:space="0" w:color="000000"/>
              <w:right w:val="single" w:sz="4" w:space="0" w:color="000000"/>
            </w:tcBorders>
            <w:vAlign w:val="center"/>
          </w:tcPr>
          <w:p>
            <w:pPr>
              <w:pStyle w:val="Normal"/>
              <w:keepLines/>
              <w:spacing w:lineRule="auto" w:line="240" w:before="0" w:after="0"/>
              <w:ind w:left="-44" w:hanging="0"/>
              <w:rPr>
                <w:bCs/>
                <w:sz w:val="21"/>
                <w:szCs w:val="21"/>
              </w:rPr>
            </w:pPr>
            <w:r>
              <w:rPr>
                <w:sz w:val="21"/>
                <w:szCs w:val="21"/>
                <w:shd w:fill="FFFFFF" w:val="clear"/>
              </w:rPr>
              <w:t>Типоразмер</w:t>
            </w:r>
          </w:p>
        </w:tc>
        <w:tc>
          <w:tcPr>
            <w:tcW w:w="1843" w:type="dxa"/>
            <w:tcBorders>
              <w:top w:val="single" w:sz="4" w:space="0" w:color="000000"/>
              <w:left w:val="single" w:sz="4" w:space="0" w:color="000000"/>
              <w:bottom w:val="single" w:sz="4" w:space="0" w:color="000000"/>
              <w:right w:val="single" w:sz="4" w:space="0" w:color="000000"/>
            </w:tcBorders>
            <w:vAlign w:val="center"/>
          </w:tcPr>
          <w:p>
            <w:pPr>
              <w:pStyle w:val="Normal"/>
              <w:keepLines/>
              <w:spacing w:lineRule="auto" w:line="240" w:before="0" w:after="0"/>
              <w:ind w:left="-74" w:hanging="0"/>
              <w:jc w:val="center"/>
              <w:rPr>
                <w:bCs/>
                <w:sz w:val="21"/>
                <w:szCs w:val="21"/>
              </w:rPr>
            </w:pPr>
            <w:r>
              <w:rPr>
                <w:sz w:val="21"/>
                <w:szCs w:val="21"/>
                <w:shd w:fill="FFFFFF" w:val="clear"/>
              </w:rPr>
              <w:t>«Европейский»</w:t>
            </w:r>
          </w:p>
        </w:tc>
        <w:tc>
          <w:tcPr>
            <w:tcW w:w="1699" w:type="dxa"/>
            <w:tcBorders>
              <w:top w:val="single" w:sz="4" w:space="0" w:color="000000"/>
              <w:left w:val="single" w:sz="4" w:space="0" w:color="000000"/>
              <w:bottom w:val="single" w:sz="4" w:space="0" w:color="000000"/>
              <w:right w:val="single" w:sz="4" w:space="0" w:color="000000"/>
            </w:tcBorders>
            <w:vAlign w:val="center"/>
          </w:tcPr>
          <w:p>
            <w:pPr>
              <w:pStyle w:val="Normal"/>
              <w:keepLines/>
              <w:snapToGrid w:val="false"/>
              <w:spacing w:lineRule="auto" w:line="240" w:before="0" w:after="0"/>
              <w:ind w:left="-74" w:hanging="0"/>
              <w:jc w:val="center"/>
              <w:rPr>
                <w:bCs/>
                <w:sz w:val="21"/>
                <w:szCs w:val="21"/>
              </w:rPr>
            </w:pPr>
            <w:r>
              <w:rPr>
                <w:bCs/>
                <w:sz w:val="21"/>
                <w:szCs w:val="21"/>
              </w:rPr>
            </w:r>
          </w:p>
        </w:tc>
        <w:tc>
          <w:tcPr>
            <w:tcW w:w="706" w:type="dxa"/>
            <w:vMerge w:val="continue"/>
            <w:tcBorders>
              <w:top w:val="single" w:sz="4" w:space="0" w:color="000000"/>
              <w:left w:val="single" w:sz="4" w:space="0" w:color="000000"/>
              <w:bottom w:val="single" w:sz="4" w:space="0" w:color="000000"/>
              <w:right w:val="single" w:sz="4" w:space="0" w:color="000000"/>
            </w:tcBorders>
          </w:tcPr>
          <w:p>
            <w:pPr>
              <w:pStyle w:val="Normal"/>
              <w:keepLines/>
              <w:snapToGrid w:val="false"/>
              <w:spacing w:before="0" w:after="200"/>
              <w:jc w:val="center"/>
              <w:rPr>
                <w:bCs/>
                <w:sz w:val="21"/>
                <w:szCs w:val="21"/>
              </w:rPr>
            </w:pPr>
            <w:r>
              <w:rPr>
                <w:bCs/>
                <w:sz w:val="21"/>
                <w:szCs w:val="21"/>
              </w:rPr>
            </w:r>
          </w:p>
        </w:tc>
        <w:tc>
          <w:tcPr>
            <w:tcW w:w="709" w:type="dxa"/>
            <w:vMerge w:val="continue"/>
            <w:tcBorders>
              <w:top w:val="single" w:sz="4" w:space="0" w:color="000000"/>
              <w:left w:val="single" w:sz="4" w:space="0" w:color="000000"/>
              <w:bottom w:val="single" w:sz="4" w:space="0" w:color="000000"/>
              <w:right w:val="single" w:sz="4" w:space="0" w:color="000000"/>
            </w:tcBorders>
          </w:tcPr>
          <w:p>
            <w:pPr>
              <w:pStyle w:val="Normal"/>
              <w:keepLines/>
              <w:snapToGrid w:val="false"/>
              <w:spacing w:before="0" w:after="200"/>
              <w:jc w:val="center"/>
              <w:rPr>
                <w:bCs/>
                <w:sz w:val="21"/>
                <w:szCs w:val="21"/>
              </w:rPr>
            </w:pPr>
            <w:r>
              <w:rPr>
                <w:bCs/>
                <w:sz w:val="21"/>
                <w:szCs w:val="21"/>
              </w:rPr>
            </w:r>
          </w:p>
        </w:tc>
        <w:tc>
          <w:tcPr>
            <w:tcW w:w="1417" w:type="dxa"/>
            <w:vMerge w:val="continue"/>
            <w:tcBorders>
              <w:top w:val="single" w:sz="4" w:space="0" w:color="000000"/>
              <w:left w:val="single" w:sz="4" w:space="0" w:color="000000"/>
              <w:bottom w:val="single" w:sz="4" w:space="0" w:color="000000"/>
              <w:right w:val="single" w:sz="4" w:space="0" w:color="000000"/>
            </w:tcBorders>
          </w:tcPr>
          <w:p>
            <w:pPr>
              <w:pStyle w:val="Normal"/>
              <w:keepLines/>
              <w:snapToGrid w:val="false"/>
              <w:spacing w:before="0" w:after="200"/>
              <w:jc w:val="center"/>
              <w:rPr>
                <w:bCs/>
                <w:sz w:val="21"/>
                <w:szCs w:val="21"/>
              </w:rPr>
            </w:pPr>
            <w:r>
              <w:rPr>
                <w:bCs/>
                <w:sz w:val="21"/>
                <w:szCs w:val="21"/>
              </w:rPr>
            </w:r>
          </w:p>
        </w:tc>
        <w:tc>
          <w:tcPr>
            <w:tcW w:w="1134" w:type="dxa"/>
            <w:vMerge w:val="continue"/>
            <w:tcBorders>
              <w:top w:val="single" w:sz="4" w:space="0" w:color="000000"/>
              <w:left w:val="single" w:sz="4" w:space="0" w:color="000000"/>
              <w:bottom w:val="single" w:sz="4" w:space="0" w:color="000000"/>
              <w:right w:val="single" w:sz="4" w:space="0" w:color="000000"/>
            </w:tcBorders>
          </w:tcPr>
          <w:p>
            <w:pPr>
              <w:pStyle w:val="Normal"/>
              <w:keepLines/>
              <w:snapToGrid w:val="false"/>
              <w:spacing w:before="0" w:after="200"/>
              <w:jc w:val="center"/>
              <w:rPr>
                <w:bCs/>
                <w:sz w:val="21"/>
                <w:szCs w:val="21"/>
              </w:rPr>
            </w:pPr>
            <w:r>
              <w:rPr>
                <w:bCs/>
                <w:sz w:val="21"/>
                <w:szCs w:val="21"/>
              </w:rPr>
            </w:r>
          </w:p>
        </w:tc>
      </w:tr>
      <w:tr>
        <w:trPr>
          <w:trHeight w:val="342" w:hRule="atLeast"/>
        </w:trPr>
        <w:tc>
          <w:tcPr>
            <w:tcW w:w="534" w:type="dxa"/>
            <w:vMerge w:val="continue"/>
            <w:tcBorders>
              <w:top w:val="single" w:sz="4" w:space="0" w:color="000000"/>
              <w:left w:val="single" w:sz="4" w:space="0" w:color="000000"/>
              <w:bottom w:val="single" w:sz="4" w:space="0" w:color="000000"/>
              <w:right w:val="single" w:sz="4" w:space="0" w:color="000000"/>
            </w:tcBorders>
          </w:tcPr>
          <w:p>
            <w:pPr>
              <w:pStyle w:val="Normal"/>
              <w:keepLines/>
              <w:snapToGrid w:val="false"/>
              <w:spacing w:lineRule="auto" w:line="240" w:before="0" w:after="0"/>
              <w:jc w:val="center"/>
              <w:rPr>
                <w:bCs/>
                <w:sz w:val="21"/>
                <w:szCs w:val="21"/>
              </w:rPr>
            </w:pPr>
            <w:r>
              <w:rPr>
                <w:bCs/>
                <w:sz w:val="21"/>
                <w:szCs w:val="21"/>
              </w:rPr>
            </w:r>
          </w:p>
        </w:tc>
        <w:tc>
          <w:tcPr>
            <w:tcW w:w="1417" w:type="dxa"/>
            <w:vMerge w:val="continue"/>
            <w:tcBorders>
              <w:top w:val="single" w:sz="4" w:space="0" w:color="000000"/>
              <w:left w:val="single" w:sz="4" w:space="0" w:color="000000"/>
              <w:bottom w:val="single" w:sz="4" w:space="0" w:color="000000"/>
              <w:right w:val="single" w:sz="4" w:space="0" w:color="000000"/>
            </w:tcBorders>
          </w:tcPr>
          <w:p>
            <w:pPr>
              <w:pStyle w:val="Normal"/>
              <w:keepLines/>
              <w:snapToGrid w:val="false"/>
              <w:spacing w:lineRule="auto" w:line="240" w:before="0" w:after="0"/>
              <w:rPr>
                <w:bCs/>
                <w:sz w:val="21"/>
                <w:szCs w:val="21"/>
              </w:rPr>
            </w:pPr>
            <w:r>
              <w:rPr>
                <w:bCs/>
                <w:sz w:val="21"/>
                <w:szCs w:val="21"/>
              </w:rPr>
            </w:r>
          </w:p>
        </w:tc>
        <w:tc>
          <w:tcPr>
            <w:tcW w:w="1558" w:type="dxa"/>
            <w:vMerge w:val="continue"/>
            <w:tcBorders>
              <w:top w:val="single" w:sz="4" w:space="0" w:color="000000"/>
              <w:left w:val="single" w:sz="4" w:space="0" w:color="000000"/>
              <w:bottom w:val="single" w:sz="4" w:space="0" w:color="000000"/>
              <w:right w:val="single" w:sz="4" w:space="0" w:color="000000"/>
            </w:tcBorders>
          </w:tcPr>
          <w:p>
            <w:pPr>
              <w:pStyle w:val="Normal"/>
              <w:keepLines/>
              <w:snapToGrid w:val="false"/>
              <w:spacing w:lineRule="auto" w:line="240" w:before="0" w:after="0"/>
              <w:rPr>
                <w:bCs/>
                <w:sz w:val="21"/>
                <w:szCs w:val="21"/>
              </w:rPr>
            </w:pPr>
            <w:r>
              <w:rPr>
                <w:bCs/>
                <w:sz w:val="21"/>
                <w:szCs w:val="21"/>
              </w:rPr>
            </w:r>
          </w:p>
        </w:tc>
        <w:tc>
          <w:tcPr>
            <w:tcW w:w="1844" w:type="dxa"/>
            <w:vMerge w:val="continue"/>
            <w:tcBorders>
              <w:top w:val="single" w:sz="4" w:space="0" w:color="000000"/>
              <w:left w:val="single" w:sz="4" w:space="0" w:color="000000"/>
              <w:bottom w:val="single" w:sz="4" w:space="0" w:color="000000"/>
              <w:right w:val="single" w:sz="4" w:space="0" w:color="000000"/>
            </w:tcBorders>
          </w:tcPr>
          <w:p>
            <w:pPr>
              <w:pStyle w:val="Normal"/>
              <w:keepLines/>
              <w:snapToGrid w:val="false"/>
              <w:spacing w:lineRule="auto" w:line="240" w:before="0" w:after="0"/>
              <w:rPr>
                <w:bCs/>
                <w:sz w:val="21"/>
                <w:szCs w:val="21"/>
              </w:rPr>
            </w:pPr>
            <w:r>
              <w:rPr>
                <w:bCs/>
                <w:sz w:val="21"/>
                <w:szCs w:val="21"/>
              </w:rPr>
            </w:r>
          </w:p>
        </w:tc>
        <w:tc>
          <w:tcPr>
            <w:tcW w:w="1845" w:type="dxa"/>
            <w:tcBorders>
              <w:top w:val="single" w:sz="4" w:space="0" w:color="000000"/>
              <w:left w:val="single" w:sz="4" w:space="0" w:color="000000"/>
              <w:bottom w:val="single" w:sz="4" w:space="0" w:color="000000"/>
              <w:right w:val="single" w:sz="4" w:space="0" w:color="000000"/>
            </w:tcBorders>
            <w:vAlign w:val="center"/>
          </w:tcPr>
          <w:p>
            <w:pPr>
              <w:pStyle w:val="Normal"/>
              <w:keepLines/>
              <w:spacing w:lineRule="auto" w:line="240" w:before="0" w:after="0"/>
              <w:ind w:left="-44" w:hanging="0"/>
              <w:rPr>
                <w:bCs/>
                <w:sz w:val="21"/>
                <w:szCs w:val="21"/>
              </w:rPr>
            </w:pPr>
            <w:r>
              <w:rPr>
                <w:bCs/>
                <w:sz w:val="21"/>
                <w:szCs w:val="21"/>
              </w:rPr>
              <w:t>Длина</w:t>
            </w:r>
          </w:p>
        </w:tc>
        <w:tc>
          <w:tcPr>
            <w:tcW w:w="1843" w:type="dxa"/>
            <w:tcBorders>
              <w:top w:val="single" w:sz="4" w:space="0" w:color="000000"/>
              <w:left w:val="single" w:sz="4" w:space="0" w:color="000000"/>
              <w:bottom w:val="single" w:sz="4" w:space="0" w:color="000000"/>
              <w:right w:val="single" w:sz="4" w:space="0" w:color="000000"/>
            </w:tcBorders>
            <w:vAlign w:val="center"/>
          </w:tcPr>
          <w:p>
            <w:pPr>
              <w:pStyle w:val="Normal"/>
              <w:keepLines/>
              <w:spacing w:lineRule="auto" w:line="240" w:before="0" w:after="0"/>
              <w:ind w:left="-74" w:hanging="0"/>
              <w:jc w:val="center"/>
              <w:rPr>
                <w:bCs/>
                <w:sz w:val="21"/>
                <w:szCs w:val="21"/>
              </w:rPr>
            </w:pPr>
            <w:r>
              <w:rPr>
                <w:bCs/>
                <w:sz w:val="21"/>
                <w:szCs w:val="21"/>
              </w:rPr>
              <w:t xml:space="preserve">≥ </w:t>
            </w:r>
            <w:r>
              <w:rPr>
                <w:bCs/>
                <w:sz w:val="21"/>
                <w:szCs w:val="21"/>
              </w:rPr>
              <w:t>340  и  &lt; 360</w:t>
            </w:r>
          </w:p>
        </w:tc>
        <w:tc>
          <w:tcPr>
            <w:tcW w:w="1699" w:type="dxa"/>
            <w:tcBorders>
              <w:top w:val="single" w:sz="4" w:space="0" w:color="000000"/>
              <w:left w:val="single" w:sz="4" w:space="0" w:color="000000"/>
              <w:bottom w:val="single" w:sz="4" w:space="0" w:color="000000"/>
              <w:right w:val="single" w:sz="4" w:space="0" w:color="000000"/>
            </w:tcBorders>
            <w:vAlign w:val="center"/>
          </w:tcPr>
          <w:p>
            <w:pPr>
              <w:pStyle w:val="Normal"/>
              <w:keepLines/>
              <w:spacing w:lineRule="auto" w:line="240" w:before="0" w:after="0"/>
              <w:ind w:left="-74" w:hanging="0"/>
              <w:jc w:val="center"/>
              <w:rPr>
                <w:bCs/>
                <w:sz w:val="21"/>
                <w:szCs w:val="21"/>
              </w:rPr>
            </w:pPr>
            <w:r>
              <w:rPr>
                <w:bCs/>
                <w:sz w:val="21"/>
                <w:szCs w:val="21"/>
              </w:rPr>
              <w:t>мм</w:t>
            </w:r>
          </w:p>
        </w:tc>
        <w:tc>
          <w:tcPr>
            <w:tcW w:w="706" w:type="dxa"/>
            <w:vMerge w:val="continue"/>
            <w:tcBorders>
              <w:top w:val="single" w:sz="4" w:space="0" w:color="000000"/>
              <w:left w:val="single" w:sz="4" w:space="0" w:color="000000"/>
              <w:bottom w:val="single" w:sz="4" w:space="0" w:color="000000"/>
              <w:right w:val="single" w:sz="4" w:space="0" w:color="000000"/>
            </w:tcBorders>
          </w:tcPr>
          <w:p>
            <w:pPr>
              <w:pStyle w:val="Normal"/>
              <w:keepLines/>
              <w:snapToGrid w:val="false"/>
              <w:spacing w:before="0" w:after="200"/>
              <w:jc w:val="center"/>
              <w:rPr>
                <w:bCs/>
                <w:sz w:val="21"/>
                <w:szCs w:val="21"/>
              </w:rPr>
            </w:pPr>
            <w:r>
              <w:rPr>
                <w:bCs/>
                <w:sz w:val="21"/>
                <w:szCs w:val="21"/>
              </w:rPr>
            </w:r>
          </w:p>
        </w:tc>
        <w:tc>
          <w:tcPr>
            <w:tcW w:w="709" w:type="dxa"/>
            <w:vMerge w:val="continue"/>
            <w:tcBorders>
              <w:top w:val="single" w:sz="4" w:space="0" w:color="000000"/>
              <w:left w:val="single" w:sz="4" w:space="0" w:color="000000"/>
              <w:bottom w:val="single" w:sz="4" w:space="0" w:color="000000"/>
              <w:right w:val="single" w:sz="4" w:space="0" w:color="000000"/>
            </w:tcBorders>
          </w:tcPr>
          <w:p>
            <w:pPr>
              <w:pStyle w:val="Normal"/>
              <w:keepLines/>
              <w:snapToGrid w:val="false"/>
              <w:spacing w:before="0" w:after="200"/>
              <w:jc w:val="center"/>
              <w:rPr>
                <w:bCs/>
                <w:sz w:val="21"/>
                <w:szCs w:val="21"/>
              </w:rPr>
            </w:pPr>
            <w:r>
              <w:rPr>
                <w:bCs/>
                <w:sz w:val="21"/>
                <w:szCs w:val="21"/>
              </w:rPr>
            </w:r>
          </w:p>
        </w:tc>
        <w:tc>
          <w:tcPr>
            <w:tcW w:w="1417" w:type="dxa"/>
            <w:vMerge w:val="continue"/>
            <w:tcBorders>
              <w:top w:val="single" w:sz="4" w:space="0" w:color="000000"/>
              <w:left w:val="single" w:sz="4" w:space="0" w:color="000000"/>
              <w:bottom w:val="single" w:sz="4" w:space="0" w:color="000000"/>
              <w:right w:val="single" w:sz="4" w:space="0" w:color="000000"/>
            </w:tcBorders>
          </w:tcPr>
          <w:p>
            <w:pPr>
              <w:pStyle w:val="Normal"/>
              <w:keepLines/>
              <w:snapToGrid w:val="false"/>
              <w:spacing w:before="0" w:after="200"/>
              <w:jc w:val="center"/>
              <w:rPr>
                <w:bCs/>
                <w:sz w:val="21"/>
                <w:szCs w:val="21"/>
              </w:rPr>
            </w:pPr>
            <w:r>
              <w:rPr>
                <w:bCs/>
                <w:sz w:val="21"/>
                <w:szCs w:val="21"/>
              </w:rPr>
            </w:r>
          </w:p>
        </w:tc>
        <w:tc>
          <w:tcPr>
            <w:tcW w:w="1134" w:type="dxa"/>
            <w:vMerge w:val="continue"/>
            <w:tcBorders>
              <w:top w:val="single" w:sz="4" w:space="0" w:color="000000"/>
              <w:left w:val="single" w:sz="4" w:space="0" w:color="000000"/>
              <w:bottom w:val="single" w:sz="4" w:space="0" w:color="000000"/>
              <w:right w:val="single" w:sz="4" w:space="0" w:color="000000"/>
            </w:tcBorders>
          </w:tcPr>
          <w:p>
            <w:pPr>
              <w:pStyle w:val="Normal"/>
              <w:keepLines/>
              <w:snapToGrid w:val="false"/>
              <w:spacing w:before="0" w:after="200"/>
              <w:jc w:val="center"/>
              <w:rPr>
                <w:bCs/>
                <w:sz w:val="21"/>
                <w:szCs w:val="21"/>
              </w:rPr>
            </w:pPr>
            <w:r>
              <w:rPr>
                <w:bCs/>
                <w:sz w:val="21"/>
                <w:szCs w:val="21"/>
              </w:rPr>
            </w:r>
          </w:p>
        </w:tc>
      </w:tr>
      <w:tr>
        <w:trPr>
          <w:trHeight w:val="351" w:hRule="atLeast"/>
        </w:trPr>
        <w:tc>
          <w:tcPr>
            <w:tcW w:w="534" w:type="dxa"/>
            <w:vMerge w:val="continue"/>
            <w:tcBorders>
              <w:top w:val="single" w:sz="4" w:space="0" w:color="000000"/>
              <w:left w:val="single" w:sz="4" w:space="0" w:color="000000"/>
              <w:bottom w:val="single" w:sz="4" w:space="0" w:color="000000"/>
              <w:right w:val="single" w:sz="4" w:space="0" w:color="000000"/>
            </w:tcBorders>
          </w:tcPr>
          <w:p>
            <w:pPr>
              <w:pStyle w:val="Normal"/>
              <w:keepLines/>
              <w:snapToGrid w:val="false"/>
              <w:spacing w:lineRule="auto" w:line="240" w:before="0" w:after="0"/>
              <w:jc w:val="center"/>
              <w:rPr>
                <w:bCs/>
                <w:sz w:val="21"/>
                <w:szCs w:val="21"/>
              </w:rPr>
            </w:pPr>
            <w:r>
              <w:rPr>
                <w:bCs/>
                <w:sz w:val="21"/>
                <w:szCs w:val="21"/>
              </w:rPr>
            </w:r>
          </w:p>
        </w:tc>
        <w:tc>
          <w:tcPr>
            <w:tcW w:w="1417" w:type="dxa"/>
            <w:vMerge w:val="continue"/>
            <w:tcBorders>
              <w:top w:val="single" w:sz="4" w:space="0" w:color="000000"/>
              <w:left w:val="single" w:sz="4" w:space="0" w:color="000000"/>
              <w:bottom w:val="single" w:sz="4" w:space="0" w:color="000000"/>
              <w:right w:val="single" w:sz="4" w:space="0" w:color="000000"/>
            </w:tcBorders>
          </w:tcPr>
          <w:p>
            <w:pPr>
              <w:pStyle w:val="Normal"/>
              <w:keepLines/>
              <w:snapToGrid w:val="false"/>
              <w:spacing w:lineRule="auto" w:line="240" w:before="0" w:after="0"/>
              <w:rPr>
                <w:bCs/>
                <w:sz w:val="21"/>
                <w:szCs w:val="21"/>
              </w:rPr>
            </w:pPr>
            <w:r>
              <w:rPr>
                <w:bCs/>
                <w:sz w:val="21"/>
                <w:szCs w:val="21"/>
              </w:rPr>
            </w:r>
          </w:p>
        </w:tc>
        <w:tc>
          <w:tcPr>
            <w:tcW w:w="1558" w:type="dxa"/>
            <w:vMerge w:val="continue"/>
            <w:tcBorders>
              <w:top w:val="single" w:sz="4" w:space="0" w:color="000000"/>
              <w:left w:val="single" w:sz="4" w:space="0" w:color="000000"/>
              <w:bottom w:val="single" w:sz="4" w:space="0" w:color="000000"/>
              <w:right w:val="single" w:sz="4" w:space="0" w:color="000000"/>
            </w:tcBorders>
          </w:tcPr>
          <w:p>
            <w:pPr>
              <w:pStyle w:val="Normal"/>
              <w:keepLines/>
              <w:snapToGrid w:val="false"/>
              <w:spacing w:lineRule="auto" w:line="240" w:before="0" w:after="0"/>
              <w:rPr>
                <w:bCs/>
                <w:sz w:val="21"/>
                <w:szCs w:val="21"/>
              </w:rPr>
            </w:pPr>
            <w:r>
              <w:rPr>
                <w:bCs/>
                <w:sz w:val="21"/>
                <w:szCs w:val="21"/>
              </w:rPr>
            </w:r>
          </w:p>
        </w:tc>
        <w:tc>
          <w:tcPr>
            <w:tcW w:w="1844" w:type="dxa"/>
            <w:vMerge w:val="continue"/>
            <w:tcBorders>
              <w:top w:val="single" w:sz="4" w:space="0" w:color="000000"/>
              <w:left w:val="single" w:sz="4" w:space="0" w:color="000000"/>
              <w:bottom w:val="single" w:sz="4" w:space="0" w:color="000000"/>
              <w:right w:val="single" w:sz="4" w:space="0" w:color="000000"/>
            </w:tcBorders>
          </w:tcPr>
          <w:p>
            <w:pPr>
              <w:pStyle w:val="Normal"/>
              <w:keepLines/>
              <w:snapToGrid w:val="false"/>
              <w:spacing w:lineRule="auto" w:line="240" w:before="0" w:after="0"/>
              <w:rPr>
                <w:bCs/>
                <w:sz w:val="21"/>
                <w:szCs w:val="21"/>
              </w:rPr>
            </w:pPr>
            <w:r>
              <w:rPr>
                <w:bCs/>
                <w:sz w:val="21"/>
                <w:szCs w:val="21"/>
              </w:rPr>
            </w:r>
          </w:p>
        </w:tc>
        <w:tc>
          <w:tcPr>
            <w:tcW w:w="1845" w:type="dxa"/>
            <w:tcBorders>
              <w:top w:val="single" w:sz="4" w:space="0" w:color="000000"/>
              <w:left w:val="single" w:sz="4" w:space="0" w:color="000000"/>
              <w:bottom w:val="single" w:sz="4" w:space="0" w:color="000000"/>
              <w:right w:val="single" w:sz="4" w:space="0" w:color="000000"/>
            </w:tcBorders>
            <w:vAlign w:val="center"/>
          </w:tcPr>
          <w:p>
            <w:pPr>
              <w:pStyle w:val="Normal"/>
              <w:keepLines/>
              <w:spacing w:lineRule="auto" w:line="240" w:before="0" w:after="0"/>
              <w:ind w:left="-44" w:hanging="0"/>
              <w:rPr>
                <w:bCs/>
                <w:sz w:val="21"/>
                <w:szCs w:val="21"/>
              </w:rPr>
            </w:pPr>
            <w:r>
              <w:rPr>
                <w:bCs/>
                <w:sz w:val="21"/>
                <w:szCs w:val="21"/>
              </w:rPr>
              <w:t>Ширина</w:t>
            </w:r>
          </w:p>
        </w:tc>
        <w:tc>
          <w:tcPr>
            <w:tcW w:w="1843" w:type="dxa"/>
            <w:tcBorders>
              <w:top w:val="single" w:sz="4" w:space="0" w:color="000000"/>
              <w:left w:val="single" w:sz="4" w:space="0" w:color="000000"/>
              <w:bottom w:val="single" w:sz="4" w:space="0" w:color="000000"/>
              <w:right w:val="single" w:sz="4" w:space="0" w:color="000000"/>
            </w:tcBorders>
            <w:vAlign w:val="center"/>
          </w:tcPr>
          <w:p>
            <w:pPr>
              <w:pStyle w:val="Normal"/>
              <w:keepLines/>
              <w:spacing w:lineRule="auto" w:line="240" w:before="0" w:after="0"/>
              <w:ind w:left="-74" w:hanging="0"/>
              <w:jc w:val="center"/>
              <w:rPr>
                <w:bCs/>
                <w:sz w:val="21"/>
                <w:szCs w:val="21"/>
              </w:rPr>
            </w:pPr>
            <w:r>
              <w:rPr>
                <w:bCs/>
                <w:sz w:val="21"/>
                <w:szCs w:val="21"/>
              </w:rPr>
              <w:t xml:space="preserve">≥ </w:t>
            </w:r>
            <w:r>
              <w:rPr>
                <w:bCs/>
                <w:sz w:val="21"/>
                <w:szCs w:val="21"/>
              </w:rPr>
              <w:t>170  и  &lt; 180</w:t>
            </w:r>
          </w:p>
        </w:tc>
        <w:tc>
          <w:tcPr>
            <w:tcW w:w="1699" w:type="dxa"/>
            <w:tcBorders>
              <w:top w:val="single" w:sz="4" w:space="0" w:color="000000"/>
              <w:left w:val="single" w:sz="4" w:space="0" w:color="000000"/>
              <w:bottom w:val="single" w:sz="4" w:space="0" w:color="000000"/>
              <w:right w:val="single" w:sz="4" w:space="0" w:color="000000"/>
            </w:tcBorders>
            <w:vAlign w:val="center"/>
          </w:tcPr>
          <w:p>
            <w:pPr>
              <w:pStyle w:val="Normal"/>
              <w:keepLines/>
              <w:spacing w:lineRule="auto" w:line="240" w:before="0" w:after="0"/>
              <w:ind w:left="-74" w:hanging="0"/>
              <w:jc w:val="center"/>
              <w:rPr>
                <w:sz w:val="21"/>
                <w:szCs w:val="21"/>
              </w:rPr>
            </w:pPr>
            <w:r>
              <w:rPr>
                <w:bCs/>
                <w:sz w:val="21"/>
                <w:szCs w:val="21"/>
              </w:rPr>
              <w:t>мм</w:t>
            </w:r>
          </w:p>
        </w:tc>
        <w:tc>
          <w:tcPr>
            <w:tcW w:w="706" w:type="dxa"/>
            <w:vMerge w:val="continue"/>
            <w:tcBorders>
              <w:top w:val="single" w:sz="4" w:space="0" w:color="000000"/>
              <w:left w:val="single" w:sz="4" w:space="0" w:color="000000"/>
              <w:bottom w:val="single" w:sz="4" w:space="0" w:color="000000"/>
              <w:right w:val="single" w:sz="4" w:space="0" w:color="000000"/>
            </w:tcBorders>
          </w:tcPr>
          <w:p>
            <w:pPr>
              <w:pStyle w:val="Normal"/>
              <w:keepLines/>
              <w:snapToGrid w:val="false"/>
              <w:spacing w:before="0" w:after="200"/>
              <w:jc w:val="center"/>
              <w:rPr>
                <w:bCs/>
                <w:sz w:val="21"/>
                <w:szCs w:val="21"/>
              </w:rPr>
            </w:pPr>
            <w:r>
              <w:rPr>
                <w:bCs/>
                <w:sz w:val="21"/>
                <w:szCs w:val="21"/>
              </w:rPr>
            </w:r>
          </w:p>
        </w:tc>
        <w:tc>
          <w:tcPr>
            <w:tcW w:w="709" w:type="dxa"/>
            <w:vMerge w:val="continue"/>
            <w:tcBorders>
              <w:top w:val="single" w:sz="4" w:space="0" w:color="000000"/>
              <w:left w:val="single" w:sz="4" w:space="0" w:color="000000"/>
              <w:bottom w:val="single" w:sz="4" w:space="0" w:color="000000"/>
              <w:right w:val="single" w:sz="4" w:space="0" w:color="000000"/>
            </w:tcBorders>
          </w:tcPr>
          <w:p>
            <w:pPr>
              <w:pStyle w:val="Normal"/>
              <w:keepLines/>
              <w:snapToGrid w:val="false"/>
              <w:spacing w:before="0" w:after="200"/>
              <w:jc w:val="center"/>
              <w:rPr>
                <w:bCs/>
                <w:sz w:val="21"/>
                <w:szCs w:val="21"/>
              </w:rPr>
            </w:pPr>
            <w:r>
              <w:rPr>
                <w:bCs/>
                <w:sz w:val="21"/>
                <w:szCs w:val="21"/>
              </w:rPr>
            </w:r>
          </w:p>
        </w:tc>
        <w:tc>
          <w:tcPr>
            <w:tcW w:w="1417" w:type="dxa"/>
            <w:vMerge w:val="continue"/>
            <w:tcBorders>
              <w:top w:val="single" w:sz="4" w:space="0" w:color="000000"/>
              <w:left w:val="single" w:sz="4" w:space="0" w:color="000000"/>
              <w:bottom w:val="single" w:sz="4" w:space="0" w:color="000000"/>
              <w:right w:val="single" w:sz="4" w:space="0" w:color="000000"/>
            </w:tcBorders>
          </w:tcPr>
          <w:p>
            <w:pPr>
              <w:pStyle w:val="Normal"/>
              <w:keepLines/>
              <w:snapToGrid w:val="false"/>
              <w:spacing w:before="0" w:after="200"/>
              <w:jc w:val="center"/>
              <w:rPr>
                <w:bCs/>
                <w:sz w:val="21"/>
                <w:szCs w:val="21"/>
              </w:rPr>
            </w:pPr>
            <w:r>
              <w:rPr>
                <w:bCs/>
                <w:sz w:val="21"/>
                <w:szCs w:val="21"/>
              </w:rPr>
            </w:r>
          </w:p>
        </w:tc>
        <w:tc>
          <w:tcPr>
            <w:tcW w:w="1134" w:type="dxa"/>
            <w:vMerge w:val="continue"/>
            <w:tcBorders>
              <w:top w:val="single" w:sz="4" w:space="0" w:color="000000"/>
              <w:left w:val="single" w:sz="4" w:space="0" w:color="000000"/>
              <w:bottom w:val="single" w:sz="4" w:space="0" w:color="000000"/>
              <w:right w:val="single" w:sz="4" w:space="0" w:color="000000"/>
            </w:tcBorders>
          </w:tcPr>
          <w:p>
            <w:pPr>
              <w:pStyle w:val="Normal"/>
              <w:keepLines/>
              <w:snapToGrid w:val="false"/>
              <w:spacing w:before="0" w:after="200"/>
              <w:jc w:val="center"/>
              <w:rPr>
                <w:bCs/>
                <w:sz w:val="21"/>
                <w:szCs w:val="21"/>
              </w:rPr>
            </w:pPr>
            <w:r>
              <w:rPr>
                <w:bCs/>
                <w:sz w:val="21"/>
                <w:szCs w:val="21"/>
              </w:rPr>
            </w:r>
          </w:p>
        </w:tc>
      </w:tr>
      <w:tr>
        <w:trPr>
          <w:trHeight w:val="347" w:hRule="atLeast"/>
        </w:trPr>
        <w:tc>
          <w:tcPr>
            <w:tcW w:w="534" w:type="dxa"/>
            <w:vMerge w:val="continue"/>
            <w:tcBorders>
              <w:top w:val="single" w:sz="4" w:space="0" w:color="000000"/>
              <w:left w:val="single" w:sz="4" w:space="0" w:color="000000"/>
              <w:bottom w:val="single" w:sz="4" w:space="0" w:color="000000"/>
              <w:right w:val="single" w:sz="4" w:space="0" w:color="000000"/>
            </w:tcBorders>
          </w:tcPr>
          <w:p>
            <w:pPr>
              <w:pStyle w:val="Normal"/>
              <w:keepLines/>
              <w:snapToGrid w:val="false"/>
              <w:spacing w:lineRule="auto" w:line="240" w:before="0" w:after="0"/>
              <w:jc w:val="center"/>
              <w:rPr>
                <w:bCs/>
                <w:sz w:val="21"/>
                <w:szCs w:val="21"/>
              </w:rPr>
            </w:pPr>
            <w:r>
              <w:rPr>
                <w:bCs/>
                <w:sz w:val="21"/>
                <w:szCs w:val="21"/>
              </w:rPr>
            </w:r>
          </w:p>
        </w:tc>
        <w:tc>
          <w:tcPr>
            <w:tcW w:w="1417" w:type="dxa"/>
            <w:vMerge w:val="continue"/>
            <w:tcBorders>
              <w:top w:val="single" w:sz="4" w:space="0" w:color="000000"/>
              <w:left w:val="single" w:sz="4" w:space="0" w:color="000000"/>
              <w:bottom w:val="single" w:sz="4" w:space="0" w:color="000000"/>
              <w:right w:val="single" w:sz="4" w:space="0" w:color="000000"/>
            </w:tcBorders>
          </w:tcPr>
          <w:p>
            <w:pPr>
              <w:pStyle w:val="Normal"/>
              <w:keepLines/>
              <w:snapToGrid w:val="false"/>
              <w:spacing w:lineRule="auto" w:line="240" w:before="0" w:after="0"/>
              <w:rPr>
                <w:bCs/>
                <w:sz w:val="21"/>
                <w:szCs w:val="21"/>
              </w:rPr>
            </w:pPr>
            <w:r>
              <w:rPr>
                <w:bCs/>
                <w:sz w:val="21"/>
                <w:szCs w:val="21"/>
              </w:rPr>
            </w:r>
          </w:p>
        </w:tc>
        <w:tc>
          <w:tcPr>
            <w:tcW w:w="1558" w:type="dxa"/>
            <w:vMerge w:val="continue"/>
            <w:tcBorders>
              <w:top w:val="single" w:sz="4" w:space="0" w:color="000000"/>
              <w:left w:val="single" w:sz="4" w:space="0" w:color="000000"/>
              <w:bottom w:val="single" w:sz="4" w:space="0" w:color="000000"/>
              <w:right w:val="single" w:sz="4" w:space="0" w:color="000000"/>
            </w:tcBorders>
          </w:tcPr>
          <w:p>
            <w:pPr>
              <w:pStyle w:val="Normal"/>
              <w:keepLines/>
              <w:snapToGrid w:val="false"/>
              <w:spacing w:lineRule="auto" w:line="240" w:before="0" w:after="0"/>
              <w:rPr>
                <w:bCs/>
                <w:sz w:val="21"/>
                <w:szCs w:val="21"/>
              </w:rPr>
            </w:pPr>
            <w:r>
              <w:rPr>
                <w:bCs/>
                <w:sz w:val="21"/>
                <w:szCs w:val="21"/>
              </w:rPr>
            </w:r>
          </w:p>
        </w:tc>
        <w:tc>
          <w:tcPr>
            <w:tcW w:w="1844" w:type="dxa"/>
            <w:vMerge w:val="continue"/>
            <w:tcBorders>
              <w:top w:val="single" w:sz="4" w:space="0" w:color="000000"/>
              <w:left w:val="single" w:sz="4" w:space="0" w:color="000000"/>
              <w:bottom w:val="single" w:sz="4" w:space="0" w:color="000000"/>
              <w:right w:val="single" w:sz="4" w:space="0" w:color="000000"/>
            </w:tcBorders>
          </w:tcPr>
          <w:p>
            <w:pPr>
              <w:pStyle w:val="Normal"/>
              <w:keepLines/>
              <w:snapToGrid w:val="false"/>
              <w:spacing w:lineRule="auto" w:line="240" w:before="0" w:after="0"/>
              <w:rPr>
                <w:bCs/>
                <w:sz w:val="21"/>
                <w:szCs w:val="21"/>
              </w:rPr>
            </w:pPr>
            <w:r>
              <w:rPr>
                <w:bCs/>
                <w:sz w:val="21"/>
                <w:szCs w:val="21"/>
              </w:rPr>
            </w:r>
          </w:p>
        </w:tc>
        <w:tc>
          <w:tcPr>
            <w:tcW w:w="1845" w:type="dxa"/>
            <w:tcBorders>
              <w:top w:val="single" w:sz="4" w:space="0" w:color="000000"/>
              <w:left w:val="single" w:sz="4" w:space="0" w:color="000000"/>
              <w:bottom w:val="single" w:sz="4" w:space="0" w:color="000000"/>
              <w:right w:val="single" w:sz="4" w:space="0" w:color="000000"/>
            </w:tcBorders>
            <w:vAlign w:val="center"/>
          </w:tcPr>
          <w:p>
            <w:pPr>
              <w:pStyle w:val="Normal"/>
              <w:keepLines/>
              <w:spacing w:lineRule="auto" w:line="240" w:before="0" w:after="0"/>
              <w:ind w:left="-44" w:hanging="0"/>
              <w:rPr>
                <w:bCs/>
                <w:sz w:val="21"/>
                <w:szCs w:val="21"/>
              </w:rPr>
            </w:pPr>
            <w:r>
              <w:rPr>
                <w:bCs/>
                <w:sz w:val="21"/>
                <w:szCs w:val="21"/>
              </w:rPr>
              <w:t>Высота</w:t>
            </w:r>
          </w:p>
        </w:tc>
        <w:tc>
          <w:tcPr>
            <w:tcW w:w="1843" w:type="dxa"/>
            <w:tcBorders>
              <w:top w:val="single" w:sz="4" w:space="0" w:color="000000"/>
              <w:left w:val="single" w:sz="4" w:space="0" w:color="000000"/>
              <w:bottom w:val="single" w:sz="4" w:space="0" w:color="000000"/>
              <w:right w:val="single" w:sz="4" w:space="0" w:color="000000"/>
            </w:tcBorders>
            <w:vAlign w:val="center"/>
          </w:tcPr>
          <w:p>
            <w:pPr>
              <w:pStyle w:val="Normal"/>
              <w:keepLines/>
              <w:spacing w:lineRule="auto" w:line="240" w:before="0" w:after="0"/>
              <w:ind w:left="-74" w:hanging="0"/>
              <w:jc w:val="center"/>
              <w:rPr>
                <w:bCs/>
                <w:sz w:val="21"/>
                <w:szCs w:val="21"/>
              </w:rPr>
            </w:pPr>
            <w:r>
              <w:rPr>
                <w:bCs/>
                <w:sz w:val="21"/>
                <w:szCs w:val="21"/>
              </w:rPr>
              <w:t xml:space="preserve">≥ </w:t>
            </w:r>
            <w:r>
              <w:rPr>
                <w:bCs/>
                <w:sz w:val="21"/>
                <w:szCs w:val="21"/>
              </w:rPr>
              <w:t>180  и  &lt; 195</w:t>
            </w:r>
          </w:p>
        </w:tc>
        <w:tc>
          <w:tcPr>
            <w:tcW w:w="1699" w:type="dxa"/>
            <w:tcBorders>
              <w:top w:val="single" w:sz="4" w:space="0" w:color="000000"/>
              <w:left w:val="single" w:sz="4" w:space="0" w:color="000000"/>
              <w:bottom w:val="single" w:sz="4" w:space="0" w:color="000000"/>
              <w:right w:val="single" w:sz="4" w:space="0" w:color="000000"/>
            </w:tcBorders>
            <w:vAlign w:val="center"/>
          </w:tcPr>
          <w:p>
            <w:pPr>
              <w:pStyle w:val="Normal"/>
              <w:keepLines/>
              <w:spacing w:lineRule="auto" w:line="240" w:before="0" w:after="0"/>
              <w:ind w:left="-74" w:hanging="0"/>
              <w:jc w:val="center"/>
              <w:rPr>
                <w:sz w:val="21"/>
                <w:szCs w:val="21"/>
              </w:rPr>
            </w:pPr>
            <w:r>
              <w:rPr>
                <w:bCs/>
                <w:sz w:val="21"/>
                <w:szCs w:val="21"/>
              </w:rPr>
              <w:t>мм</w:t>
            </w:r>
          </w:p>
        </w:tc>
        <w:tc>
          <w:tcPr>
            <w:tcW w:w="706" w:type="dxa"/>
            <w:vMerge w:val="continue"/>
            <w:tcBorders>
              <w:top w:val="single" w:sz="4" w:space="0" w:color="000000"/>
              <w:left w:val="single" w:sz="4" w:space="0" w:color="000000"/>
              <w:bottom w:val="single" w:sz="4" w:space="0" w:color="000000"/>
              <w:right w:val="single" w:sz="4" w:space="0" w:color="000000"/>
            </w:tcBorders>
          </w:tcPr>
          <w:p>
            <w:pPr>
              <w:pStyle w:val="Normal"/>
              <w:keepLines/>
              <w:snapToGrid w:val="false"/>
              <w:spacing w:before="0" w:after="200"/>
              <w:jc w:val="center"/>
              <w:rPr>
                <w:bCs/>
                <w:sz w:val="21"/>
                <w:szCs w:val="21"/>
              </w:rPr>
            </w:pPr>
            <w:r>
              <w:rPr>
                <w:bCs/>
                <w:sz w:val="21"/>
                <w:szCs w:val="21"/>
              </w:rPr>
            </w:r>
          </w:p>
        </w:tc>
        <w:tc>
          <w:tcPr>
            <w:tcW w:w="709" w:type="dxa"/>
            <w:vMerge w:val="continue"/>
            <w:tcBorders>
              <w:top w:val="single" w:sz="4" w:space="0" w:color="000000"/>
              <w:left w:val="single" w:sz="4" w:space="0" w:color="000000"/>
              <w:bottom w:val="single" w:sz="4" w:space="0" w:color="000000"/>
              <w:right w:val="single" w:sz="4" w:space="0" w:color="000000"/>
            </w:tcBorders>
          </w:tcPr>
          <w:p>
            <w:pPr>
              <w:pStyle w:val="Normal"/>
              <w:keepLines/>
              <w:snapToGrid w:val="false"/>
              <w:spacing w:before="0" w:after="200"/>
              <w:jc w:val="center"/>
              <w:rPr>
                <w:bCs/>
                <w:sz w:val="21"/>
                <w:szCs w:val="21"/>
              </w:rPr>
            </w:pPr>
            <w:r>
              <w:rPr>
                <w:bCs/>
                <w:sz w:val="21"/>
                <w:szCs w:val="21"/>
              </w:rPr>
            </w:r>
          </w:p>
        </w:tc>
        <w:tc>
          <w:tcPr>
            <w:tcW w:w="1417" w:type="dxa"/>
            <w:vMerge w:val="continue"/>
            <w:tcBorders>
              <w:top w:val="single" w:sz="4" w:space="0" w:color="000000"/>
              <w:left w:val="single" w:sz="4" w:space="0" w:color="000000"/>
              <w:bottom w:val="single" w:sz="4" w:space="0" w:color="000000"/>
              <w:right w:val="single" w:sz="4" w:space="0" w:color="000000"/>
            </w:tcBorders>
          </w:tcPr>
          <w:p>
            <w:pPr>
              <w:pStyle w:val="Normal"/>
              <w:keepLines/>
              <w:snapToGrid w:val="false"/>
              <w:spacing w:before="0" w:after="200"/>
              <w:jc w:val="center"/>
              <w:rPr>
                <w:bCs/>
                <w:sz w:val="21"/>
                <w:szCs w:val="21"/>
              </w:rPr>
            </w:pPr>
            <w:r>
              <w:rPr>
                <w:bCs/>
                <w:sz w:val="21"/>
                <w:szCs w:val="21"/>
              </w:rPr>
            </w:r>
          </w:p>
        </w:tc>
        <w:tc>
          <w:tcPr>
            <w:tcW w:w="1134" w:type="dxa"/>
            <w:vMerge w:val="continue"/>
            <w:tcBorders>
              <w:top w:val="single" w:sz="4" w:space="0" w:color="000000"/>
              <w:left w:val="single" w:sz="4" w:space="0" w:color="000000"/>
              <w:bottom w:val="single" w:sz="4" w:space="0" w:color="000000"/>
              <w:right w:val="single" w:sz="4" w:space="0" w:color="000000"/>
            </w:tcBorders>
          </w:tcPr>
          <w:p>
            <w:pPr>
              <w:pStyle w:val="Normal"/>
              <w:keepLines/>
              <w:snapToGrid w:val="false"/>
              <w:spacing w:before="0" w:after="200"/>
              <w:jc w:val="center"/>
              <w:rPr>
                <w:bCs/>
                <w:sz w:val="21"/>
                <w:szCs w:val="21"/>
              </w:rPr>
            </w:pPr>
            <w:r>
              <w:rPr>
                <w:bCs/>
                <w:sz w:val="21"/>
                <w:szCs w:val="21"/>
              </w:rPr>
            </w:r>
          </w:p>
        </w:tc>
      </w:tr>
    </w:tbl>
    <w:p>
      <w:pPr>
        <w:pStyle w:val="Normal"/>
        <w:widowControl w:val="false"/>
        <w:tabs>
          <w:tab w:val="clear" w:pos="708"/>
          <w:tab w:val="left" w:pos="709" w:leader="none"/>
        </w:tabs>
        <w:spacing w:lineRule="auto" w:line="216" w:before="0" w:after="200"/>
        <w:ind w:left="794" w:firstLine="709"/>
        <w:contextualSpacing/>
        <w:jc w:val="both"/>
        <w:rPr>
          <w:bCs/>
          <w:color w:val="000000"/>
          <w:sz w:val="26"/>
          <w:szCs w:val="26"/>
          <w:shd w:fill="FFFFFF" w:val="clear"/>
          <w:lang w:eastAsia="ru-RU" w:bidi="ru-RU"/>
        </w:rPr>
      </w:pPr>
      <w:r>
        <w:rPr>
          <w:rFonts w:cs="XO Thames" w:ascii="XO Thames" w:hAnsi="XO Thames"/>
          <w:b/>
          <w:sz w:val="24"/>
          <w:szCs w:val="24"/>
        </w:rPr>
      </w:r>
    </w:p>
    <w:p>
      <w:pPr>
        <w:pStyle w:val="Normal"/>
        <w:numPr>
          <w:ilvl w:val="0"/>
          <w:numId w:val="0"/>
        </w:numPr>
        <w:spacing w:lineRule="auto" w:line="240" w:before="0" w:after="0"/>
        <w:ind w:left="0" w:hanging="0"/>
        <w:jc w:val="center"/>
        <w:outlineLvl w:val="0"/>
        <w:rPr>
          <w:bCs/>
          <w:color w:val="000000"/>
          <w:sz w:val="26"/>
          <w:szCs w:val="26"/>
          <w:shd w:fill="FFFFFF" w:val="clear"/>
          <w:lang w:eastAsia="ru-RU" w:bidi="ru-RU"/>
        </w:rPr>
      </w:pPr>
      <w:r>
        <w:rPr>
          <w:b/>
          <w:sz w:val="26"/>
          <w:szCs w:val="26"/>
        </w:rPr>
        <w:t xml:space="preserve">2. Требования к качеству и характеристикам </w:t>
      </w:r>
    </w:p>
    <w:p>
      <w:pPr>
        <w:pStyle w:val="Normal"/>
        <w:spacing w:lineRule="auto" w:line="240" w:before="0" w:after="0"/>
        <w:ind w:left="0" w:firstLine="720"/>
        <w:jc w:val="both"/>
        <w:rPr>
          <w:bCs/>
          <w:color w:val="000000"/>
          <w:sz w:val="26"/>
          <w:szCs w:val="26"/>
          <w:shd w:fill="FFFFFF" w:val="clear"/>
          <w:lang w:eastAsia="ru-RU" w:bidi="ru-RU"/>
        </w:rPr>
      </w:pPr>
      <w:r>
        <w:rPr>
          <w:sz w:val="26"/>
          <w:szCs w:val="26"/>
        </w:rPr>
        <w:t>2.1. Требования к Товару и его производителю:</w:t>
      </w:r>
    </w:p>
    <w:p>
      <w:pPr>
        <w:pStyle w:val="Normal"/>
        <w:spacing w:lineRule="auto" w:line="240" w:before="0" w:after="0"/>
        <w:ind w:left="0" w:firstLine="720"/>
        <w:jc w:val="both"/>
        <w:rPr>
          <w:bCs/>
          <w:color w:val="000000"/>
          <w:sz w:val="26"/>
          <w:szCs w:val="26"/>
          <w:shd w:fill="FFFFFF" w:val="clear"/>
          <w:lang w:eastAsia="ru-RU" w:bidi="ru-RU"/>
        </w:rPr>
      </w:pPr>
      <w:r>
        <w:rPr>
          <w:sz w:val="26"/>
          <w:szCs w:val="26"/>
        </w:rPr>
        <w:t xml:space="preserve">- В соответствии с п. 1 ч. 1 ст. 33 Федерального закона от 05.04.2013 № 44-ФЗ «О контрактной системе в сфере закупок товаров, работ, услуг для обеспечения государственных и муниципальных нужд», Государственный заказчик размещает заказ на поставку </w:t>
      </w:r>
      <w:r>
        <w:rPr>
          <w:bCs/>
          <w:sz w:val="26"/>
          <w:szCs w:val="26"/>
          <w:shd w:fill="FFFFFF" w:val="clear"/>
          <w:lang w:eastAsia="ru-RU" w:bidi="ru-RU"/>
        </w:rPr>
        <w:t>автомобильных аккумуляторных батарей</w:t>
      </w:r>
      <w:r>
        <w:rPr>
          <w:bCs/>
          <w:color w:val="FF0000"/>
          <w:sz w:val="26"/>
          <w:szCs w:val="26"/>
          <w:shd w:fill="FFFFFF" w:val="clear"/>
          <w:lang w:eastAsia="ru-RU" w:bidi="ru-RU"/>
        </w:rPr>
        <w:t xml:space="preserve">  </w:t>
      </w:r>
      <w:r>
        <w:rPr>
          <w:bCs/>
          <w:color w:val="000000"/>
          <w:sz w:val="26"/>
          <w:szCs w:val="26"/>
          <w:shd w:fill="FFFFFF" w:val="clear"/>
          <w:lang w:eastAsia="ru-RU" w:bidi="ru-RU"/>
        </w:rPr>
        <w:t>(далее - Батарея)</w:t>
      </w:r>
      <w:r>
        <w:rPr>
          <w:sz w:val="26"/>
          <w:szCs w:val="26"/>
        </w:rPr>
        <w:t xml:space="preserve">, произведенных любыми организациями, осуществляющими производство </w:t>
      </w:r>
      <w:r>
        <w:rPr>
          <w:bCs/>
          <w:color w:val="000000"/>
          <w:sz w:val="26"/>
          <w:szCs w:val="26"/>
          <w:shd w:fill="FFFFFF" w:val="clear"/>
          <w:lang w:eastAsia="ru-RU" w:bidi="ru-RU"/>
        </w:rPr>
        <w:t>Батарей</w:t>
      </w:r>
      <w:r>
        <w:rPr>
          <w:sz w:val="26"/>
          <w:szCs w:val="26"/>
        </w:rPr>
        <w:t>.</w:t>
      </w:r>
    </w:p>
    <w:p>
      <w:pPr>
        <w:pStyle w:val="Normal"/>
        <w:spacing w:lineRule="auto" w:line="240" w:before="0" w:after="0"/>
        <w:ind w:left="0" w:firstLine="720"/>
        <w:jc w:val="both"/>
        <w:rPr>
          <w:bCs/>
          <w:color w:val="000000"/>
          <w:sz w:val="26"/>
          <w:szCs w:val="26"/>
          <w:shd w:fill="FFFFFF" w:val="clear"/>
          <w:lang w:eastAsia="ru-RU" w:bidi="ru-RU"/>
        </w:rPr>
      </w:pPr>
      <w:r>
        <w:rPr>
          <w:sz w:val="26"/>
          <w:szCs w:val="26"/>
        </w:rPr>
        <w:t>-</w:t>
      </w:r>
      <w:r>
        <w:rPr>
          <w:rFonts w:eastAsia="Arial Unicode MS"/>
          <w:sz w:val="26"/>
          <w:szCs w:val="26"/>
        </w:rPr>
        <w:t xml:space="preserve"> </w:t>
      </w:r>
      <w:r>
        <w:rPr>
          <w:bCs/>
          <w:color w:val="000000"/>
          <w:sz w:val="26"/>
          <w:szCs w:val="26"/>
          <w:shd w:fill="FFFFFF" w:val="clear"/>
          <w:lang w:eastAsia="ru-RU" w:bidi="ru-RU"/>
        </w:rPr>
        <w:t xml:space="preserve">Батареи  </w:t>
      </w:r>
      <w:r>
        <w:rPr>
          <w:rFonts w:eastAsia="Arial Unicode MS"/>
          <w:sz w:val="26"/>
          <w:szCs w:val="26"/>
        </w:rPr>
        <w:t xml:space="preserve">должны быть произведены на территории </w:t>
      </w:r>
      <w:r>
        <w:rPr>
          <w:sz w:val="26"/>
          <w:szCs w:val="26"/>
        </w:rPr>
        <w:t>Российской Федерации</w:t>
      </w:r>
      <w:r>
        <w:rPr>
          <w:rFonts w:eastAsia="Arial Unicode MS"/>
          <w:sz w:val="26"/>
          <w:szCs w:val="26"/>
        </w:rPr>
        <w:t>.</w:t>
      </w:r>
    </w:p>
    <w:p>
      <w:pPr>
        <w:pStyle w:val="Normal"/>
        <w:spacing w:lineRule="auto" w:line="240" w:before="0" w:after="0"/>
        <w:ind w:left="0" w:firstLine="720"/>
        <w:jc w:val="both"/>
        <w:rPr>
          <w:bCs/>
          <w:color w:val="000000"/>
          <w:sz w:val="26"/>
          <w:szCs w:val="26"/>
          <w:shd w:fill="FFFFFF" w:val="clear"/>
          <w:lang w:eastAsia="ru-RU" w:bidi="ru-RU"/>
        </w:rPr>
      </w:pPr>
      <w:r>
        <w:rPr>
          <w:sz w:val="26"/>
          <w:szCs w:val="26"/>
        </w:rPr>
        <w:t xml:space="preserve">- </w:t>
      </w:r>
      <w:r>
        <w:rPr>
          <w:bCs/>
          <w:color w:val="000000"/>
          <w:sz w:val="26"/>
          <w:szCs w:val="26"/>
          <w:shd w:fill="FFFFFF" w:val="clear"/>
          <w:lang w:eastAsia="ru-RU" w:bidi="ru-RU"/>
        </w:rPr>
        <w:t xml:space="preserve">Батареи  </w:t>
      </w:r>
      <w:r>
        <w:rPr>
          <w:sz w:val="26"/>
          <w:szCs w:val="26"/>
        </w:rPr>
        <w:t xml:space="preserve">должны быть изготовлены в заводских условиях, должны отвечать требованиям качества, безопасности жизни </w:t>
        <w:br/>
        <w:t>и здоровья, а также иным требованиям сертификации, безопасности (санитарным нормам и правилам, государственным стандартам и т.п.) в соответствии с действующим законодательством Российской Федерации, установленным для данных Батарей, должны быть пригодными для нормальной эксплуатации по назначению.</w:t>
      </w:r>
    </w:p>
    <w:p>
      <w:pPr>
        <w:pStyle w:val="Normal"/>
        <w:spacing w:lineRule="auto" w:line="240" w:before="0" w:after="0"/>
        <w:ind w:left="0" w:firstLine="720"/>
        <w:jc w:val="both"/>
        <w:rPr>
          <w:bCs/>
          <w:color w:val="000000"/>
          <w:sz w:val="26"/>
          <w:szCs w:val="26"/>
          <w:shd w:fill="FFFFFF" w:val="clear"/>
          <w:lang w:eastAsia="ru-RU" w:bidi="ru-RU"/>
        </w:rPr>
      </w:pPr>
      <w:r>
        <w:rPr>
          <w:sz w:val="26"/>
          <w:szCs w:val="26"/>
        </w:rPr>
        <w:t xml:space="preserve">- </w:t>
      </w:r>
      <w:r>
        <w:rPr>
          <w:bCs/>
          <w:color w:val="000000"/>
          <w:sz w:val="26"/>
          <w:szCs w:val="26"/>
          <w:shd w:fill="FFFFFF" w:val="clear"/>
          <w:lang w:eastAsia="ru-RU" w:bidi="ru-RU"/>
        </w:rPr>
        <w:t xml:space="preserve">Батареи  </w:t>
      </w:r>
      <w:r>
        <w:rPr>
          <w:sz w:val="26"/>
          <w:szCs w:val="26"/>
        </w:rPr>
        <w:t xml:space="preserve">должны быть новыми, не восстановленными, не бывшими в эксплуатации у поставщика и (или) у третьих лиц, не содержащими компонентов, бывших в эксплуатации у поставщика и (или) у третьих лиц, не подвергавшимися вскрытию, </w:t>
      </w:r>
      <w:r>
        <w:rPr>
          <w:color w:val="000000"/>
          <w:sz w:val="26"/>
          <w:szCs w:val="26"/>
        </w:rPr>
        <w:t>ремонту или замене запасных частей</w:t>
      </w:r>
      <w:r>
        <w:rPr>
          <w:sz w:val="26"/>
          <w:szCs w:val="26"/>
        </w:rPr>
        <w:t xml:space="preserve">, на всех </w:t>
      </w:r>
      <w:r>
        <w:rPr>
          <w:bCs/>
          <w:color w:val="000000"/>
          <w:sz w:val="26"/>
          <w:szCs w:val="26"/>
          <w:shd w:fill="FFFFFF" w:val="clear"/>
          <w:lang w:eastAsia="ru-RU" w:bidi="ru-RU"/>
        </w:rPr>
        <w:t xml:space="preserve">Батареях  </w:t>
      </w:r>
      <w:r>
        <w:rPr>
          <w:sz w:val="26"/>
          <w:szCs w:val="26"/>
        </w:rPr>
        <w:t>не должно быть следов механических повреждений;</w:t>
      </w:r>
    </w:p>
    <w:p>
      <w:pPr>
        <w:pStyle w:val="Normal"/>
        <w:spacing w:lineRule="auto" w:line="240" w:before="0" w:after="0"/>
        <w:ind w:left="0" w:firstLine="720"/>
        <w:jc w:val="both"/>
        <w:rPr>
          <w:bCs/>
          <w:color w:val="000000"/>
          <w:sz w:val="26"/>
          <w:szCs w:val="26"/>
          <w:shd w:fill="FFFFFF" w:val="clear"/>
          <w:lang w:eastAsia="ru-RU" w:bidi="ru-RU"/>
        </w:rPr>
      </w:pPr>
      <w:r>
        <w:rPr>
          <w:rFonts w:eastAsia="Arial Unicode MS"/>
          <w:sz w:val="26"/>
          <w:szCs w:val="26"/>
        </w:rPr>
        <w:t>- Г</w:t>
      </w:r>
      <w:r>
        <w:rPr>
          <w:sz w:val="26"/>
          <w:szCs w:val="26"/>
        </w:rPr>
        <w:t xml:space="preserve">арантийный срок хранения на все </w:t>
      </w:r>
      <w:r>
        <w:rPr>
          <w:bCs/>
          <w:color w:val="000000"/>
          <w:sz w:val="26"/>
          <w:szCs w:val="26"/>
          <w:shd w:fill="FFFFFF" w:val="clear"/>
          <w:lang w:eastAsia="ru-RU" w:bidi="ru-RU"/>
        </w:rPr>
        <w:t xml:space="preserve">Батареи  </w:t>
      </w:r>
      <w:r>
        <w:rPr>
          <w:sz w:val="26"/>
          <w:szCs w:val="26"/>
        </w:rPr>
        <w:t xml:space="preserve">– не менее 12 месяцев с даты </w:t>
      </w:r>
      <w:r>
        <w:rPr>
          <w:rFonts w:eastAsia="Droid Sans;MS Mincho"/>
          <w:bCs/>
          <w:kern w:val="2"/>
          <w:sz w:val="26"/>
          <w:szCs w:val="26"/>
        </w:rPr>
        <w:t>подписания документа о приемке Государственным заказчиком</w:t>
      </w:r>
      <w:r>
        <w:rPr>
          <w:sz w:val="26"/>
          <w:szCs w:val="26"/>
        </w:rPr>
        <w:t>.</w:t>
      </w:r>
    </w:p>
    <w:p>
      <w:pPr>
        <w:pStyle w:val="Normal"/>
        <w:spacing w:lineRule="auto" w:line="240" w:before="0" w:after="0"/>
        <w:ind w:left="0" w:firstLine="720"/>
        <w:jc w:val="both"/>
        <w:rPr>
          <w:bCs/>
          <w:color w:val="000000"/>
          <w:sz w:val="26"/>
          <w:szCs w:val="26"/>
          <w:shd w:fill="FFFFFF" w:val="clear"/>
          <w:lang w:eastAsia="ru-RU" w:bidi="ru-RU"/>
        </w:rPr>
      </w:pPr>
      <w:r>
        <w:rPr>
          <w:rFonts w:eastAsia="Arial Unicode MS"/>
          <w:sz w:val="26"/>
          <w:szCs w:val="26"/>
        </w:rPr>
        <w:t xml:space="preserve">- </w:t>
      </w:r>
      <w:r>
        <w:rPr>
          <w:bCs/>
          <w:sz w:val="26"/>
          <w:szCs w:val="26"/>
          <w:shd w:fill="FFFFFF" w:val="clear"/>
          <w:lang w:eastAsia="ru-RU" w:bidi="ru-RU"/>
        </w:rPr>
        <w:t xml:space="preserve">Батареи  </w:t>
      </w:r>
      <w:r>
        <w:rPr>
          <w:rFonts w:eastAsia="Arial Unicode MS"/>
          <w:sz w:val="26"/>
          <w:szCs w:val="26"/>
        </w:rPr>
        <w:t>должны быть произведены не ранее 2025 года;</w:t>
      </w:r>
    </w:p>
    <w:p>
      <w:pPr>
        <w:pStyle w:val="Normal"/>
        <w:spacing w:lineRule="auto" w:line="240" w:before="0" w:after="0"/>
        <w:ind w:left="0" w:firstLine="720"/>
        <w:jc w:val="both"/>
        <w:rPr>
          <w:bCs/>
          <w:color w:val="000000"/>
          <w:sz w:val="26"/>
          <w:szCs w:val="26"/>
          <w:shd w:fill="FFFFFF" w:val="clear"/>
          <w:lang w:eastAsia="ru-RU" w:bidi="ru-RU"/>
        </w:rPr>
      </w:pPr>
      <w:r>
        <w:rPr>
          <w:sz w:val="26"/>
          <w:szCs w:val="26"/>
        </w:rPr>
        <w:t xml:space="preserve">Качество сборки, монтажа и внешний вид </w:t>
      </w:r>
      <w:r>
        <w:rPr>
          <w:bCs/>
          <w:color w:val="000000"/>
          <w:sz w:val="26"/>
          <w:szCs w:val="26"/>
          <w:shd w:fill="FFFFFF" w:val="clear"/>
          <w:lang w:eastAsia="ru-RU" w:bidi="ru-RU"/>
        </w:rPr>
        <w:t xml:space="preserve">Батарей  </w:t>
      </w:r>
      <w:r>
        <w:rPr>
          <w:sz w:val="26"/>
          <w:szCs w:val="26"/>
        </w:rPr>
        <w:t>должны соответствовать следующим требованиям:</w:t>
      </w:r>
    </w:p>
    <w:p>
      <w:pPr>
        <w:pStyle w:val="Normal"/>
        <w:spacing w:lineRule="auto" w:line="240" w:before="0" w:after="0"/>
        <w:ind w:left="0" w:firstLine="720"/>
        <w:jc w:val="both"/>
        <w:rPr>
          <w:bCs/>
          <w:color w:val="000000"/>
          <w:sz w:val="26"/>
          <w:szCs w:val="26"/>
          <w:shd w:fill="FFFFFF" w:val="clear"/>
          <w:lang w:eastAsia="ru-RU" w:bidi="ru-RU"/>
        </w:rPr>
      </w:pPr>
      <w:r>
        <w:rPr>
          <w:sz w:val="26"/>
          <w:szCs w:val="26"/>
        </w:rPr>
        <w:t>- все детали, сборочные единицы должны быть прочно закреплены без перекосов;</w:t>
      </w:r>
    </w:p>
    <w:p>
      <w:pPr>
        <w:pStyle w:val="Normal"/>
        <w:spacing w:lineRule="auto" w:line="240" w:before="0" w:after="0"/>
        <w:ind w:left="0" w:firstLine="720"/>
        <w:jc w:val="both"/>
        <w:rPr>
          <w:bCs/>
          <w:color w:val="000000"/>
          <w:sz w:val="26"/>
          <w:szCs w:val="26"/>
          <w:shd w:fill="FFFFFF" w:val="clear"/>
          <w:lang w:eastAsia="ru-RU" w:bidi="ru-RU"/>
        </w:rPr>
      </w:pPr>
      <w:r>
        <w:rPr>
          <w:sz w:val="26"/>
          <w:szCs w:val="26"/>
        </w:rPr>
        <w:t>- все лакокрасочные покрытия должны быть ровными, без царапин и трещин;</w:t>
      </w:r>
    </w:p>
    <w:p>
      <w:pPr>
        <w:pStyle w:val="Normal"/>
        <w:spacing w:lineRule="auto" w:line="240" w:before="0" w:after="0"/>
        <w:ind w:left="0" w:firstLine="720"/>
        <w:jc w:val="both"/>
        <w:rPr>
          <w:bCs/>
          <w:color w:val="000000"/>
          <w:sz w:val="26"/>
          <w:szCs w:val="26"/>
          <w:shd w:fill="FFFFFF" w:val="clear"/>
          <w:lang w:eastAsia="ru-RU" w:bidi="ru-RU"/>
        </w:rPr>
      </w:pPr>
      <w:r>
        <w:rPr>
          <w:sz w:val="26"/>
          <w:szCs w:val="26"/>
        </w:rPr>
        <w:t>- пластмассовые элементы и металлические детали не должны иметь трещин, вздутий, царапин, вмятин и других дефектов, препятствующих нормальной работе офисной техники;</w:t>
      </w:r>
    </w:p>
    <w:p>
      <w:pPr>
        <w:pStyle w:val="Normal"/>
        <w:spacing w:lineRule="auto" w:line="240" w:before="0" w:after="0"/>
        <w:ind w:left="0" w:firstLine="720"/>
        <w:jc w:val="both"/>
        <w:rPr>
          <w:bCs/>
          <w:color w:val="000000"/>
          <w:sz w:val="26"/>
          <w:szCs w:val="26"/>
          <w:shd w:fill="FFFFFF" w:val="clear"/>
          <w:lang w:eastAsia="ru-RU" w:bidi="ru-RU"/>
        </w:rPr>
      </w:pPr>
      <w:r>
        <w:rPr>
          <w:sz w:val="26"/>
          <w:szCs w:val="26"/>
        </w:rPr>
        <w:t xml:space="preserve">- этикетки и наклейки должны быть четкими, чистыми и хорошо читаемыми; </w:t>
      </w:r>
    </w:p>
    <w:p>
      <w:pPr>
        <w:pStyle w:val="Normal"/>
        <w:spacing w:lineRule="auto" w:line="240" w:before="0" w:after="0"/>
        <w:ind w:left="0" w:firstLine="720"/>
        <w:jc w:val="both"/>
        <w:rPr>
          <w:bCs/>
          <w:color w:val="000000"/>
          <w:sz w:val="26"/>
          <w:szCs w:val="26"/>
          <w:shd w:fill="FFFFFF" w:val="clear"/>
          <w:lang w:eastAsia="ru-RU" w:bidi="ru-RU"/>
        </w:rPr>
      </w:pPr>
      <w:r>
        <w:rPr>
          <w:sz w:val="26"/>
          <w:szCs w:val="26"/>
        </w:rPr>
        <w:t>- не допускается наличие на этикетках и поверхностях посторонних надписей и пометок, а также посторонних этикеток;</w:t>
      </w:r>
    </w:p>
    <w:p>
      <w:pPr>
        <w:pStyle w:val="Normal"/>
        <w:spacing w:lineRule="auto" w:line="240" w:before="0" w:after="0"/>
        <w:ind w:left="0" w:firstLine="720"/>
        <w:jc w:val="both"/>
        <w:rPr>
          <w:bCs/>
          <w:color w:val="000000"/>
          <w:sz w:val="26"/>
          <w:szCs w:val="26"/>
          <w:shd w:fill="FFFFFF" w:val="clear"/>
          <w:lang w:eastAsia="ru-RU" w:bidi="ru-RU"/>
        </w:rPr>
      </w:pPr>
      <w:r>
        <w:rPr>
          <w:sz w:val="26"/>
          <w:szCs w:val="26"/>
        </w:rPr>
        <w:t>- контакты электрических цепей (при наличии) не должны быть деформированы, на их поверхностях не должно быть загрязнений, коррозии и дефектов покрытия.</w:t>
      </w:r>
    </w:p>
    <w:p>
      <w:pPr>
        <w:pStyle w:val="Normal"/>
        <w:spacing w:lineRule="auto" w:line="240" w:before="0" w:after="0"/>
        <w:ind w:left="0" w:firstLine="720"/>
        <w:jc w:val="both"/>
        <w:rPr>
          <w:bCs/>
          <w:color w:val="000000"/>
          <w:sz w:val="26"/>
          <w:szCs w:val="26"/>
          <w:shd w:fill="FFFFFF" w:val="clear"/>
          <w:lang w:eastAsia="ru-RU" w:bidi="ru-RU"/>
        </w:rPr>
      </w:pPr>
      <w:r>
        <w:rPr>
          <w:rFonts w:eastAsia="Arial Unicode MS"/>
          <w:sz w:val="26"/>
          <w:szCs w:val="26"/>
        </w:rPr>
      </w:r>
    </w:p>
    <w:p>
      <w:pPr>
        <w:pStyle w:val="Normal"/>
        <w:spacing w:lineRule="auto" w:line="240" w:before="0" w:after="0"/>
        <w:ind w:left="0" w:firstLine="720"/>
        <w:jc w:val="both"/>
        <w:rPr>
          <w:bCs/>
          <w:color w:val="000000"/>
          <w:sz w:val="26"/>
          <w:szCs w:val="26"/>
          <w:shd w:fill="FFFFFF" w:val="clear"/>
          <w:lang w:eastAsia="ru-RU" w:bidi="ru-RU"/>
        </w:rPr>
      </w:pPr>
      <w:r>
        <w:rPr>
          <w:sz w:val="26"/>
          <w:szCs w:val="26"/>
        </w:rPr>
        <w:t>2.2 Требования к таре (упаковке):</w:t>
      </w:r>
    </w:p>
    <w:p>
      <w:pPr>
        <w:pStyle w:val="Normal"/>
        <w:spacing w:lineRule="auto" w:line="240" w:before="0" w:after="0"/>
        <w:ind w:left="0" w:firstLine="720"/>
        <w:jc w:val="both"/>
        <w:rPr>
          <w:bCs/>
          <w:color w:val="000000"/>
          <w:sz w:val="26"/>
          <w:szCs w:val="26"/>
          <w:shd w:fill="FFFFFF" w:val="clear"/>
          <w:lang w:eastAsia="ru-RU" w:bidi="ru-RU"/>
        </w:rPr>
      </w:pPr>
      <w:r>
        <w:rPr>
          <w:sz w:val="26"/>
          <w:szCs w:val="26"/>
        </w:rPr>
        <w:t xml:space="preserve">– </w:t>
      </w:r>
      <w:r>
        <w:rPr>
          <w:sz w:val="26"/>
          <w:szCs w:val="26"/>
        </w:rPr>
        <w:t xml:space="preserve">Упаковка и/или тара должна обеспечивать сохранность </w:t>
      </w:r>
      <w:r>
        <w:rPr>
          <w:bCs/>
          <w:color w:val="000000"/>
          <w:sz w:val="26"/>
          <w:szCs w:val="26"/>
          <w:shd w:fill="FFFFFF" w:val="clear"/>
          <w:lang w:eastAsia="ru-RU" w:bidi="ru-RU"/>
        </w:rPr>
        <w:t xml:space="preserve">Батарей  </w:t>
      </w:r>
      <w:r>
        <w:rPr>
          <w:sz w:val="26"/>
          <w:szCs w:val="26"/>
        </w:rPr>
        <w:t>от всякого рода повреждений при хранении и перевозке любыми видами транспорта, а также предохранять их от внешних воздействий.</w:t>
      </w:r>
    </w:p>
    <w:p>
      <w:pPr>
        <w:pStyle w:val="Normal"/>
        <w:spacing w:lineRule="auto" w:line="240" w:before="0" w:after="0"/>
        <w:ind w:left="0" w:hanging="0"/>
        <w:jc w:val="both"/>
        <w:rPr>
          <w:bCs/>
          <w:color w:val="000000"/>
          <w:sz w:val="26"/>
          <w:szCs w:val="26"/>
          <w:shd w:fill="FFFFFF" w:val="clear"/>
          <w:lang w:eastAsia="ru-RU" w:bidi="ru-RU"/>
        </w:rPr>
      </w:pPr>
      <w:r>
        <w:rPr>
          <w:sz w:val="26"/>
          <w:szCs w:val="26"/>
        </w:rPr>
      </w:r>
    </w:p>
    <w:p>
      <w:pPr>
        <w:pStyle w:val="Normal"/>
        <w:spacing w:lineRule="auto" w:line="240" w:before="0" w:after="0"/>
        <w:ind w:left="0" w:firstLine="720"/>
        <w:jc w:val="both"/>
        <w:rPr>
          <w:bCs/>
          <w:color w:val="000000"/>
          <w:sz w:val="26"/>
          <w:szCs w:val="26"/>
          <w:shd w:fill="FFFFFF" w:val="clear"/>
          <w:lang w:eastAsia="ru-RU" w:bidi="ru-RU"/>
        </w:rPr>
      </w:pPr>
      <w:r>
        <w:rPr>
          <w:sz w:val="26"/>
          <w:szCs w:val="26"/>
        </w:rPr>
        <w:t>2.3 Место доставки товара, сроки поставки товара:</w:t>
      </w:r>
    </w:p>
    <w:p>
      <w:pPr>
        <w:pStyle w:val="Normal"/>
        <w:spacing w:lineRule="auto" w:line="240" w:before="0" w:after="0"/>
        <w:ind w:left="0" w:firstLine="720"/>
        <w:jc w:val="both"/>
        <w:rPr>
          <w:bCs/>
          <w:color w:val="000000"/>
          <w:sz w:val="26"/>
          <w:szCs w:val="26"/>
          <w:shd w:fill="FFFFFF" w:val="clear"/>
          <w:lang w:eastAsia="ru-RU" w:bidi="ru-RU"/>
        </w:rPr>
      </w:pPr>
      <w:r>
        <w:rPr>
          <w:sz w:val="26"/>
          <w:szCs w:val="26"/>
        </w:rPr>
        <w:t xml:space="preserve">Товар поставляется по адресу:  </w:t>
      </w:r>
      <w:r>
        <w:rPr>
          <w:sz w:val="26"/>
          <w:szCs w:val="26"/>
          <w:lang w:val="ru-RU" w:eastAsia="ru-RU"/>
        </w:rPr>
        <w:t>г. Архангельск, пр. Троицкий, д. 96.</w:t>
      </w:r>
    </w:p>
    <w:p>
      <w:pPr>
        <w:pStyle w:val="Normal"/>
        <w:spacing w:lineRule="auto" w:line="240" w:before="0" w:after="0"/>
        <w:ind w:left="0" w:firstLine="720"/>
        <w:jc w:val="both"/>
        <w:rPr>
          <w:bCs/>
          <w:color w:val="000000"/>
          <w:sz w:val="26"/>
          <w:szCs w:val="26"/>
          <w:shd w:fill="FFFFFF" w:val="clear"/>
          <w:lang w:eastAsia="ru-RU" w:bidi="ru-RU"/>
        </w:rPr>
      </w:pPr>
      <w:r>
        <w:rPr>
          <w:sz w:val="26"/>
          <w:szCs w:val="26"/>
          <w:lang w:val="ru-RU" w:eastAsia="ru-RU"/>
        </w:rPr>
        <w:t>Срок поставки Товара Государственный заказчику – в течении 15 (пятнадцати) рабочих дней с момента заключения Контракта</w:t>
      </w:r>
      <w:r>
        <w:rPr>
          <w:sz w:val="26"/>
          <w:szCs w:val="26"/>
        </w:rPr>
        <w:t xml:space="preserve"> Время поставки (время московское):  9:00 до 13:00 и с 14:00 до 17:30 с понедельника по четверг и с 9:00 до 13:00 </w:t>
        <w:br/>
        <w:t>и с 14:00 до 16:15 – в пятницу. В предпраздничные дни указанное время сокращается на 1 час, до 16:30 и 15:15 соответственно.</w:t>
      </w:r>
    </w:p>
    <w:p>
      <w:pPr>
        <w:pStyle w:val="Normal"/>
        <w:spacing w:lineRule="auto" w:line="240" w:before="0" w:after="0"/>
        <w:ind w:left="0" w:hanging="0"/>
        <w:jc w:val="center"/>
        <w:rPr>
          <w:bCs/>
          <w:color w:val="000000"/>
          <w:sz w:val="26"/>
          <w:szCs w:val="26"/>
          <w:shd w:fill="FFFFFF" w:val="clear"/>
          <w:lang w:eastAsia="ru-RU" w:bidi="ru-RU"/>
        </w:rPr>
      </w:pPr>
      <w:r>
        <w:rPr>
          <w:sz w:val="26"/>
          <w:szCs w:val="26"/>
          <w:lang w:val="ru-RU" w:eastAsia="ru-RU"/>
        </w:rPr>
      </w:r>
    </w:p>
    <w:p>
      <w:pPr>
        <w:pStyle w:val="Normal"/>
        <w:spacing w:lineRule="auto" w:line="240" w:before="0" w:after="0"/>
        <w:ind w:left="0" w:hanging="0"/>
        <w:jc w:val="center"/>
        <w:rPr>
          <w:bCs/>
          <w:color w:val="000000"/>
          <w:sz w:val="26"/>
          <w:szCs w:val="26"/>
          <w:shd w:fill="FFFFFF" w:val="clear"/>
          <w:lang w:eastAsia="ru-RU" w:bidi="ru-RU"/>
        </w:rPr>
      </w:pPr>
      <w:r>
        <w:rPr>
          <w:sz w:val="26"/>
          <w:szCs w:val="26"/>
        </w:rPr>
      </w:r>
    </w:p>
    <w:p>
      <w:pPr>
        <w:pStyle w:val="Style20"/>
        <w:ind w:left="0" w:right="-43" w:hanging="0"/>
        <w:rPr>
          <w:bCs/>
          <w:color w:val="000000"/>
          <w:sz w:val="26"/>
          <w:szCs w:val="26"/>
          <w:shd w:fill="FFFFFF" w:val="clear"/>
          <w:lang w:eastAsia="ru-RU" w:bidi="ru-RU"/>
        </w:rPr>
      </w:pPr>
      <w:r>
        <w:rPr>
          <w:sz w:val="26"/>
          <w:szCs w:val="26"/>
        </w:rPr>
        <w:t>Государственный заказчик:</w:t>
        <w:tab/>
        <w:tab/>
        <w:t xml:space="preserve">                                                                                       </w:t>
      </w:r>
      <w:r>
        <w:rPr/>
        <w:t>Поставщик:</w:t>
      </w:r>
    </w:p>
    <w:tbl>
      <w:tblPr>
        <w:tblW w:w="14567" w:type="dxa"/>
        <w:jc w:val="left"/>
        <w:tblInd w:w="0" w:type="dxa"/>
        <w:tblLayout w:type="fixed"/>
        <w:tblCellMar>
          <w:top w:w="0" w:type="dxa"/>
          <w:left w:w="108" w:type="dxa"/>
          <w:bottom w:w="0" w:type="dxa"/>
          <w:right w:w="108" w:type="dxa"/>
        </w:tblCellMar>
      </w:tblPr>
      <w:tblGrid>
        <w:gridCol w:w="4850"/>
        <w:gridCol w:w="9717"/>
      </w:tblGrid>
      <w:tr>
        <w:trPr>
          <w:trHeight w:val="1069" w:hRule="atLeast"/>
        </w:trPr>
        <w:tc>
          <w:tcPr>
            <w:tcW w:w="4850" w:type="dxa"/>
            <w:tcBorders/>
            <w:vAlign w:val="center"/>
          </w:tcPr>
          <w:p>
            <w:pPr>
              <w:pStyle w:val="Normal"/>
              <w:widowControl w:val="false"/>
              <w:snapToGrid w:val="false"/>
              <w:spacing w:lineRule="auto" w:line="230" w:before="0" w:after="0"/>
              <w:rPr>
                <w:sz w:val="26"/>
                <w:szCs w:val="26"/>
              </w:rPr>
            </w:pPr>
            <w:r>
              <w:rPr>
                <w:sz w:val="26"/>
                <w:szCs w:val="26"/>
              </w:rPr>
            </w:r>
          </w:p>
          <w:p>
            <w:pPr>
              <w:pStyle w:val="Normal"/>
              <w:widowControl w:val="false"/>
              <w:snapToGrid w:val="false"/>
              <w:spacing w:lineRule="auto" w:line="230" w:before="0" w:after="0"/>
              <w:rPr>
                <w:sz w:val="26"/>
                <w:szCs w:val="26"/>
              </w:rPr>
            </w:pPr>
            <w:r>
              <w:rPr>
                <w:sz w:val="26"/>
                <w:szCs w:val="26"/>
              </w:rPr>
            </w:r>
          </w:p>
          <w:p>
            <w:pPr>
              <w:pStyle w:val="Normal"/>
              <w:widowControl w:val="false"/>
              <w:snapToGrid w:val="false"/>
              <w:spacing w:lineRule="auto" w:line="230" w:before="0" w:after="0"/>
              <w:ind w:left="0" w:hanging="0"/>
              <w:rPr>
                <w:sz w:val="26"/>
                <w:szCs w:val="26"/>
              </w:rPr>
            </w:pPr>
            <w:r>
              <w:rPr>
                <w:sz w:val="26"/>
                <w:szCs w:val="26"/>
              </w:rPr>
              <w:t>____________________ /___________/</w:t>
            </w:r>
          </w:p>
          <w:p>
            <w:pPr>
              <w:pStyle w:val="Normal"/>
              <w:widowControl w:val="false"/>
              <w:snapToGrid w:val="false"/>
              <w:spacing w:lineRule="auto" w:line="230" w:before="0" w:after="0"/>
              <w:ind w:left="0" w:hanging="0"/>
              <w:rPr>
                <w:sz w:val="26"/>
                <w:szCs w:val="26"/>
              </w:rPr>
            </w:pPr>
            <w:r>
              <w:rPr>
                <w:sz w:val="26"/>
                <w:szCs w:val="26"/>
              </w:rPr>
              <w:t xml:space="preserve">              </w:t>
            </w:r>
            <w:r>
              <w:rPr>
                <w:sz w:val="26"/>
                <w:szCs w:val="26"/>
              </w:rPr>
              <w:t>М.П.</w:t>
            </w:r>
          </w:p>
        </w:tc>
        <w:tc>
          <w:tcPr>
            <w:tcW w:w="9717" w:type="dxa"/>
            <w:tcBorders/>
            <w:vAlign w:val="center"/>
          </w:tcPr>
          <w:p>
            <w:pPr>
              <w:pStyle w:val="Normal"/>
              <w:widowControl w:val="false"/>
              <w:snapToGrid w:val="false"/>
              <w:spacing w:lineRule="auto" w:line="230" w:before="0" w:after="0"/>
              <w:ind w:left="794" w:right="776" w:hanging="0"/>
              <w:rPr>
                <w:sz w:val="26"/>
                <w:szCs w:val="26"/>
              </w:rPr>
            </w:pPr>
            <w:r>
              <w:rPr>
                <w:sz w:val="26"/>
                <w:szCs w:val="26"/>
              </w:rPr>
            </w:r>
          </w:p>
          <w:p>
            <w:pPr>
              <w:pStyle w:val="Normal"/>
              <w:widowControl w:val="false"/>
              <w:snapToGrid w:val="false"/>
              <w:spacing w:lineRule="auto" w:line="230" w:before="0" w:after="0"/>
              <w:ind w:left="794" w:right="776" w:hanging="0"/>
              <w:rPr>
                <w:sz w:val="26"/>
                <w:szCs w:val="26"/>
              </w:rPr>
            </w:pPr>
            <w:r>
              <w:rPr>
                <w:sz w:val="26"/>
                <w:szCs w:val="26"/>
              </w:rPr>
            </w:r>
          </w:p>
          <w:p>
            <w:pPr>
              <w:pStyle w:val="Normal"/>
              <w:widowControl w:val="false"/>
              <w:snapToGrid w:val="false"/>
              <w:spacing w:lineRule="auto" w:line="230" w:before="0" w:after="0"/>
              <w:ind w:left="4" w:right="5" w:hanging="0"/>
              <w:rPr/>
            </w:pPr>
            <w:r>
              <w:rPr>
                <w:sz w:val="26"/>
                <w:szCs w:val="26"/>
              </w:rPr>
              <w:t xml:space="preserve">                                                                               </w:t>
            </w:r>
            <w:r>
              <w:rPr>
                <w:sz w:val="26"/>
                <w:szCs w:val="26"/>
              </w:rPr>
              <w:t xml:space="preserve">___________________ / </w:t>
            </w:r>
            <w:r>
              <w:rPr>
                <w:sz w:val="26"/>
                <w:szCs w:val="26"/>
                <w:lang w:eastAsia="ru-RU"/>
              </w:rPr>
              <w:t xml:space="preserve">___________ </w:t>
            </w:r>
            <w:r>
              <w:rPr>
                <w:sz w:val="26"/>
                <w:szCs w:val="26"/>
              </w:rPr>
              <w:t xml:space="preserve"> /</w:t>
            </w:r>
          </w:p>
          <w:p>
            <w:pPr>
              <w:pStyle w:val="Normal"/>
              <w:widowControl w:val="false"/>
              <w:snapToGrid w:val="false"/>
              <w:spacing w:lineRule="auto" w:line="230" w:before="0" w:after="0"/>
              <w:ind w:left="4" w:right="5" w:hanging="0"/>
              <w:rPr/>
            </w:pPr>
            <w:r>
              <w:rPr>
                <w:sz w:val="26"/>
                <w:szCs w:val="26"/>
              </w:rPr>
              <w:t xml:space="preserve">                                                                                                    </w:t>
            </w:r>
            <w:r>
              <w:rPr>
                <w:sz w:val="26"/>
                <w:szCs w:val="26"/>
              </w:rPr>
              <w:t>М.П.</w:t>
            </w:r>
          </w:p>
        </w:tc>
      </w:tr>
    </w:tbl>
    <w:p>
      <w:pPr>
        <w:pStyle w:val="Normal"/>
        <w:tabs>
          <w:tab w:val="clear" w:pos="708"/>
          <w:tab w:val="left" w:pos="0" w:leader="none"/>
        </w:tabs>
        <w:spacing w:lineRule="auto" w:line="240" w:before="0" w:after="0"/>
        <w:ind w:left="0" w:hanging="0"/>
        <w:jc w:val="center"/>
        <w:rPr>
          <w:bCs/>
          <w:color w:val="000000"/>
          <w:sz w:val="26"/>
          <w:szCs w:val="26"/>
          <w:shd w:fill="FFFFFF" w:val="clear"/>
          <w:lang w:eastAsia="ru-RU" w:bidi="ru-RU"/>
        </w:rPr>
      </w:pPr>
      <w:r>
        <w:rPr>
          <w:b/>
          <w:sz w:val="26"/>
          <w:szCs w:val="26"/>
        </w:rPr>
      </w:r>
    </w:p>
    <w:sectPr>
      <w:headerReference w:type="default" r:id="rId6"/>
      <w:headerReference w:type="first" r:id="rId7"/>
      <w:footerReference w:type="default" r:id="rId8"/>
      <w:footerReference w:type="first" r:id="rId9"/>
      <w:type w:val="nextPage"/>
      <w:pgSz w:orient="landscape" w:w="16838" w:h="11906"/>
      <w:pgMar w:left="1134" w:right="1134" w:gutter="0" w:header="567" w:top="1701" w:footer="567" w:bottom="709"/>
      <w:pgNumType w:start="1" w:fmt="decimal"/>
      <w:formProt w:val="false"/>
      <w:titlePg/>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Times New Roman">
    <w:charset w:val="cc"/>
    <w:family w:val="roman"/>
    <w:pitch w:val="variable"/>
  </w:font>
  <w:font w:name="Arial">
    <w:charset w:val="cc"/>
    <w:family w:val="swiss"/>
    <w:pitch w:val="variable"/>
  </w:font>
  <w:font w:name="Calibri">
    <w:charset w:val="cc"/>
    <w:family w:val="swiss"/>
    <w:pitch w:val="variable"/>
  </w:font>
  <w:font w:name="Liberation Sans">
    <w:altName w:val="Arial"/>
    <w:charset w:val="cc"/>
    <w:family w:val="swiss"/>
    <w:pitch w:val="variable"/>
  </w:font>
  <w:font w:name="XO Thames">
    <w:charset w:val="cc"/>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29"/>
      <w:spacing w:lineRule="auto" w:line="240" w:before="0" w:after="120"/>
      <w:ind w:left="567" w:hanging="0"/>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29"/>
      <w:spacing w:before="0" w:after="200"/>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29"/>
      <w:spacing w:lineRule="auto" w:line="240" w:before="0" w:after="120"/>
      <w:ind w:left="567" w:hanging="0"/>
      <w:rPr/>
    </w:pPr>
    <w:r>
      <w:rPr/>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29"/>
      <w:spacing w:before="0" w:after="200"/>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28"/>
      <w:spacing w:lineRule="auto" w:line="240" w:before="0" w:after="0"/>
      <w:ind w:left="680" w:hanging="0"/>
      <w:rPr/>
    </w:pPr>
    <w:r>
      <w:rPr/>
    </w:r>
    <w:r>
      <mc:AlternateContent>
        <mc:Choice Requires="wps">
          <w:drawing>
            <wp:anchor behindDoc="0" distT="0" distB="0" distL="0" distR="0" simplePos="0" locked="0" layoutInCell="0" allowOverlap="1" relativeHeight="13">
              <wp:simplePos x="0" y="0"/>
              <wp:positionH relativeFrom="margin">
                <wp:align>center</wp:align>
              </wp:positionH>
              <wp:positionV relativeFrom="paragraph">
                <wp:posOffset>635</wp:posOffset>
              </wp:positionV>
              <wp:extent cx="140335" cy="160655"/>
              <wp:effectExtent l="0" t="0" r="0" b="0"/>
              <wp:wrapSquare wrapText="largest"/>
              <wp:docPr id="1" name="Врезка1"/>
              <a:graphic xmlns:a="http://schemas.openxmlformats.org/drawingml/2006/main">
                <a:graphicData uri="http://schemas.microsoft.com/office/word/2010/wordprocessingShape">
                  <wps:wsp>
                    <wps:cNvSpPr txBox="1"/>
                    <wps:spPr>
                      <a:xfrm>
                        <a:off x="0" y="0"/>
                        <a:ext cx="140335" cy="160655"/>
                      </a:xfrm>
                      <a:prstGeom prst="rect"/>
                      <a:solidFill>
                        <a:srgbClr val="FFFFFF">
                          <a:alpha val="0"/>
                        </a:srgbClr>
                      </a:solidFill>
                    </wps:spPr>
                    <wps:txbx>
                      <w:txbxContent>
                        <w:p>
                          <w:pPr>
                            <w:pStyle w:val="Style28"/>
                            <w:spacing w:before="0" w:after="200"/>
                            <w:ind w:left="0" w:hanging="0"/>
                            <w:jc w:val="center"/>
                            <w:rPr>
                              <w:rStyle w:val="Style16"/>
                            </w:rPr>
                          </w:pPr>
                          <w:r>
                            <w:rPr>
                              <w:rStyle w:val="Style16"/>
                            </w:rPr>
                            <w:fldChar w:fldCharType="begin"/>
                          </w:r>
                          <w:r>
                            <w:rPr>
                              <w:rStyle w:val="Style16"/>
                            </w:rPr>
                            <w:instrText xml:space="preserve"> PAGE </w:instrText>
                          </w:r>
                          <w:r>
                            <w:rPr>
                              <w:rStyle w:val="Style16"/>
                            </w:rPr>
                            <w:fldChar w:fldCharType="separate"/>
                          </w:r>
                          <w:r>
                            <w:rPr>
                              <w:rStyle w:val="Style16"/>
                            </w:rPr>
                            <w:t>13</w:t>
                          </w:r>
                          <w:r>
                            <w:rPr>
                              <w:rStyle w:val="Style16"/>
                            </w:rPr>
                            <w:fldChar w:fldCharType="end"/>
                          </w:r>
                        </w:p>
                      </w:txbxContent>
                    </wps:txbx>
                    <wps:bodyPr anchor="t" lIns="0" tIns="0" rIns="0" bIns="0">
                      <a:noAutofit/>
                    </wps:bodyPr>
                  </wps:wsp>
                </a:graphicData>
              </a:graphic>
            </wp:anchor>
          </w:drawing>
        </mc:Choice>
        <mc:Fallback>
          <w:pict>
            <v:rect fillcolor="#FFFFFF" style="position:absolute;rotation:-0;width:11.05pt;height:12.65pt;mso-wrap-distance-left:0pt;mso-wrap-distance-right:0pt;mso-wrap-distance-top:0pt;mso-wrap-distance-bottom:0pt;margin-top:0.05pt;mso-position-vertical-relative:text;margin-left:231.9pt;mso-position-horizontal:center;mso-position-horizontal-relative:margin">
              <v:fill opacity="0f"/>
              <v:textbox inset="0in,0in,0in,0in">
                <w:txbxContent>
                  <w:p>
                    <w:pPr>
                      <w:pStyle w:val="Style28"/>
                      <w:spacing w:before="0" w:after="200"/>
                      <w:ind w:left="0" w:hanging="0"/>
                      <w:jc w:val="center"/>
                      <w:rPr>
                        <w:rStyle w:val="Style16"/>
                      </w:rPr>
                    </w:pPr>
                    <w:r>
                      <w:rPr>
                        <w:rStyle w:val="Style16"/>
                      </w:rPr>
                      <w:fldChar w:fldCharType="begin"/>
                    </w:r>
                    <w:r>
                      <w:rPr>
                        <w:rStyle w:val="Style16"/>
                      </w:rPr>
                      <w:instrText xml:space="preserve"> PAGE </w:instrText>
                    </w:r>
                    <w:r>
                      <w:rPr>
                        <w:rStyle w:val="Style16"/>
                      </w:rPr>
                      <w:fldChar w:fldCharType="separate"/>
                    </w:r>
                    <w:r>
                      <w:rPr>
                        <w:rStyle w:val="Style16"/>
                      </w:rPr>
                      <w:t>13</w:t>
                    </w:r>
                    <w:r>
                      <w:rPr>
                        <w:rStyle w:val="Style16"/>
                      </w:rPr>
                      <w:fldChar w:fldCharType="end"/>
                    </w:r>
                  </w:p>
                </w:txbxContent>
              </v:textbox>
              <w10:wrap type="square" side="largest"/>
            </v:rect>
          </w:pict>
        </mc:Fallback>
      </mc:AlternateContent>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28"/>
      <w:spacing w:before="0" w:after="200"/>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28"/>
      <w:spacing w:lineRule="auto" w:line="240" w:before="0" w:after="0"/>
      <w:ind w:left="680" w:hanging="0"/>
      <w:rPr/>
    </w:pPr>
    <w:r>
      <w:rPr/>
    </w:r>
    <w:r>
      <mc:AlternateContent>
        <mc:Choice Requires="wps">
          <w:drawing>
            <wp:anchor behindDoc="0" distT="0" distB="0" distL="0" distR="0" simplePos="0" locked="0" layoutInCell="0" allowOverlap="1" relativeHeight="14">
              <wp:simplePos x="0" y="0"/>
              <wp:positionH relativeFrom="margin">
                <wp:align>center</wp:align>
              </wp:positionH>
              <wp:positionV relativeFrom="paragraph">
                <wp:posOffset>635</wp:posOffset>
              </wp:positionV>
              <wp:extent cx="70485" cy="160655"/>
              <wp:effectExtent l="0" t="0" r="0" b="0"/>
              <wp:wrapSquare wrapText="largest"/>
              <wp:docPr id="2" name="Врезка2"/>
              <a:graphic xmlns:a="http://schemas.openxmlformats.org/drawingml/2006/main">
                <a:graphicData uri="http://schemas.microsoft.com/office/word/2010/wordprocessingShape">
                  <wps:wsp>
                    <wps:cNvSpPr txBox="1"/>
                    <wps:spPr>
                      <a:xfrm>
                        <a:off x="0" y="0"/>
                        <a:ext cx="70485" cy="160655"/>
                      </a:xfrm>
                      <a:prstGeom prst="rect"/>
                      <a:solidFill>
                        <a:srgbClr val="FFFFFF">
                          <a:alpha val="0"/>
                        </a:srgbClr>
                      </a:solidFill>
                    </wps:spPr>
                    <wps:txbx>
                      <w:txbxContent>
                        <w:p>
                          <w:pPr>
                            <w:pStyle w:val="Style28"/>
                            <w:spacing w:before="0" w:after="200"/>
                            <w:ind w:left="0" w:hanging="0"/>
                            <w:jc w:val="center"/>
                            <w:rPr/>
                          </w:pPr>
                          <w:r>
                            <w:rPr>
                              <w:rStyle w:val="Style16"/>
                            </w:rPr>
                            <w:fldChar w:fldCharType="begin"/>
                          </w:r>
                          <w:r>
                            <w:rPr>
                              <w:rStyle w:val="Style16"/>
                            </w:rPr>
                            <w:instrText xml:space="preserve"> PAGE </w:instrText>
                          </w:r>
                          <w:r>
                            <w:rPr>
                              <w:rStyle w:val="Style16"/>
                            </w:rPr>
                            <w:fldChar w:fldCharType="separate"/>
                          </w:r>
                          <w:r>
                            <w:rPr>
                              <w:rStyle w:val="Style16"/>
                            </w:rPr>
                            <w:t>3</w:t>
                          </w:r>
                          <w:r>
                            <w:rPr>
                              <w:rStyle w:val="Style16"/>
                            </w:rPr>
                            <w:fldChar w:fldCharType="end"/>
                          </w:r>
                        </w:p>
                      </w:txbxContent>
                    </wps:txbx>
                    <wps:bodyPr anchor="t" lIns="0" tIns="0" rIns="0" bIns="0">
                      <a:noAutofit/>
                    </wps:bodyPr>
                  </wps:wsp>
                </a:graphicData>
              </a:graphic>
            </wp:anchor>
          </w:drawing>
        </mc:Choice>
        <mc:Fallback>
          <w:pict>
            <v:rect fillcolor="#FFFFFF" style="position:absolute;rotation:-0;width:5.55pt;height:12.65pt;mso-wrap-distance-left:0pt;mso-wrap-distance-right:0pt;mso-wrap-distance-top:0pt;mso-wrap-distance-bottom:0pt;margin-top:0.05pt;mso-position-vertical-relative:text;margin-left:361.5pt;mso-position-horizontal:center;mso-position-horizontal-relative:margin">
              <v:fill opacity="0f"/>
              <v:textbox inset="0in,0in,0in,0in">
                <w:txbxContent>
                  <w:p>
                    <w:pPr>
                      <w:pStyle w:val="Style28"/>
                      <w:spacing w:before="0" w:after="200"/>
                      <w:ind w:left="0" w:hanging="0"/>
                      <w:jc w:val="center"/>
                      <w:rPr/>
                    </w:pPr>
                    <w:r>
                      <w:rPr>
                        <w:rStyle w:val="Style16"/>
                      </w:rPr>
                      <w:fldChar w:fldCharType="begin"/>
                    </w:r>
                    <w:r>
                      <w:rPr>
                        <w:rStyle w:val="Style16"/>
                      </w:rPr>
                      <w:instrText xml:space="preserve"> PAGE </w:instrText>
                    </w:r>
                    <w:r>
                      <w:rPr>
                        <w:rStyle w:val="Style16"/>
                      </w:rPr>
                      <w:fldChar w:fldCharType="separate"/>
                    </w:r>
                    <w:r>
                      <w:rPr>
                        <w:rStyle w:val="Style16"/>
                      </w:rPr>
                      <w:t>3</w:t>
                    </w:r>
                    <w:r>
                      <w:rPr>
                        <w:rStyle w:val="Style16"/>
                      </w:rPr>
                      <w:fldChar w:fldCharType="end"/>
                    </w:r>
                  </w:p>
                </w:txbxContent>
              </v:textbox>
              <w10:wrap type="square" side="largest"/>
            </v:rect>
          </w:pict>
        </mc:Fallback>
      </mc:AlternateContent>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28"/>
      <w:spacing w:before="0" w:after="200"/>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decimal"/>
      <w:suff w:val="space"/>
      <w:lvlText w:val="%1."/>
      <w:lvlJc w:val="left"/>
      <w:pPr>
        <w:tabs>
          <w:tab w:val="num" w:pos="0"/>
        </w:tabs>
        <w:ind w:left="0" w:firstLine="709"/>
      </w:pPr>
      <w:rPr>
        <w:b/>
        <w:rFonts w:cs="Times New Roman"/>
      </w:rPr>
    </w:lvl>
    <w:lvl w:ilvl="1">
      <w:start w:val="1"/>
      <w:numFmt w:val="decimal"/>
      <w:suff w:val="space"/>
      <w:lvlText w:val="%1.%2."/>
      <w:lvlJc w:val="left"/>
      <w:pPr>
        <w:tabs>
          <w:tab w:val="num" w:pos="0"/>
        </w:tabs>
        <w:ind w:left="1" w:firstLine="709"/>
      </w:pPr>
      <w:rPr>
        <w:sz w:val="26"/>
        <w:b w:val="false"/>
        <w:szCs w:val="26"/>
        <w:rFonts w:cs="Times New Roman"/>
        <w:color w:val="000000"/>
      </w:rPr>
    </w:lvl>
    <w:lvl w:ilvl="2">
      <w:start w:val="1"/>
      <w:numFmt w:val="decimal"/>
      <w:suff w:val="space"/>
      <w:lvlText w:val="%1.%2.%3."/>
      <w:lvlJc w:val="left"/>
      <w:pPr>
        <w:tabs>
          <w:tab w:val="num" w:pos="0"/>
        </w:tabs>
        <w:ind w:left="0" w:firstLine="720"/>
      </w:pPr>
      <w:rPr>
        <w:b w:val="false"/>
        <w:rFonts w:cs="Times New Roman"/>
        <w:color w:val="000000"/>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3">
    <w:lvl w:ilvl="0">
      <w:start w:val="1"/>
      <w:numFmt w:val="decimal"/>
      <w:lvlText w:val="%1."/>
      <w:lvlJc w:val="left"/>
      <w:pPr>
        <w:tabs>
          <w:tab w:val="num" w:pos="720"/>
        </w:tabs>
        <w:ind w:left="720" w:hanging="360"/>
      </w:pPr>
      <w:r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30"/>
  <w:defaultTabStop w:val="708"/>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Arial"/>
        <w:sz w:val="24"/>
        <w:szCs w:val="24"/>
        <w:lang w:val="ru-RU" w:eastAsia="zh-CN" w:bidi="hi-IN"/>
      </w:rPr>
    </w:rPrDefault>
    <w:pPrDefault>
      <w:pPr>
        <w:suppressAutoHyphens w:val="true"/>
      </w:pPr>
    </w:pPrDefault>
  </w:docDefaults>
  <w:style w:type="paragraph" w:styleId="Normal">
    <w:name w:val="Normal"/>
    <w:qFormat/>
    <w:pPr>
      <w:widowControl/>
      <w:suppressAutoHyphens w:val="true"/>
      <w:bidi w:val="0"/>
      <w:spacing w:lineRule="auto" w:line="276" w:before="0" w:after="200"/>
      <w:ind w:left="794" w:hanging="0"/>
    </w:pPr>
    <w:rPr>
      <w:rFonts w:ascii="Times New Roman" w:hAnsi="Times New Roman" w:eastAsia="Times New Roman" w:cs="Times New Roman"/>
      <w:color w:val="auto"/>
      <w:sz w:val="22"/>
      <w:szCs w:val="22"/>
      <w:lang w:val="ru-RU" w:eastAsia="zh-CN" w:bidi="ar-SA"/>
    </w:rPr>
  </w:style>
  <w:style w:type="paragraph" w:styleId="1">
    <w:name w:val="Heading 1"/>
    <w:basedOn w:val="Normal"/>
    <w:next w:val="Normal"/>
    <w:qFormat/>
    <w:pPr>
      <w:keepNext w:val="true"/>
      <w:numPr>
        <w:ilvl w:val="0"/>
        <w:numId w:val="1"/>
      </w:numPr>
      <w:spacing w:lineRule="auto" w:line="240" w:before="240" w:after="60"/>
      <w:outlineLvl w:val="0"/>
    </w:pPr>
    <w:rPr>
      <w:rFonts w:ascii="Arial" w:hAnsi="Arial" w:eastAsia="Calibri" w:cs="Arial"/>
      <w:b/>
      <w:bCs/>
      <w:kern w:val="2"/>
      <w:sz w:val="32"/>
      <w:szCs w:val="32"/>
    </w:rPr>
  </w:style>
  <w:style w:type="character" w:styleId="WW8Num3z0">
    <w:name w:val="WW8Num3z0"/>
    <w:qFormat/>
    <w:rPr>
      <w:rFonts w:cs="Times New Roman"/>
      <w:b/>
    </w:rPr>
  </w:style>
  <w:style w:type="character" w:styleId="WW8Num3z1">
    <w:name w:val="WW8Num3z1"/>
    <w:qFormat/>
    <w:rPr>
      <w:rFonts w:cs="Times New Roman"/>
      <w:b w:val="false"/>
      <w:color w:val="000000"/>
      <w:sz w:val="26"/>
      <w:szCs w:val="26"/>
    </w:rPr>
  </w:style>
  <w:style w:type="character" w:styleId="WW8Num3z2">
    <w:name w:val="WW8Num3z2"/>
    <w:qFormat/>
    <w:rPr>
      <w:rFonts w:cs="Times New Roman"/>
      <w:b w:val="false"/>
      <w:color w:val="000000"/>
    </w:rPr>
  </w:style>
  <w:style w:type="character" w:styleId="WW8Num3z3">
    <w:name w:val="WW8Num3z3"/>
    <w:qFormat/>
    <w:rPr>
      <w:rFonts w:cs="Times New Roman"/>
    </w:rPr>
  </w:style>
  <w:style w:type="character" w:styleId="WW8Num4z0">
    <w:name w:val="WW8Num4z0"/>
    <w:qFormat/>
    <w:rPr/>
  </w:style>
  <w:style w:type="character" w:styleId="WW8Num5z0">
    <w:name w:val="WW8Num5z0"/>
    <w:qFormat/>
    <w:rPr>
      <w:rFonts w:cs="Times New Roman"/>
      <w:b/>
    </w:rPr>
  </w:style>
  <w:style w:type="character" w:styleId="WW8Num5z1">
    <w:name w:val="WW8Num5z1"/>
    <w:qFormat/>
    <w:rPr>
      <w:rFonts w:cs="Times New Roman"/>
      <w:b w:val="false"/>
      <w:color w:val="000000"/>
    </w:rPr>
  </w:style>
  <w:style w:type="character" w:styleId="WW8Num5z3">
    <w:name w:val="WW8Num5z3"/>
    <w:qFormat/>
    <w:rPr>
      <w:rFonts w:cs="Times New Roman"/>
    </w:rPr>
  </w:style>
  <w:style w:type="character" w:styleId="WW8Num6z0">
    <w:name w:val="WW8Num6z0"/>
    <w:qFormat/>
    <w:rPr>
      <w:sz w:val="26"/>
    </w:rPr>
  </w:style>
  <w:style w:type="character" w:styleId="Style13">
    <w:name w:val="Основной шрифт абзаца"/>
    <w:qFormat/>
    <w:rPr/>
  </w:style>
  <w:style w:type="character" w:styleId="WW8Num1z0">
    <w:name w:val="WW8Num1z0"/>
    <w:qFormat/>
    <w:rPr>
      <w:rFonts w:cs="Times New Roman"/>
    </w:rPr>
  </w:style>
  <w:style w:type="character" w:styleId="WW8Num1z1">
    <w:name w:val="WW8Num1z1"/>
    <w:qFormat/>
    <w:rPr>
      <w:rFonts w:cs="Times New Roman"/>
    </w:rPr>
  </w:style>
  <w:style w:type="character" w:styleId="WW8Num2z0">
    <w:name w:val="WW8Num2z0"/>
    <w:qFormat/>
    <w:rPr>
      <w:b w:val="false"/>
    </w:rPr>
  </w:style>
  <w:style w:type="character" w:styleId="WW8Num4z1">
    <w:name w:val="WW8Num4z1"/>
    <w:qFormat/>
    <w:rPr>
      <w:rFonts w:cs="Times New Roman"/>
      <w:b w:val="false"/>
      <w:color w:val="000000"/>
    </w:rPr>
  </w:style>
  <w:style w:type="character" w:styleId="WW8Num4z3">
    <w:name w:val="WW8Num4z3"/>
    <w:qFormat/>
    <w:rPr>
      <w:rFonts w:cs="Times New Roman"/>
    </w:rPr>
  </w:style>
  <w:style w:type="character" w:styleId="WW8Num7z0">
    <w:name w:val="WW8Num7z0"/>
    <w:qFormat/>
    <w:rPr>
      <w:rFonts w:cs="Times New Roman"/>
      <w:b/>
    </w:rPr>
  </w:style>
  <w:style w:type="character" w:styleId="WW8Num7z1">
    <w:name w:val="WW8Num7z1"/>
    <w:qFormat/>
    <w:rPr>
      <w:rFonts w:cs="Times New Roman"/>
      <w:b w:val="false"/>
      <w:color w:val="000000"/>
    </w:rPr>
  </w:style>
  <w:style w:type="character" w:styleId="WW8Num7z3">
    <w:name w:val="WW8Num7z3"/>
    <w:qFormat/>
    <w:rPr>
      <w:rFonts w:cs="Times New Roman"/>
    </w:rPr>
  </w:style>
  <w:style w:type="character" w:styleId="WW8Num8z0">
    <w:name w:val="WW8Num8z0"/>
    <w:qFormat/>
    <w:rPr>
      <w:rFonts w:cs="Times New Roman"/>
      <w:b/>
    </w:rPr>
  </w:style>
  <w:style w:type="character" w:styleId="WW8Num8z1">
    <w:name w:val="WW8Num8z1"/>
    <w:qFormat/>
    <w:rPr>
      <w:rFonts w:cs="Times New Roman"/>
      <w:b w:val="false"/>
      <w:color w:val="000000"/>
    </w:rPr>
  </w:style>
  <w:style w:type="character" w:styleId="WW8Num8z3">
    <w:name w:val="WW8Num8z3"/>
    <w:qFormat/>
    <w:rPr>
      <w:rFonts w:cs="Times New Roman"/>
    </w:rPr>
  </w:style>
  <w:style w:type="character" w:styleId="WW8Num9z0">
    <w:name w:val="WW8Num9z0"/>
    <w:qFormat/>
    <w:rPr>
      <w:rFonts w:cs="Times New Roman"/>
      <w:b/>
    </w:rPr>
  </w:style>
  <w:style w:type="character" w:styleId="WW8Num9z1">
    <w:name w:val="WW8Num9z1"/>
    <w:qFormat/>
    <w:rPr>
      <w:rFonts w:cs="Times New Roman"/>
      <w:b w:val="false"/>
      <w:color w:val="000000"/>
    </w:rPr>
  </w:style>
  <w:style w:type="character" w:styleId="WW8Num9z3">
    <w:name w:val="WW8Num9z3"/>
    <w:qFormat/>
    <w:rPr>
      <w:rFonts w:cs="Times New Roman"/>
    </w:rPr>
  </w:style>
  <w:style w:type="character" w:styleId="WW8Num10z0">
    <w:name w:val="WW8Num10z0"/>
    <w:qFormat/>
    <w:rPr>
      <w:rFonts w:cs="Times New Roman"/>
      <w:b/>
    </w:rPr>
  </w:style>
  <w:style w:type="character" w:styleId="WW8Num10z1">
    <w:name w:val="WW8Num10z1"/>
    <w:qFormat/>
    <w:rPr>
      <w:rFonts w:cs="Times New Roman"/>
      <w:b w:val="false"/>
      <w:color w:val="000000"/>
    </w:rPr>
  </w:style>
  <w:style w:type="character" w:styleId="WW8Num10z3">
    <w:name w:val="WW8Num10z3"/>
    <w:qFormat/>
    <w:rPr>
      <w:rFonts w:cs="Times New Roman"/>
    </w:rPr>
  </w:style>
  <w:style w:type="character" w:styleId="WW8Num11z0">
    <w:name w:val="WW8Num11z0"/>
    <w:qFormat/>
    <w:rPr/>
  </w:style>
  <w:style w:type="character" w:styleId="WW8Num12z0">
    <w:name w:val="WW8Num12z0"/>
    <w:qFormat/>
    <w:rPr>
      <w:rFonts w:cs="Times New Roman"/>
      <w:b/>
    </w:rPr>
  </w:style>
  <w:style w:type="character" w:styleId="WW8Num12z1">
    <w:name w:val="WW8Num12z1"/>
    <w:qFormat/>
    <w:rPr>
      <w:rFonts w:cs="Times New Roman"/>
      <w:b w:val="false"/>
      <w:color w:val="000000"/>
    </w:rPr>
  </w:style>
  <w:style w:type="character" w:styleId="WW8Num12z3">
    <w:name w:val="WW8Num12z3"/>
    <w:qFormat/>
    <w:rPr>
      <w:rFonts w:cs="Times New Roman"/>
    </w:rPr>
  </w:style>
  <w:style w:type="character" w:styleId="WW8Num13z0">
    <w:name w:val="WW8Num13z0"/>
    <w:qFormat/>
    <w:rPr/>
  </w:style>
  <w:style w:type="character" w:styleId="WW8Num13z1">
    <w:name w:val="WW8Num13z1"/>
    <w:qFormat/>
    <w:rPr>
      <w:b w:val="false"/>
      <w:i w:val="false"/>
      <w:color w:val="000000"/>
      <w:sz w:val="24"/>
      <w:szCs w:val="24"/>
    </w:rPr>
  </w:style>
  <w:style w:type="character" w:styleId="WW8Num13z2">
    <w:name w:val="WW8Num13z2"/>
    <w:qFormat/>
    <w:rPr>
      <w:b w:val="false"/>
      <w:i w:val="false"/>
    </w:rPr>
  </w:style>
  <w:style w:type="character" w:styleId="11">
    <w:name w:val="Основной шрифт абзаца1"/>
    <w:qFormat/>
    <w:rPr/>
  </w:style>
  <w:style w:type="character" w:styleId="DocumentHeader1">
    <w:name w:val="Document Header1 Знак"/>
    <w:qFormat/>
    <w:rPr>
      <w:rFonts w:ascii="Arial" w:hAnsi="Arial" w:eastAsia="Calibri" w:cs="Arial"/>
      <w:b/>
      <w:bCs/>
      <w:kern w:val="2"/>
      <w:sz w:val="32"/>
      <w:szCs w:val="32"/>
      <w:lang w:val="ru-RU" w:bidi="ar-SA"/>
    </w:rPr>
  </w:style>
  <w:style w:type="character" w:styleId="12">
    <w:name w:val=" Знак Знак1"/>
    <w:qFormat/>
    <w:rPr>
      <w:rFonts w:eastAsia="Calibri"/>
      <w:lang w:val="ru-RU" w:bidi="ar-SA"/>
    </w:rPr>
  </w:style>
  <w:style w:type="character" w:styleId="CharChar">
    <w:name w:val="Обычный Char Char"/>
    <w:qFormat/>
    <w:rPr>
      <w:rFonts w:eastAsia="Calibri"/>
      <w:sz w:val="22"/>
      <w:szCs w:val="22"/>
      <w:lang w:val="ru-RU" w:bidi="ar-SA"/>
    </w:rPr>
  </w:style>
  <w:style w:type="character" w:styleId="NoSpacingChar">
    <w:name w:val="No Spacing Char"/>
    <w:qFormat/>
    <w:rPr>
      <w:sz w:val="22"/>
      <w:szCs w:val="22"/>
      <w:lang w:val="ru-RU" w:bidi="ar-SA"/>
    </w:rPr>
  </w:style>
  <w:style w:type="character" w:styleId="ListParagraphChar">
    <w:name w:val="List Paragraph Char"/>
    <w:qFormat/>
    <w:rPr>
      <w:sz w:val="24"/>
      <w:lang w:val="ru-RU" w:bidi="ar-SA"/>
    </w:rPr>
  </w:style>
  <w:style w:type="character" w:styleId="Style14">
    <w:name w:val=" Знак Знак"/>
    <w:qFormat/>
    <w:rPr>
      <w:rFonts w:ascii="Calibri" w:hAnsi="Calibri" w:eastAsia="Droid Sans;MS Mincho" w:cs="Calibri"/>
      <w:kern w:val="2"/>
      <w:lang w:val="ru-RU" w:bidi="ar-SA"/>
    </w:rPr>
  </w:style>
  <w:style w:type="character" w:styleId="Style15">
    <w:name w:val="Символ сноски"/>
    <w:qFormat/>
    <w:rPr>
      <w:rFonts w:cs="Times New Roman"/>
      <w:vertAlign w:val="superscript"/>
    </w:rPr>
  </w:style>
  <w:style w:type="character" w:styleId="Style16">
    <w:name w:val="Page Number"/>
    <w:basedOn w:val="11"/>
    <w:rPr/>
  </w:style>
  <w:style w:type="character" w:styleId="Style17">
    <w:name w:val="Без интервала Знак"/>
    <w:qFormat/>
    <w:rPr>
      <w:rFonts w:ascii="Calibri" w:hAnsi="Calibri" w:eastAsia="Calibri" w:cs="Calibri"/>
      <w:sz w:val="22"/>
      <w:szCs w:val="22"/>
      <w:lang w:bidi="ar-SA"/>
    </w:rPr>
  </w:style>
  <w:style w:type="character" w:styleId="-">
    <w:name w:val="Hyperlink"/>
    <w:rPr>
      <w:color w:val="000080"/>
      <w:u w:val="single"/>
    </w:rPr>
  </w:style>
  <w:style w:type="character" w:styleId="FontStyle48">
    <w:name w:val="Font Style48"/>
    <w:basedOn w:val="Style13"/>
    <w:qFormat/>
    <w:rPr>
      <w:rFonts w:ascii="Times New Roman" w:hAnsi="Times New Roman" w:cs="Times New Roman"/>
      <w:sz w:val="24"/>
      <w:szCs w:val="24"/>
    </w:rPr>
  </w:style>
  <w:style w:type="character" w:styleId="Footnote1">
    <w:name w:val="Footnote1"/>
    <w:qFormat/>
    <w:rPr>
      <w:color w:val="000000"/>
      <w:lang w:bidi="ar-SA"/>
    </w:rPr>
  </w:style>
  <w:style w:type="character" w:styleId="Style18">
    <w:name w:val="Знак сноски"/>
    <w:basedOn w:val="Style13"/>
    <w:qFormat/>
    <w:rPr>
      <w:rFonts w:cs="Times New Roman"/>
      <w:vertAlign w:val="superscript"/>
      <w:lang w:val="ru-RU"/>
    </w:rPr>
  </w:style>
  <w:style w:type="paragraph" w:styleId="Style19">
    <w:name w:val="Заголовок"/>
    <w:basedOn w:val="Normal"/>
    <w:next w:val="Style20"/>
    <w:qFormat/>
    <w:pPr>
      <w:keepNext w:val="true"/>
      <w:spacing w:before="240" w:after="120"/>
    </w:pPr>
    <w:rPr>
      <w:rFonts w:ascii="Liberation Sans;Arial" w:hAnsi="Liberation Sans;Arial" w:eastAsia="Microsoft YaHei" w:cs="Mangal"/>
      <w:sz w:val="28"/>
      <w:szCs w:val="28"/>
    </w:rPr>
  </w:style>
  <w:style w:type="paragraph" w:styleId="Style20">
    <w:name w:val="Body Text"/>
    <w:basedOn w:val="Normal"/>
    <w:pPr>
      <w:spacing w:lineRule="auto" w:line="276" w:before="0" w:after="140"/>
    </w:pPr>
    <w:rPr/>
  </w:style>
  <w:style w:type="paragraph" w:styleId="Style21">
    <w:name w:val="List"/>
    <w:basedOn w:val="Style20"/>
    <w:pPr/>
    <w:rPr>
      <w:rFonts w:cs="Mangal"/>
    </w:rPr>
  </w:style>
  <w:style w:type="paragraph" w:styleId="Style22">
    <w:name w:val="Caption"/>
    <w:basedOn w:val="Normal"/>
    <w:qFormat/>
    <w:pPr>
      <w:suppressLineNumbers/>
      <w:spacing w:before="120" w:after="120"/>
    </w:pPr>
    <w:rPr>
      <w:rFonts w:cs="Arial"/>
      <w:i/>
      <w:iCs/>
      <w:sz w:val="24"/>
      <w:szCs w:val="24"/>
    </w:rPr>
  </w:style>
  <w:style w:type="paragraph" w:styleId="Style23">
    <w:name w:val="Указатель"/>
    <w:basedOn w:val="Normal"/>
    <w:qFormat/>
    <w:pPr>
      <w:suppressLineNumbers/>
    </w:pPr>
    <w:rPr>
      <w:rFonts w:cs="Arial"/>
    </w:rPr>
  </w:style>
  <w:style w:type="paragraph" w:styleId="Style24">
    <w:name w:val="Название объекта"/>
    <w:basedOn w:val="Normal"/>
    <w:qFormat/>
    <w:pPr>
      <w:suppressLineNumbers/>
      <w:spacing w:before="120" w:after="120"/>
    </w:pPr>
    <w:rPr>
      <w:rFonts w:cs="Mangal"/>
      <w:i/>
      <w:iCs/>
      <w:sz w:val="24"/>
      <w:szCs w:val="24"/>
    </w:rPr>
  </w:style>
  <w:style w:type="paragraph" w:styleId="13">
    <w:name w:val="Указатель1"/>
    <w:basedOn w:val="Normal"/>
    <w:qFormat/>
    <w:pPr>
      <w:suppressLineNumbers/>
    </w:pPr>
    <w:rPr>
      <w:rFonts w:cs="Mangal"/>
    </w:rPr>
  </w:style>
  <w:style w:type="paragraph" w:styleId="Style25">
    <w:name w:val="Body Text Indent"/>
    <w:basedOn w:val="Normal"/>
    <w:pPr>
      <w:spacing w:lineRule="auto" w:line="240" w:before="0" w:after="120"/>
      <w:ind w:left="283" w:right="0" w:hanging="0"/>
    </w:pPr>
    <w:rPr>
      <w:rFonts w:eastAsia="Calibri"/>
      <w:sz w:val="20"/>
      <w:szCs w:val="20"/>
    </w:rPr>
  </w:style>
  <w:style w:type="paragraph" w:styleId="ListParagraph">
    <w:name w:val="List Paragraph"/>
    <w:basedOn w:val="Normal"/>
    <w:qFormat/>
    <w:pPr>
      <w:spacing w:lineRule="auto" w:line="240" w:before="0" w:after="0"/>
      <w:ind w:left="708" w:right="0" w:hanging="0"/>
    </w:pPr>
    <w:rPr>
      <w:sz w:val="24"/>
      <w:szCs w:val="20"/>
    </w:rPr>
  </w:style>
  <w:style w:type="paragraph" w:styleId="NoSpacing">
    <w:name w:val="No Spacing"/>
    <w:qFormat/>
    <w:pPr>
      <w:widowControl/>
      <w:suppressAutoHyphens w:val="true"/>
      <w:bidi w:val="0"/>
      <w:ind w:left="794" w:hanging="0"/>
    </w:pPr>
    <w:rPr>
      <w:rFonts w:ascii="Times New Roman" w:hAnsi="Times New Roman" w:eastAsia="Times New Roman" w:cs="Times New Roman"/>
      <w:color w:val="auto"/>
      <w:sz w:val="22"/>
      <w:szCs w:val="22"/>
      <w:lang w:val="ru-RU" w:eastAsia="zh-CN" w:bidi="ar-SA"/>
    </w:rPr>
  </w:style>
  <w:style w:type="paragraph" w:styleId="FR1">
    <w:name w:val="FR1"/>
    <w:qFormat/>
    <w:pPr>
      <w:widowControl w:val="false"/>
      <w:suppressAutoHyphens w:val="true"/>
      <w:bidi w:val="0"/>
      <w:snapToGrid w:val="false"/>
      <w:spacing w:before="700" w:after="0"/>
      <w:ind w:left="794" w:hanging="0"/>
    </w:pPr>
    <w:rPr>
      <w:rFonts w:ascii="Times New Roman" w:hAnsi="Times New Roman" w:eastAsia="Calibri" w:cs="Times New Roman"/>
      <w:b/>
      <w:bCs/>
      <w:color w:val="auto"/>
      <w:sz w:val="28"/>
      <w:szCs w:val="28"/>
      <w:lang w:val="ru-RU" w:eastAsia="zh-CN" w:bidi="ar-SA"/>
    </w:rPr>
  </w:style>
  <w:style w:type="paragraph" w:styleId="14">
    <w:name w:val="Обычный1"/>
    <w:qFormat/>
    <w:pPr>
      <w:widowControl w:val="false"/>
      <w:suppressAutoHyphens w:val="true"/>
      <w:bidi w:val="0"/>
      <w:spacing w:lineRule="auto" w:line="300"/>
      <w:ind w:left="794" w:firstLine="720"/>
      <w:jc w:val="both"/>
    </w:pPr>
    <w:rPr>
      <w:rFonts w:ascii="Times New Roman" w:hAnsi="Times New Roman" w:eastAsia="Calibri" w:cs="Times New Roman"/>
      <w:color w:val="auto"/>
      <w:sz w:val="22"/>
      <w:szCs w:val="22"/>
      <w:lang w:val="ru-RU" w:eastAsia="zh-CN" w:bidi="ar-SA"/>
    </w:rPr>
  </w:style>
  <w:style w:type="paragraph" w:styleId="4">
    <w:name w:val="Обычный4"/>
    <w:qFormat/>
    <w:pPr>
      <w:widowControl w:val="false"/>
      <w:suppressAutoHyphens w:val="true"/>
      <w:bidi w:val="0"/>
      <w:spacing w:lineRule="auto" w:line="300"/>
      <w:ind w:left="794" w:firstLine="720"/>
      <w:jc w:val="both"/>
    </w:pPr>
    <w:rPr>
      <w:rFonts w:ascii="Times New Roman" w:hAnsi="Times New Roman" w:eastAsia="Calibri" w:cs="Times New Roman"/>
      <w:color w:val="auto"/>
      <w:sz w:val="24"/>
      <w:szCs w:val="24"/>
      <w:lang w:val="ru-RU" w:eastAsia="zh-CN" w:bidi="ar-SA"/>
    </w:rPr>
  </w:style>
  <w:style w:type="paragraph" w:styleId="Style26">
    <w:name w:val="Footnote Text"/>
    <w:basedOn w:val="Normal"/>
    <w:pPr>
      <w:suppressAutoHyphens w:val="true"/>
      <w:spacing w:lineRule="auto" w:line="240" w:before="0" w:after="0"/>
      <w:ind w:left="0" w:right="0" w:hanging="0"/>
    </w:pPr>
    <w:rPr>
      <w:rFonts w:ascii="Calibri" w:hAnsi="Calibri" w:eastAsia="Droid Sans;MS Mincho" w:cs="Calibri"/>
      <w:kern w:val="2"/>
      <w:sz w:val="20"/>
      <w:szCs w:val="20"/>
    </w:rPr>
  </w:style>
  <w:style w:type="paragraph" w:styleId="HeaderandFooter">
    <w:name w:val="Header and Footer"/>
    <w:basedOn w:val="Normal"/>
    <w:qFormat/>
    <w:pPr>
      <w:suppressLineNumbers/>
      <w:tabs>
        <w:tab w:val="clear" w:pos="708"/>
        <w:tab w:val="center" w:pos="4819" w:leader="none"/>
        <w:tab w:val="right" w:pos="9638" w:leader="none"/>
      </w:tabs>
    </w:pPr>
    <w:rPr/>
  </w:style>
  <w:style w:type="paragraph" w:styleId="Style27">
    <w:name w:val="Колонтитул"/>
    <w:basedOn w:val="Normal"/>
    <w:qFormat/>
    <w:pPr>
      <w:suppressLineNumbers/>
      <w:tabs>
        <w:tab w:val="clear" w:pos="708"/>
        <w:tab w:val="center" w:pos="4819" w:leader="none"/>
        <w:tab w:val="right" w:pos="9638" w:leader="none"/>
      </w:tabs>
    </w:pPr>
    <w:rPr/>
  </w:style>
  <w:style w:type="paragraph" w:styleId="Style28">
    <w:name w:val="Header"/>
    <w:basedOn w:val="Normal"/>
    <w:pPr>
      <w:tabs>
        <w:tab w:val="clear" w:pos="708"/>
        <w:tab w:val="center" w:pos="4677" w:leader="none"/>
        <w:tab w:val="right" w:pos="9355" w:leader="none"/>
      </w:tabs>
    </w:pPr>
    <w:rPr/>
  </w:style>
  <w:style w:type="paragraph" w:styleId="Style29">
    <w:name w:val="Footer"/>
    <w:basedOn w:val="Normal"/>
    <w:pPr>
      <w:tabs>
        <w:tab w:val="clear" w:pos="708"/>
        <w:tab w:val="center" w:pos="4677" w:leader="none"/>
        <w:tab w:val="right" w:pos="9355" w:leader="none"/>
      </w:tabs>
    </w:pPr>
    <w:rPr/>
  </w:style>
  <w:style w:type="paragraph" w:styleId="Style30">
    <w:name w:val="Без интервала"/>
    <w:qFormat/>
    <w:pPr>
      <w:widowControl/>
      <w:suppressAutoHyphens w:val="true"/>
      <w:bidi w:val="0"/>
    </w:pPr>
    <w:rPr>
      <w:rFonts w:ascii="Calibri" w:hAnsi="Calibri" w:eastAsia="Calibri" w:cs="Calibri"/>
      <w:color w:val="auto"/>
      <w:sz w:val="22"/>
      <w:szCs w:val="22"/>
      <w:lang w:val="ru-RU" w:eastAsia="zh-CN" w:bidi="ar-SA"/>
    </w:rPr>
  </w:style>
  <w:style w:type="paragraph" w:styleId="Style31">
    <w:name w:val="Содержимое таблицы"/>
    <w:basedOn w:val="Normal"/>
    <w:qFormat/>
    <w:pPr>
      <w:widowControl w:val="false"/>
      <w:suppressLineNumbers/>
    </w:pPr>
    <w:rPr/>
  </w:style>
  <w:style w:type="paragraph" w:styleId="Style32">
    <w:name w:val="Заголовок таблицы"/>
    <w:basedOn w:val="Style31"/>
    <w:qFormat/>
    <w:pPr>
      <w:suppressLineNumbers/>
      <w:jc w:val="center"/>
    </w:pPr>
    <w:rPr>
      <w:b/>
      <w:bCs/>
    </w:rPr>
  </w:style>
  <w:style w:type="paragraph" w:styleId="Style33">
    <w:name w:val="Содержимое врезки"/>
    <w:basedOn w:val="Normal"/>
    <w:qFormat/>
    <w:pPr/>
    <w:rPr/>
  </w:style>
  <w:style w:type="paragraph" w:styleId="ConsPlusNormal">
    <w:name w:val="ConsPlusNormal"/>
    <w:qFormat/>
    <w:pPr>
      <w:widowControl w:val="false"/>
      <w:autoSpaceDE w:val="false"/>
      <w:bidi w:val="0"/>
    </w:pPr>
    <w:rPr>
      <w:rFonts w:ascii="Times New Roman" w:hAnsi="Times New Roman" w:eastAsia="Times New Roman" w:cs="Times New Roman"/>
      <w:color w:val="auto"/>
      <w:sz w:val="24"/>
      <w:szCs w:val="20"/>
      <w:lang w:val="ru-RU" w:bidi="ar-SA" w:eastAsia="zh-CN"/>
    </w:rPr>
  </w:style>
  <w:style w:type="paragraph" w:styleId="ConsPlusTitle">
    <w:name w:val="ConsPlusTitle"/>
    <w:qFormat/>
    <w:pPr>
      <w:widowControl w:val="false"/>
      <w:autoSpaceDE w:val="false"/>
      <w:bidi w:val="0"/>
    </w:pPr>
    <w:rPr>
      <w:rFonts w:ascii="Times New Roman" w:hAnsi="Times New Roman" w:eastAsia="Times New Roman" w:cs="Times New Roman"/>
      <w:b/>
      <w:color w:val="auto"/>
      <w:sz w:val="24"/>
      <w:szCs w:val="20"/>
      <w:lang w:val="ru-RU" w:bidi="ar-SA" w:eastAsia="zh-CN"/>
    </w:rPr>
  </w:style>
  <w:style w:type="paragraph" w:styleId="ConsNormal">
    <w:name w:val="ConsNormal"/>
    <w:qFormat/>
    <w:pPr>
      <w:widowControl w:val="false"/>
      <w:autoSpaceDE w:val="false"/>
      <w:bidi w:val="0"/>
      <w:ind w:right="19772" w:firstLine="720"/>
    </w:pPr>
    <w:rPr>
      <w:rFonts w:ascii="Arial" w:hAnsi="Arial" w:eastAsia="Calibri" w:cs="Arial"/>
      <w:color w:val="auto"/>
      <w:sz w:val="20"/>
      <w:szCs w:val="20"/>
      <w:lang w:val="ru-RU" w:bidi="ar-SA" w:eastAsia="zh-CN"/>
    </w:rPr>
  </w:style>
  <w:style w:type="paragraph" w:styleId="Default">
    <w:name w:val="Default"/>
    <w:qFormat/>
    <w:pPr>
      <w:widowControl/>
      <w:autoSpaceDE w:val="false"/>
      <w:bidi w:val="0"/>
    </w:pPr>
    <w:rPr>
      <w:rFonts w:ascii="Calibri" w:hAnsi="Calibri" w:eastAsia="Times New Roman" w:cs="Calibri"/>
      <w:color w:val="000000"/>
      <w:sz w:val="24"/>
      <w:szCs w:val="24"/>
      <w:lang w:val="ru-RU" w:bidi="ar-SA" w:eastAsia="zh-CN"/>
    </w:rPr>
  </w:style>
  <w:style w:type="paragraph" w:styleId="15">
    <w:name w:val="Абзац списка1"/>
    <w:basedOn w:val="Normal"/>
    <w:qFormat/>
    <w:pPr>
      <w:suppressAutoHyphens w:val="false"/>
      <w:spacing w:lineRule="auto" w:line="240" w:before="0" w:after="0"/>
      <w:ind w:left="720" w:hanging="0"/>
      <w:contextualSpacing/>
    </w:pPr>
    <w:rPr>
      <w:sz w:val="24"/>
      <w:szCs w:val="28"/>
    </w:rPr>
  </w:style>
  <w:style w:type="paragraph" w:styleId="B-goods-specifications-title">
    <w:name w:val="b-goods-specifications-title"/>
    <w:basedOn w:val="Normal"/>
    <w:qFormat/>
    <w:pPr>
      <w:suppressAutoHyphens w:val="false"/>
      <w:spacing w:lineRule="atLeast" w:line="276" w:before="280" w:after="46"/>
      <w:ind w:left="0" w:hanging="0"/>
    </w:pPr>
    <w:rPr>
      <w:b/>
      <w:bCs/>
      <w:sz w:val="21"/>
      <w:szCs w:val="21"/>
    </w:rPr>
  </w:style>
  <w:style w:type="paragraph" w:styleId="Footnote">
    <w:name w:val="Footnote"/>
    <w:basedOn w:val="Normal"/>
    <w:qFormat/>
    <w:pPr>
      <w:spacing w:lineRule="auto" w:line="240" w:before="0" w:after="0"/>
      <w:ind w:left="0" w:hanging="0"/>
    </w:pPr>
    <w:rPr>
      <w:color w:val="000000"/>
      <w:sz w:val="20"/>
      <w:szCs w:val="20"/>
      <w:lang w:val="ru-RU" w:eastAsia="ru-RU"/>
    </w:rPr>
  </w:style>
  <w:style w:type="paragraph" w:styleId="16">
    <w:name w:val="Знак сноски1"/>
    <w:qFormat/>
    <w:pPr>
      <w:widowControl/>
      <w:suppressAutoHyphens w:val="true"/>
      <w:bidi w:val="0"/>
    </w:pPr>
    <w:rPr>
      <w:rFonts w:ascii="Times New Roman" w:hAnsi="Times New Roman" w:eastAsia="Times New Roman" w:cs="Times New Roman"/>
      <w:color w:val="auto"/>
      <w:sz w:val="20"/>
      <w:szCs w:val="20"/>
      <w:vertAlign w:val="superscript"/>
      <w:lang w:bidi="ar-SA" w:val="ru-RU" w:eastAsia="zh-CN"/>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footer" Target="footer1.xml"/><Relationship Id="rId5" Type="http://schemas.openxmlformats.org/officeDocument/2006/relationships/footer" Target="footer2.xml"/><Relationship Id="rId6" Type="http://schemas.openxmlformats.org/officeDocument/2006/relationships/header" Target="header3.xml"/><Relationship Id="rId7" Type="http://schemas.openxmlformats.org/officeDocument/2006/relationships/header" Target="header4.xml"/><Relationship Id="rId8" Type="http://schemas.openxmlformats.org/officeDocument/2006/relationships/footer" Target="footer3.xml"/><Relationship Id="rId9" Type="http://schemas.openxmlformats.org/officeDocument/2006/relationships/footer" Target="footer4.xml"/><Relationship Id="rId10" Type="http://schemas.openxmlformats.org/officeDocument/2006/relationships/numbering" Target="numbering.xml"/><Relationship Id="rId11" Type="http://schemas.openxmlformats.org/officeDocument/2006/relationships/fontTable" Target="fontTable.xml"/><Relationship Id="rId12"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Normal.dot_x0000_</Template>
  <TotalTime>224</TotalTime>
  <Application>LibreOffice/7.5.5.2$Windows_X86_64 LibreOffice_project/ca8fe7424262805f223b9a2334bc7181abbcbf5e</Application>
  <AppVersion>15.0000</AppVersion>
  <Pages>17</Pages>
  <Words>4737</Words>
  <Characters>34171</Characters>
  <CharactersWithSpaces>39012</CharactersWithSpaces>
  <Paragraphs>268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2026-05-13T11:47:00Z</dcterms:created>
  <dc:creator>user</dc:creator>
  <dc:description/>
  <cp:keywords/>
  <dc:language>ru-RU</dc:language>
  <cp:lastModifiedBy>user</cp:lastModifiedBy>
  <cp:lastPrinted>2026-08-20T11:47:00Z</cp:lastPrinted>
  <dcterms:modified xsi:type="dcterms:W3CDTF">2026-08-24T10:23:00Z</dcterms:modified>
  <cp:revision>31</cp:revision>
  <dc:subject/>
  <dc:title>ПРОЕКТ КОНТРАКТА</dc:title>
</cp:coreProperties>
</file>