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Проект Государственного к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онтракта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№ ___________ 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на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казание услуг по утилизации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АРМ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,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средств печати и копирования данных</w:t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 г. Томск          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«___» _____  2026 г.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firstLine="284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Управление Федеральной службы государственной регистрации, кадастра и картографии по Томской области, (Управление Росреестра по Томской области)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выступающее от имени Российской Федерации, именуемо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 дальнейшем «Заказчик»,  в лице ________________________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действующего на основании _________________________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 одной стороны и ______________, именуемое в дальнейшем «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», в лице_______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_______________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______, действующего на основании ________________________________, с другой стороны, в дальнейшем вместе именуемые «Стороны», и каждый в отдельно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сти «Сторона», в соответствии с пунктом 4 части 1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Федеральный з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акон от 05.04.2013 № 44-ФЗ)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заключили настоящий Государственный контракт (далее – Контракт) о нижеследующем: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567"/>
        <w:jc w:val="both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 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firstLine="0"/>
        <w:jc w:val="center"/>
        <w:widowControl w:val="off"/>
        <w:rPr>
          <w:rFonts w:ascii="PT Astra Serif" w:hAnsi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1. ПРЕДМЕТ КОНТРАКТА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outlineLvl w:val="2"/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1.1. Предметом настоящего контракта является 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казание услуг по утилизации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АРМ,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средств печати и копирования данных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(далее-Услуги)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Заказчик поручает, а Исполнитель принимает на себя обязательства оказать Услуги в соответствии с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Описанием объекта закупки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(Прилож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ение 1 к Контракту), Спецификацией (Приложение 2 к Контракту),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outlineLvl w:val="2"/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1.2. При исполнении Контракта по согласованию Заказчика с Исполнителем допускается оказание Услуг, качество, технические и</w:t>
      </w:r>
      <w:bookmarkStart w:id="0" w:name="_GoBack"/>
      <w:r>
        <w:rPr>
          <w:rFonts w:ascii="PT Astra Serif" w:hAnsi="PT Astra Serif" w:eastAsia="PT Astra Serif" w:cs="PT Astra Serif"/>
          <w:sz w:val="22"/>
          <w:szCs w:val="22"/>
        </w:rPr>
      </w:r>
      <w:bookmarkEnd w:id="0"/>
      <w:r>
        <w:rPr>
          <w:rFonts w:ascii="PT Astra Serif" w:hAnsi="PT Astra Serif" w:eastAsia="PT Astra Serif" w:cs="PT Astra Serif"/>
          <w:sz w:val="22"/>
          <w:szCs w:val="22"/>
        </w:rPr>
        <w:t xml:space="preserve">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outlineLvl w:val="2"/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1.3. Услуги по настоящему Контракту оказываются Исполнителем в соответствии с действующим законодательством Российской Федерации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действующей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лицензи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_________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________________.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567"/>
        <w:jc w:val="both"/>
        <w:rPr>
          <w:rFonts w:ascii="PT Astra Serif" w:hAnsi="PT Astra Serif" w:cs="PT Astra Serif"/>
          <w:sz w:val="22"/>
          <w:szCs w:val="22"/>
        </w:rPr>
        <w:outlineLvl w:val="2"/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0"/>
        <w:jc w:val="center"/>
        <w:rPr>
          <w:rFonts w:ascii="PT Astra Serif" w:hAnsi="PT Astra Serif" w:cs="PT Astra Serif"/>
          <w:b/>
          <w:sz w:val="22"/>
          <w:szCs w:val="22"/>
        </w:rPr>
        <w:outlineLvl w:val="2"/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2. ЦЕНА КОНТРАКТА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888"/>
        <w:ind w:firstLine="709"/>
        <w:jc w:val="both"/>
        <w:widowControl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2.1. Цена контракта составляет _____ (сумма прописью),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 том числе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НДС</w:t>
      </w:r>
      <w:r>
        <w:rPr>
          <w:rStyle w:val="905"/>
          <w:rFonts w:ascii="PT Astra Serif" w:hAnsi="PT Astra Serif" w:eastAsia="PT Astra Serif" w:cs="PT Astra Serif"/>
          <w:sz w:val="22"/>
          <w:szCs w:val="22"/>
        </w:rPr>
        <w:footnoteReference w:id="2"/>
      </w:r>
      <w:r>
        <w:rPr>
          <w:rFonts w:ascii="PT Astra Serif" w:hAnsi="PT Astra Serif" w:eastAsia="PT Astra Serif" w:cs="PT Astra Serif"/>
          <w:sz w:val="22"/>
          <w:szCs w:val="22"/>
        </w:rPr>
        <w:t xml:space="preserve"> 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% -__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руб. __ коп. 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включает в себя общую стоимость всех Услуг, в том числе приобретение материалов, необходимых для оказания услуг, возможные непредвиденные расходы, страхование, уплату налогов, сборов и других обязательных платежей.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8"/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 w:eastAsiaTheme="minorHAnsi"/>
          <w:sz w:val="22"/>
          <w:szCs w:val="22"/>
          <w:lang w:eastAsia="en-US"/>
        </w:rPr>
        <w:t xml:space="preserve">2.2. Сумма, подлежащая уплате Заказчиком </w:t>
      </w:r>
      <w:r>
        <w:rPr>
          <w:rFonts w:ascii="PT Astra Serif" w:hAnsi="PT Astra Serif" w:eastAsia="PT Astra Serif" w:cs="PT Astra Serif" w:eastAsiaTheme="minorHAnsi"/>
          <w:sz w:val="22"/>
          <w:szCs w:val="22"/>
          <w:lang w:eastAsia="en-US"/>
        </w:rPr>
        <w:t xml:space="preserve">Исполнителю</w:t>
      </w:r>
      <w:r>
        <w:rPr>
          <w:rFonts w:ascii="PT Astra Serif" w:hAnsi="PT Astra Serif" w:eastAsia="PT Astra Serif" w:cs="PT Astra Serif" w:eastAsiaTheme="minorHAnsi"/>
          <w:sz w:val="22"/>
          <w:szCs w:val="22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 w:eastAsiaTheme="minorHAnsi"/>
          <w:sz w:val="22"/>
          <w:szCs w:val="22"/>
          <w:lang w:eastAsia="en-US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2.3.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Цена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Контракт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 является твердой и определяется на весь срок исполнения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Контракт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а, за исключением случаев, предусмотренных 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Федеральным законом от 05.04.2013 № 44-ФЗ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82"/>
        <w:ind w:firstLine="709"/>
        <w:jc w:val="both"/>
        <w:spacing w:before="0" w:beforeAutospacing="0" w:line="240" w:lineRule="auto"/>
        <w:rPr>
          <w:rFonts w:ascii="PT Astra Serif" w:hAnsi="PT Astra Serif" w:cs="PT Astra Serif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2.4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бочих дней с даты подпис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ания Исполнителем Акта приемки товаров, работ, услуг (далее – Акт приемки) по форме ОКУД 0510452, утвержденной приказом Минфина России от 15.04.2021 № 61н (далее – Приказ № 61н), сформированного на основании представленных Исполнителем счета, счета-фактуры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(при необходимости), акта оказанных услуг либо универсального передаточного документа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В случае, указанном в пункт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е 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5.3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 Конт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ракта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 о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с даты подписания Акта приемки Заказчиком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5. Финансирование Контракта осуществляется за счет средств федерального бюджета.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.6. КБК 321 0412 54 4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01 90020 242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2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.7. ОКПД2 38.31.12.000 -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Услуги по демонтажу обломков, кроме судов и плавучих конструкций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eastAsia="PT Astra Serif" w:cs="PT Astra Serif"/>
          <w:sz w:val="22"/>
          <w:szCs w:val="22"/>
          <w:highlight w:val="none"/>
          <w14:ligatures w14:val="none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  <w:t xml:space="preserve">2.8. Код МПИ: </w:t>
      </w:r>
      <w:r>
        <w:rPr>
          <w:rFonts w:ascii="PT Astra Serif" w:hAnsi="PT Astra Serif" w:cs="PT Astra Serif"/>
          <w:sz w:val="22"/>
          <w:szCs w:val="22"/>
          <w:highlight w:val="none"/>
        </w:rPr>
        <w:t xml:space="preserve">321.001А2749.21.Э.47758.26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eastAsia="PT Astra Serif" w:cs="PT Astra Serif"/>
          <w:sz w:val="22"/>
          <w:szCs w:val="22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14:ligatures w14:val="none"/>
        </w:rPr>
        <w:t xml:space="preserve">2.9. Код МПИ: 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14:ligatures w14:val="none"/>
        </w:rPr>
        <w:t xml:space="preserve">321.001А2749.19.Э.20228.26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14:ligatures w14:val="non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.8. Идентификационный код закупки: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26 1 7017107837 701701001 0030 000 0000 000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2.9.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Валюта, используемая для расчетов, - рубль Российской Федерации.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0"/>
        <w:jc w:val="center"/>
        <w:tabs>
          <w:tab w:val="left" w:pos="709" w:leader="none"/>
          <w:tab w:val="left" w:pos="1134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 ПРАВА И ОБЯЗАННОСТИ СТОРОН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3.1. Заказчик вправе: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3.1.1. Требовать от Исполнителя надлежащего исполнения обязательств в соответствии с условиями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3.1.3. Запрашивать у Исполнителя информацию о ходе и состоянии исполнения обязательств Исполнителя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Проверять ход и качество оказываемых Исполнителем Услуг, не вмешиваясь в его деятельность.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3.2. Заказчик обязан: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3.2.1. Своевременно принять и оплатить оказанные Услуги в соответствии с условиями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Своевременно предоставлять разъяснения и уточнения по запросам Исполнителя в части 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казания Услуг в соответствии с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условиями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3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В случае про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срочки исполнения Исполнителем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Исполнителем обязательств, предусмотренных контрактом, направлять Испо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(в том числе гарантийных, если таковые установлены)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3.2.5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Осуществлять контроль за исполнением Исполнителем условий контракта в соответствии с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3.2.6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Своевременно возвратить Исполнителю денежные средства, предоставленные ранее Поставщиком в виде залога, для обеспечения исполнения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3.3. Исполнитель вправе: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3.3.1. Требовать подписания в соответствии с условиями контракта Заказчиком акта оказанных услуг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3.3.2. Требовать своевременной оплаты за оказываемые Услуги в соответствии с условиями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3.3.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3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Направлять Заказчику запросы и получать от него разъяснения и уточнения по вопросам оказания Услуг в рамках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3.4. Исполнитель обязан: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b/>
          <w:color w:val="auto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3.4.1. 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Самостоятельно о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казать услуги, предусмотренные настоящим контрактом, в соответствии с Описанием объекта закупки и в сроки, установленные пунктом 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4.1 Раздела 4 «Сроки, место и условия оказания услуг» контракта.</w:t>
      </w:r>
      <w:r>
        <w:rPr>
          <w:rFonts w:ascii="PT Astra Serif" w:hAnsi="PT Astra Serif" w:cs="PT Astra Serif"/>
          <w:b/>
          <w:color w:val="auto"/>
          <w:sz w:val="22"/>
          <w:szCs w:val="22"/>
        </w:rPr>
      </w:r>
      <w:r>
        <w:rPr>
          <w:rFonts w:ascii="PT Astra Serif" w:hAnsi="PT Astra Serif" w:cs="PT Astra Serif"/>
          <w:b/>
          <w:color w:val="auto"/>
          <w:sz w:val="22"/>
          <w:szCs w:val="22"/>
        </w:rPr>
      </w:r>
    </w:p>
    <w:p>
      <w:pPr>
        <w:ind w:firstLine="709"/>
        <w:jc w:val="both"/>
        <w:spacing w:line="259" w:lineRule="auto"/>
        <w:rPr>
          <w:rFonts w:ascii="PT Astra Serif" w:hAnsi="PT Astra Serif" w:cs="PT Astra Serif"/>
          <w:color w:val="auto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3.4.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2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Исполнитель 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должен иметь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действующую лицензию (специальное разрешение) </w:t>
      </w:r>
      <w:r>
        <w:rPr>
          <w:rFonts w:ascii="PT Astra Serif" w:hAnsi="PT Astra Serif" w:eastAsia="PT Astra Serif" w:cs="PT Astra Serif" w:eastAsiaTheme="minorHAnsi"/>
          <w:color w:val="auto"/>
          <w:sz w:val="22"/>
          <w:szCs w:val="22"/>
          <w:lang w:bidi="ru-RU"/>
        </w:rPr>
        <w:t xml:space="preserve">на осуществление деятельности по сбору, транспортированию, обработке, утилизации, обезвреживанию, размещению </w:t>
      </w:r>
      <w:r>
        <w:rPr>
          <w:rFonts w:ascii="PT Astra Serif" w:hAnsi="PT Astra Serif" w:eastAsia="PT Astra Serif" w:cs="PT Astra Serif" w:eastAsiaTheme="minorHAnsi"/>
          <w:color w:val="auto"/>
          <w:sz w:val="22"/>
          <w:szCs w:val="22"/>
          <w:lang w:bidi="ru-RU"/>
        </w:rPr>
        <w:t xml:space="preserve">отходов I-IV классов опасности. </w:t>
      </w:r>
      <w:r>
        <w:rPr>
          <w:rFonts w:ascii="PT Astra Serif" w:hAnsi="PT Astra Serif" w:cs="PT Astra Serif"/>
          <w:color w:val="auto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white"/>
        </w:rPr>
      </w:r>
    </w:p>
    <w:p>
      <w:pPr>
        <w:pStyle w:val="886"/>
        <w:ind w:left="0"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Лицензия должна действовать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течение всего срока исполнения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86"/>
        <w:ind w:lef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3.4.3. Не предоставлять другим лицам или не разглашать иным способом конфиден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циальную информацию, полученную в результате исполнения обязательств по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Представить по запросу Заказчика в сроки, указанные в таком запросе, информацию о ходе исполнения обязательств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3.4.5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ind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3.4.6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 заявке Заказчика предоставлять акт сверки взаимных расчетов.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06"/>
        <w:ind w:left="0" w:right="0" w:firstLine="709"/>
        <w:spacing w:after="0"/>
        <w:tabs>
          <w:tab w:val="left" w:pos="-2977" w:leader="none"/>
          <w:tab w:val="left" w:pos="993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3.4.7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Представить Заказчику сведения об изменении своего фактиче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567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0"/>
        <w:jc w:val="center"/>
        <w:shd w:val="clear" w:color="auto" w:fill="ffffff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 СРОК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, МЕСТО И УСЛОВИЯ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ОКАЗАНИЯ УСЛУГ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4.1. Срок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оказания Услуг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течение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10 (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десяти)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рабочих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дней с момента заключения Контракта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142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4.2.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Место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сбора (приема) отходов от Заказчика.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забирает утилизируемую технику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с мест временного хранения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Заказчика, находящегося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по адресу: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г. Томск ул. Пушкина, 34/1,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 5 этаж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,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рабочие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дни: понедельник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- четверг с 0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9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00 до 1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00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(обед с 13:00 до 14:00)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пятница с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9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.00 до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16:15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(обед с 13:00 до 13:30).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color w:val="00b05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4.3.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Услуги осуществляются Исполнителем собственными силами и средствами в порядке и объемах, указанных 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Описании объекта закупки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color w:val="00b050"/>
          <w:sz w:val="22"/>
          <w:szCs w:val="22"/>
        </w:rPr>
      </w:r>
      <w:r>
        <w:rPr>
          <w:rFonts w:ascii="PT Astra Serif" w:hAnsi="PT Astra Serif" w:cs="PT Astra Serif"/>
          <w:color w:val="00b050"/>
          <w:sz w:val="22"/>
          <w:szCs w:val="22"/>
        </w:rPr>
      </w:r>
    </w:p>
    <w:p>
      <w:pPr>
        <w:ind w:firstLine="567"/>
        <w:jc w:val="center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0"/>
        <w:jc w:val="center"/>
        <w:tabs>
          <w:tab w:val="left" w:pos="709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5. ПОРЯДОК СДАЧИ-ПРИЕМКИ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ОКАЗАННЫХ УСЛУГ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p>
      <w:pPr>
        <w:numPr>
          <w:ilvl w:val="1"/>
          <w:numId w:val="16"/>
        </w:numPr>
        <w:ind w:left="0" w:firstLine="709"/>
        <w:jc w:val="both"/>
        <w:widowControl w:val="off"/>
        <w:tabs>
          <w:tab w:val="left" w:pos="284" w:leader="none"/>
          <w:tab w:val="left" w:pos="1134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Исполнитель в срок не позднее 5 (пяти) рабочих дней, следующих за днем окончания оказания услуг, направляет Заказчику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счет, счет-фактуру (при необходимости), акт оказанных услуг, либо универсальный передаточный документ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0"/>
        <w:jc w:val="both"/>
        <w:tabs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ab/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Заказчик в срок не позднее 10 (десяти) рабочих дней, следующих за днем поступления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от Исполнителя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счета, счета-фактуры (при необходимости), акта оказанных услуг, либо универсального передаточного документа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осуществляет приемку оказанных услуг и формирует Акт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 приемки в соответствии с п. 64.19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Приказа № 61н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.3.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ри отсутствии расхождений по результатам приемки оказанных услуг, проведенной без участия Исполнителя допустимо предусмотреть участие Исполнителя при оформлении Акта приемки путем направления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 адрес электронной почты Исполнителя, указанный в Контракте,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скан копии Акта приемки, оформленного и подписанного Заказчиком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целях уведомления о результатах приемки оказанных услу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82"/>
        <w:ind w:firstLine="709"/>
        <w:jc w:val="both"/>
        <w:spacing w:before="0" w:beforeAutospacing="0" w:line="240" w:lineRule="auto"/>
        <w:widowControl w:val="off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Заказчик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вправе провести экспертизу оказанных услуг с привлечением экспертов, экспертных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организаций. Способ определения проведения экспертизы определяется Заказчиком самостоятельно в соответствии с Федеральным законом от 05.04.2013 № 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82"/>
        <w:ind w:firstLine="709"/>
        <w:jc w:val="both"/>
        <w:spacing w:before="0" w:beforeAutospacing="0" w:line="240" w:lineRule="auto"/>
        <w:widowControl w:val="off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.5.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Заказчик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подписывает Акт приемки только при наличии положительного заключения приемочной комиссии Заказчика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или ответственного лица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При наличии замечаний к оказанным услугам, отраженных в акте приемочной комиссии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или ответственного лица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Заказчик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отказывает в приемке и направляет Исполнителю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мотивированный отказ от приемки оказанных услуг с приложением акта приемочной комиссии.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82"/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.6. В случае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если в срок, установленный п. 5.1. настоящего Контракта, не будет подписан Акт приемки, либо не представлен мотивированный отказ от приемки услуг, услуги за отчетный месяц считаются принятыми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Заказчиком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без замечаний, в полном объеме.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567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567"/>
        <w:jc w:val="center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6. ГАРАНТИЙНЫЕ ОБЯЗАТЕЛЬСТВА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567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6.1. Исполнитель гарантирует соответствие качества оказанных Услуг условиям контракт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567"/>
        <w:jc w:val="center"/>
        <w:tabs>
          <w:tab w:val="left" w:pos="709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  <w:outlineLvl w:val="0"/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ind w:firstLine="0"/>
        <w:jc w:val="center"/>
        <w:spacing w:before="0" w:beforeAutospacing="0" w:line="240" w:lineRule="auto"/>
        <w:rPr>
          <w:rFonts w:ascii="PT Astra Serif" w:hAnsi="PT Astra Serif" w:cs="PT Astra Serif"/>
          <w:highlight w:val="white"/>
        </w:rPr>
        <w:suppressLineNumbers w:val="0"/>
      </w:pPr>
      <w:r>
        <w:rPr>
          <w:rStyle w:val="932"/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Style w:val="932"/>
          <w:rFonts w:ascii="PT Astra Serif" w:hAnsi="PT Astra Serif" w:eastAsia="PT Astra Serif" w:cs="PT Astra Serif"/>
          <w:sz w:val="22"/>
          <w:szCs w:val="22"/>
          <w:highlight w:val="white"/>
        </w:rPr>
        <w:t xml:space="preserve">7. ОТВЕТСТВЕННОСТЬ СТОРОН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b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случае неисполнения или ненадлежащего исполнения обязательств, предусмотренных Контрактом, Стороны несут ответственность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  <w:b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color w:val="000000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none"/>
          <w:lang w:eastAsia="en-US" w:bidi="en-US"/>
        </w:rPr>
        <w:t xml:space="preserve">7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en-US" w:bidi="en-US"/>
        </w:rPr>
        <w:t xml:space="preserve">.2.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В случае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.2.1. Пеня начисляется за каждый день просрочки исполнения Заказчиком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обязательства, предусмотренного Контрактом,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начиная со дня,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.2.2.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Штрафы начисляются за каждый факт неисполнения Заказчиком обязатель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Размер штрафа составляет 1000 (одна тысяча) рублей.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.3. В случае просрочки исполнения Исполнителем обязательств</w:t>
      </w:r>
      <w:r>
        <w:rPr>
          <w:rFonts w:ascii="PT Astra Serif" w:hAnsi="PT Astra Serif" w:eastAsia="PT Astra Serif" w:cs="PT Astra Serif"/>
          <w:i/>
          <w:color w:val="2c0afa"/>
          <w:sz w:val="22"/>
          <w:szCs w:val="22"/>
          <w:highlight w:val="white"/>
        </w:rPr>
        <w:t xml:space="preserve">,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.3.1.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исполнения Контракта),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.3.2.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Штрафы начисляются за каждый факт неисполнения или ненадлежащего исполнения Исполнителем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заказ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      № 1063».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highlight w:val="white"/>
        </w:rPr>
        <w:suppressLineNumbers w:val="0"/>
      </w:pP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Размер штрафа - 10 % цены Контракта, 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что составляет </w:t>
      </w:r>
      <w:r>
        <w:rPr>
          <w:rStyle w:val="933"/>
          <w:rFonts w:ascii="PT Astra Serif" w:hAnsi="PT Astra Serif" w:eastAsia="PT Astra Serif" w:cs="PT Astra Serif"/>
          <w:b/>
          <w:bCs/>
          <w:i/>
          <w:iCs/>
          <w:sz w:val="22"/>
          <w:szCs w:val="22"/>
          <w:highlight w:val="none"/>
        </w:rPr>
        <w:t xml:space="preserve">________________________________________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.3.3</w:t>
      </w:r>
      <w:r>
        <w:rPr>
          <w:rFonts w:ascii="PT Astra Serif" w:hAnsi="PT Astra Serif" w:eastAsia="PT Astra Serif" w:cs="PT Astra Serif"/>
          <w:i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составляет 1000 (одна тысяча) рублей.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right="-144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Уплата неустоек (штрафов, пеней) осуществляется на основании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письменной претензии одной из Сторон.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.7.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Заказчик вправе учитывать при расчете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Исполнителем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(вычитать из цены Контракта) сумму в виде неустойки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(штрафа, пени)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, подлежащую уплате Исполнителю за неисполнение (ненадлежащее исполнение) обязательств, предусмотренных Контрактом, 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сли Исполнитель не докажет, что неисполнение (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ненадлежащее исполнение) обязательств произошло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вследствие непреодолимой силы или по вине другой Стороны.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firstLine="284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0"/>
        <w:jc w:val="center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ОБСТОЯТЕЛЬСТВА НЕПРЕОДОЛИМОЙ СИЛЫ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.4. Если обстоятельства, указанные в </w:t>
      </w:r>
      <w:hyperlink r:id="rId11" w:tooltip="consultantplus://offline/main?base=MLAW;n=129338;fld=134;dst=100180" w:history="1">
        <w:r>
          <w:rPr>
            <w:rFonts w:ascii="PT Astra Serif" w:hAnsi="PT Astra Serif" w:eastAsia="PT Astra Serif" w:cs="PT Astra Serif"/>
            <w:sz w:val="22"/>
            <w:szCs w:val="22"/>
          </w:rPr>
          <w:t xml:space="preserve">п. 1</w:t>
        </w:r>
        <w:r>
          <w:rPr>
            <w:rFonts w:ascii="PT Astra Serif" w:hAnsi="PT Astra Serif" w:eastAsia="PT Astra Serif" w:cs="PT Astra Serif"/>
            <w:sz w:val="22"/>
            <w:szCs w:val="22"/>
          </w:rPr>
          <w:t xml:space="preserve">1</w:t>
        </w:r>
        <w:r>
          <w:rPr>
            <w:rFonts w:ascii="PT Astra Serif" w:hAnsi="PT Astra Serif" w:eastAsia="PT Astra Serif" w:cs="PT Astra Serif"/>
            <w:sz w:val="22"/>
            <w:szCs w:val="22"/>
          </w:rPr>
          <w:t xml:space="preserve">.1</w:t>
        </w:r>
      </w:hyperlink>
      <w:r>
        <w:rPr>
          <w:rFonts w:ascii="PT Astra Serif" w:hAnsi="PT Astra Serif" w:eastAsia="PT Astra Serif" w:cs="PT Astra Serif"/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Контракт может быть расторгнут по соглашению Сторон.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.5. Неуведомление или несвоевременное уведомление о наступлении обстоятельств непреодолимой силы лишает права любую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9"/>
        <w:ind w:firstLine="284"/>
        <w:jc w:val="both"/>
        <w:tabs>
          <w:tab w:val="left" w:pos="709" w:leader="none"/>
        </w:tabs>
        <w:rPr>
          <w:rFonts w:ascii="PT Astra Serif" w:hAnsi="PT Astra Serif" w:cs="PT Astra Serif"/>
          <w:b/>
          <w:bCs/>
          <w:color w:val="548dd4"/>
          <w:sz w:val="22"/>
          <w:szCs w:val="22"/>
        </w:rPr>
      </w:pPr>
      <w:r>
        <w:rPr>
          <w:rFonts w:ascii="PT Astra Serif" w:hAnsi="PT Astra Serif" w:eastAsia="PT Astra Serif" w:cs="PT Astra Serif"/>
          <w:b/>
          <w:color w:val="548dd4"/>
          <w:sz w:val="22"/>
          <w:szCs w:val="22"/>
        </w:rPr>
      </w:r>
      <w:r>
        <w:rPr>
          <w:rFonts w:ascii="PT Astra Serif" w:hAnsi="PT Astra Serif" w:cs="PT Astra Serif"/>
          <w:b/>
          <w:bCs/>
          <w:color w:val="548dd4"/>
          <w:sz w:val="22"/>
          <w:szCs w:val="22"/>
        </w:rPr>
      </w:r>
      <w:r>
        <w:rPr>
          <w:rFonts w:ascii="PT Astra Serif" w:hAnsi="PT Astra Serif" w:cs="PT Astra Serif"/>
          <w:b/>
          <w:bCs/>
          <w:color w:val="548dd4"/>
          <w:sz w:val="22"/>
          <w:szCs w:val="22"/>
        </w:rPr>
      </w:r>
    </w:p>
    <w:p>
      <w:pPr>
        <w:pStyle w:val="889"/>
        <w:ind w:firstLine="284"/>
        <w:jc w:val="center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9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ПОРЯДОК УРЕГУЛИРОВАНИЯ СПОРОВ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spacing w:before="0" w:beforeAutospacing="0" w:line="240" w:lineRule="auto"/>
        <w:tabs>
          <w:tab w:val="left" w:pos="851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9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.1. Все споры или разногласия, возникшие между Сторонами по настоящему Контракту или в связи с ним, разрешаются путем переговоров между Сторонами.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tabs>
          <w:tab w:val="left" w:pos="851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9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.2. Вся переписка между Сторонами ведется путем направления претензионных писем (претензий) по адресам, указанным в настоящем Контракте.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9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.3. Если претензионные требования подлежат денежной оценке, в претензии указывается истребуемая сумма и ее полный и обоснованный расчет.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9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tabs>
          <w:tab w:val="left" w:pos="851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9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.5. Срок рассмотрения претензионного письма (претензии) и направления ответа на него (неё) не может превышать 10 (десять) дней со дня его получения Стороной.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9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.6. В случае невозможности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решения разногласий Сторон в рамках досудебного урегулирования в течение 30 (тридцати) дней с момента получения одной из Сторон претензии, они подлежат рассмотрению в Арбитражном суде Томской области в соответствии с законодательством Российской Федерации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284"/>
        <w:jc w:val="both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outlineLvl w:val="1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4"/>
        <w:ind w:firstLine="0"/>
        <w:jc w:val="center"/>
        <w:spacing w:before="0" w:beforeAutospacing="0" w:line="240" w:lineRule="auto"/>
        <w:widowControl/>
        <w:tabs>
          <w:tab w:val="left" w:pos="1128" w:leader="none"/>
        </w:tabs>
        <w:rPr>
          <w:rFonts w:ascii="PT Astra Serif" w:hAnsi="PT Astra Serif" w:cs="PT Astra Serif"/>
          <w:highlight w:val="white"/>
        </w:rPr>
        <w:suppressLineNumbers w:val="0"/>
      </w:pPr>
      <w:r>
        <w:rPr>
          <w:rStyle w:val="932"/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Style w:val="932"/>
          <w:rFonts w:ascii="PT Astra Serif" w:hAnsi="PT Astra Serif" w:eastAsia="PT Astra Serif" w:cs="PT Astra Serif"/>
          <w:sz w:val="22"/>
          <w:szCs w:val="22"/>
          <w:highlight w:val="white"/>
        </w:rPr>
        <w:t xml:space="preserve">10. ПОРЯДОК ИЗМЕНЕНИЯ И РАСТОРЖЕНИЯ КОНТРАКТА.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pStyle w:val="882"/>
        <w:ind w:firstLine="709"/>
        <w:jc w:val="both"/>
        <w:spacing w:before="0" w:before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.1. При заключении и исполнении настоящего контракта изменение его условий не допускается, за исключением случаев, предусмотренных частью 1 статьи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82"/>
        <w:ind w:firstLine="709"/>
        <w:jc w:val="both"/>
        <w:spacing w:before="0" w:before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Расторжение Контракта допускается по соглашению Сторон, 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 решению суда или в связи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положениями частей 8 - 11, 12.1 - 19, 20.1 - 23  статьи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r>
      <w:r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r>
    </w:p>
    <w:p>
      <w:pPr>
        <w:ind w:firstLine="284"/>
        <w:jc w:val="both"/>
        <w:tabs>
          <w:tab w:val="left" w:pos="709" w:leader="none"/>
        </w:tabs>
        <w:rPr>
          <w:rFonts w:ascii="PT Astra Serif" w:hAnsi="PT Astra Serif" w:cs="PT Astra Serif"/>
          <w:color w:val="00b050"/>
          <w:sz w:val="22"/>
          <w:szCs w:val="22"/>
        </w:rPr>
      </w:pPr>
      <w:r>
        <w:rPr>
          <w:rFonts w:ascii="PT Astra Serif" w:hAnsi="PT Astra Serif" w:cs="PT Astra Serif"/>
          <w:color w:val="00b050"/>
          <w:sz w:val="22"/>
          <w:szCs w:val="22"/>
        </w:rPr>
      </w:r>
      <w:r>
        <w:rPr>
          <w:rFonts w:ascii="PT Astra Serif" w:hAnsi="PT Astra Serif" w:cs="PT Astra Serif"/>
          <w:color w:val="00b050"/>
          <w:sz w:val="22"/>
          <w:szCs w:val="22"/>
        </w:rPr>
      </w:r>
      <w:r>
        <w:rPr>
          <w:rFonts w:ascii="PT Astra Serif" w:hAnsi="PT Astra Serif" w:cs="PT Astra Serif"/>
          <w:color w:val="00b050"/>
          <w:sz w:val="22"/>
          <w:szCs w:val="22"/>
        </w:rPr>
      </w:r>
    </w:p>
    <w:p>
      <w:pPr>
        <w:ind w:left="0"/>
        <w:jc w:val="center"/>
        <w:spacing w:before="0" w:beforeAutospacing="0" w:line="240" w:lineRule="auto"/>
        <w:rPr>
          <w:rFonts w:ascii="PT Astra Serif" w:hAnsi="PT Astra Serif" w:cs="PT Astra Serif"/>
          <w:b/>
          <w:bCs/>
          <w:sz w:val="22"/>
          <w:szCs w:val="22"/>
          <w:highlight w:val="white"/>
        </w:rPr>
        <w:suppressLineNumbers w:val="0"/>
      </w:pPr>
      <w:r>
        <w:rPr>
          <w:rStyle w:val="932"/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Style w:val="932"/>
          <w:rFonts w:ascii="PT Astra Serif" w:hAnsi="PT Astra Serif" w:eastAsia="PT Astra Serif" w:cs="PT Astra Serif"/>
          <w:sz w:val="22"/>
          <w:szCs w:val="22"/>
          <w:highlight w:val="white"/>
        </w:rPr>
        <w:t xml:space="preserve">11. СРОК ДЕЙСТВИЯ КОНТРАКТА. ЗАКЛЮЧИТЕЛЬНЫЕ ПОЛОЖЕНИЯ</w:t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:lang w:eastAsia="ar-SA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Контракт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вступает в силу с даты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его заключения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 действует по 30.11.2026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 Окончание срока действия Контракта не влечет прекращения неисполненных обязательств Сторон по Контракту.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.3. При исполнении Контракта не допускается перемена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, за исключением случая, если нов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ый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Исполнитель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является правопреемником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по такому Контракту вследствие реорганизации юридического лица в форме преобразования, слияния или присоединения в соответствии с ч. 5 ст.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.4. В случае перемены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Заказчика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права и обязанности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Заказчика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, предусмотренные Контрактом, переходят к новому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Заказчику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в соответствии с ч. 6 ст. 95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Федерального закона от 05.04.2013 № 44-ФЗ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Стороны обязуются письменно уведомлять друг друга об изменении своих адресов, номеров телефонов, факсов, адресов электронной почты, платежных реквизитов и предоставить документы, подтверждающие факт изменений, в срок не позднее 2 (двух) рабочих дней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со дня изменения. Риск ненадлежащего исполнения Контракта,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.5.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Документооборот в рамках Контракта может осуществляться:</w:t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- в письменной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форме со ссылкой на номер и дату Контракта. 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рабочих дней;</w:t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- в электронном виде с использованием телекоммуникационных каналов связи (электронного документооборота, ЭДО) - при наличии технических средств и возможност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ей для приемки и обработки электронных документов с использованием ЭП и признавать юридическую силу всех полученных или отправленных электронных документов. Направление аналогичного документа на бумажном носителе в рамках исполнения Контракта не требуется.</w:t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.6. Срок ответа на входящий документ в рамках Контракта не может превышать 5 (пяти) рабочих дней со дня его получения, за исключением случая, предусмотренного п.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7.5.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.7. Все приложения к Контракту должны быть оформлены в со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Все приложения к Контракту должны быть оформлены в 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spacing w:before="0" w:beforeAutospacing="0" w:line="240" w:lineRule="auto"/>
        <w:rPr>
          <w:rFonts w:ascii="PT Astra Serif" w:hAnsi="PT Astra Serif" w:cs="PT Astra Serif"/>
          <w:highlight w:val="white"/>
        </w:rPr>
        <w:suppressLineNumbers w:val="0"/>
      </w:pPr>
      <w:r>
        <w:rPr>
          <w:rStyle w:val="933"/>
          <w:rFonts w:ascii="PT Astra Serif" w:hAnsi="PT Astra Serif" w:eastAsia="PT Astra Serif" w:cs="PT Astra Serif"/>
          <w:sz w:val="22"/>
          <w:szCs w:val="22"/>
          <w:highlight w:val="none"/>
        </w:rPr>
        <w:t xml:space="preserve">11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9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. Настоящий Контракт составлен и подписан 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в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с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о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о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т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в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е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т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с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т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в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и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и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с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д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е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й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с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т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в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у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ю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щ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и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м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з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а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к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о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н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о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д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а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т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е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л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ь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с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т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в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о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м</w:t>
      </w:r>
      <w:r>
        <w:rPr>
          <w:rStyle w:val="933"/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jc w:val="center"/>
        <w:spacing w:before="0" w:beforeAutospacing="0" w:line="240" w:lineRule="auto"/>
        <w:rPr>
          <w:rFonts w:ascii="PT Astra Serif" w:hAnsi="PT Astra Serif" w:cs="PT Astra Serif"/>
          <w:b/>
          <w:bCs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  <w:lang w:eastAsia="en-US" w:bidi="en-US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</w:p>
    <w:p>
      <w:pPr>
        <w:contextualSpacing/>
        <w:jc w:val="center"/>
        <w:spacing w:before="0" w:beforeAutospacing="0" w:line="240" w:lineRule="auto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12. </w:t>
      </w:r>
      <w:r>
        <w:rPr>
          <w:rFonts w:ascii="PT Astra Serif" w:hAnsi="PT Astra Serif" w:eastAsia="PT Astra Serif" w:cs="PT Astra Serif"/>
          <w:b/>
          <w:sz w:val="22"/>
          <w:szCs w:val="22"/>
          <w:highlight w:val="white"/>
          <w:lang w:eastAsia="en-US" w:bidi="en-US"/>
        </w:rPr>
        <w:t xml:space="preserve">ПЕРЕЧЕНЬ ПРИЛОЖЕНИЙ</w:t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ind w:firstLine="709"/>
        <w:jc w:val="left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12.1. 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.1.1 Приложение 1.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Описание объекта закупки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12.1.2 Приложение 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Спецификация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pStyle w:val="889"/>
        <w:ind w:firstLine="0"/>
        <w:jc w:val="center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13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АДРЕСА, БАНКОВСКИЕ РЕКВИЗИТЫ И ПОДПИСИ СТОРОН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tbl>
      <w:tblPr>
        <w:tblStyle w:val="895"/>
        <w:tblW w:w="1048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78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right="0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5278" w:type="dxa"/>
            <w:textDirection w:val="lrTb"/>
            <w:noWrap w:val="false"/>
          </w:tcPr>
          <w:p>
            <w:pPr>
              <w:ind w:right="0"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</w:tbl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9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tbl>
      <w:tblPr>
        <w:tblStyle w:val="895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3651"/>
      </w:tblGrid>
      <w:tr>
        <w:tblPrEx/>
        <w:trPr>
          <w:trHeight w:val="73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Приложение 1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к Государственному контракту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от «_____»___________2026 г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№ _______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pStyle w:val="888"/>
        <w:ind w:right="0"/>
        <w:jc w:val="center"/>
        <w:keepNext/>
        <w:widowControl/>
        <w:rPr>
          <w:rFonts w:ascii="PT Astra Serif" w:hAnsi="PT Astra Serif" w:cs="PT Astra Serif"/>
          <w:b/>
          <w:sz w:val="24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ОПИСАНИЕ ОБЪЕКТА ЗАКУПКИ</w:t>
      </w:r>
      <w:r>
        <w:rPr>
          <w:rFonts w:ascii="PT Astra Serif" w:hAnsi="PT Astra Serif" w:cs="PT Astra Serif"/>
          <w:b/>
          <w:sz w:val="24"/>
        </w:rPr>
      </w:r>
      <w:r>
        <w:rPr>
          <w:rFonts w:ascii="PT Astra Serif" w:hAnsi="PT Astra Serif" w:cs="PT Astra Serif"/>
          <w:b/>
          <w:sz w:val="24"/>
        </w:rPr>
      </w:r>
    </w:p>
    <w:p>
      <w:pPr>
        <w:jc w:val="center"/>
        <w:widowControl/>
        <w:rPr>
          <w:rFonts w:ascii="PT Astra Serif" w:hAnsi="PT Astra Serif" w:cs="PT Astra Serif"/>
          <w:b/>
          <w:bCs/>
          <w:highlight w:val="none"/>
        </w:rPr>
      </w:pPr>
      <w:r>
        <w:rPr>
          <w:rStyle w:val="937"/>
          <w:rFonts w:ascii="PT Astra Serif" w:hAnsi="PT Astra Serif" w:eastAsia="PT Astra Serif" w:cs="PT Astra Serif"/>
          <w:b/>
          <w:sz w:val="22"/>
          <w:szCs w:val="22"/>
        </w:rPr>
        <w:t xml:space="preserve">в соответствии со статьёй 33 Федерального закона № 44-ФЗ</w:t>
      </w:r>
      <w:r>
        <w:rPr>
          <w:rFonts w:ascii="PT Astra Serif" w:hAnsi="PT Astra Serif" w:cs="PT Astra Serif"/>
          <w:b/>
          <w:bCs/>
          <w:highlight w:val="none"/>
        </w:rPr>
      </w:r>
      <w:r>
        <w:rPr>
          <w:rFonts w:ascii="PT Astra Serif" w:hAnsi="PT Astra Serif" w:cs="PT Astra Serif"/>
          <w:b/>
          <w:bCs/>
          <w:highlight w:val="none"/>
        </w:rPr>
      </w:r>
    </w:p>
    <w:p>
      <w:pPr>
        <w:jc w:val="center"/>
        <w:widowControl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highlight w:val="none"/>
        </w:rPr>
      </w:r>
      <w:r>
        <w:rPr>
          <w:rFonts w:ascii="PT Astra Serif" w:hAnsi="PT Astra Serif" w:cs="PT Astra Serif"/>
          <w:b/>
          <w:highlight w:val="none"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1. Наименование объекта закупки: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казание услуг по утилизации АРМ,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средств печати и копирования данных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2. ОКПД2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38.31.12.000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— у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слуги по демонтажу обломков, кроме судов и плавучих конструкций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b/>
          <w:bCs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 Описание объекта закупки.</w:t>
      </w:r>
      <w:r>
        <w:rPr>
          <w:rFonts w:ascii="PT Astra Serif" w:hAnsi="PT Astra Serif" w:cs="PT Astra Serif"/>
          <w:b/>
          <w:bCs/>
          <w:highlight w:val="none"/>
        </w:rPr>
      </w:r>
      <w:r>
        <w:rPr>
          <w:rFonts w:ascii="PT Astra Serif" w:hAnsi="PT Astra Serif" w:cs="PT Astra Serif"/>
          <w:b/>
          <w:bCs/>
          <w:highlight w:val="none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1"/>
        <w:gridCol w:w="3515"/>
        <w:gridCol w:w="1392"/>
        <w:gridCol w:w="2249"/>
        <w:gridCol w:w="2224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№ п/п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Наименование оборудования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Количество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Инв</w:t>
            </w:r>
            <w:r>
              <w:rPr>
                <w:rFonts w:eastAsia="Calibri"/>
                <w:b/>
                <w:sz w:val="22"/>
                <w:szCs w:val="22"/>
              </w:rPr>
              <w:t xml:space="preserve">ентарный номер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Серийный номер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 _2024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—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—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 2017_23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7255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217103015690N-0031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 2017_36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7268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217103015690N-0072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 2017_59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7466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0113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блок_03_2015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6869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16171139200065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блок_04_2015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6870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161102068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блок_04_2016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7068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6020140F1121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блок_07_2015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6873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091520177454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блок_11_2016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7105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20121611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блок_14_2015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6881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3360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блок_15_2016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7109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20121615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блок_16_2015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6883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68509F0003A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блок_2014_07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6700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PB-PC1137853657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блок_2014_10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6703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PB-PC1137853660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блок_2014_11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6704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PB-PC1137853661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блок_2017_18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7250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217103015690N-0015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17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блок_2017_19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7251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217103015690N-0021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блок_2017_20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7252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217103015690N-0023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блок_2017_22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7254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217103015690N-0026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блок_2017_24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7256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217103015690N-0041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блок_2017_25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7257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217103015690N-0049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блок_2017_26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7258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217103015690N-0052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блок_2017_31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7263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217103015690N-0061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блок_2017_33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7265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217103015690N-0066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блок_2017_39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7271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217103015690N-0075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блок_2017_40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7272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217103015690N-0076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27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блок_2017_41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7273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217103015690N-0078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блок_2017_42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7274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217103015690N-0080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29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блок_2017_43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7275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217103015690М-0082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блок_2017_44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7276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217102615690М-0084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блок_2017_52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7284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217102615690M-0224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блок_2019_2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7858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219082905781M-0020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33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блок_2022_11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1155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321110000790000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34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Системный блок_2022_12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1156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321110000800000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sz w:val="22"/>
                <w:szCs w:val="22"/>
                <w14:ligatures w14:val="none"/>
              </w:rPr>
            </w:pPr>
            <w:r>
              <w:rPr>
                <w:rFonts w:eastAsia="Calibri"/>
                <w:sz w:val="22"/>
                <w:szCs w:val="22"/>
              </w:rPr>
              <w:t xml:space="preserve">35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Cs w:val="24"/>
                <w14:ligatures w14:val="none"/>
              </w:rPr>
            </w:pPr>
            <w:r>
              <w:rPr>
                <w:rFonts w:eastAsia="Calibri"/>
                <w:sz w:val="22"/>
                <w:szCs w:val="22"/>
              </w:rPr>
              <w:t xml:space="preserve">МФУ Kyocera </w:t>
            </w:r>
            <w:r>
              <w:rPr>
                <w:rFonts w:eastAsia="Calibri"/>
                <w:sz w:val="22"/>
                <w:szCs w:val="22"/>
              </w:rPr>
              <w:t xml:space="preserve">Ecosys </w:t>
            </w:r>
            <w:r>
              <w:rPr>
                <w:rFonts w:eastAsia="Calibri"/>
                <w:sz w:val="22"/>
                <w:szCs w:val="22"/>
              </w:rPr>
              <w:t xml:space="preserve">M2035dn_2015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Cs w:val="24"/>
                <w14:ligatures w14:val="none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Cs w:val="24"/>
                <w14:ligatures w14:val="none"/>
              </w:rPr>
            </w:pPr>
            <w:r>
              <w:rPr>
                <w:rFonts w:eastAsia="Calibri"/>
                <w:sz w:val="22"/>
                <w:szCs w:val="22"/>
              </w:rPr>
              <w:t xml:space="preserve">6903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rFonts w:eastAsia="Calibri"/>
                <w:bCs/>
                <w:szCs w:val="24"/>
                <w14:ligatures w14:val="none"/>
              </w:rPr>
            </w:pPr>
            <w:r>
              <w:rPr>
                <w:rFonts w:eastAsia="Calibri"/>
                <w:sz w:val="22"/>
                <w:szCs w:val="22"/>
              </w:rPr>
              <w:t xml:space="preserve">—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jc w:val="both"/>
        <w:widowControl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both"/>
        <w:widowControl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both"/>
        <w:widowControl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rPr>
          <w:rFonts w:ascii="PT Astra Serif" w:hAnsi="PT Astra Serif" w:cs="PT Astra Serif"/>
          <w:b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bookmarkStart w:id="0" w:name="undefined"/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Требования к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Исполнителю: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   </w:t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В результате оказания услуг Исполнитель должен предоставить:</w:t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Акт об утилизации объектов основных средств;</w:t>
      </w:r>
      <w:r>
        <w:rPr>
          <w:rFonts w:ascii="PT Astra Serif" w:hAnsi="PT Astra Serif" w:eastAsia="PT Astra Serif" w:cs="PT Astra Serif"/>
          <w:bCs/>
          <w:sz w:val="22"/>
          <w:szCs w:val="22"/>
        </w:rPr>
      </w:r>
      <w:r>
        <w:rPr>
          <w:rFonts w:ascii="PT Astra Serif" w:hAnsi="PT Astra Serif" w:eastAsia="PT Astra Serif" w:cs="PT Astra Serif"/>
          <w:bCs/>
          <w:sz w:val="22"/>
          <w:szCs w:val="22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Акт приема-передачи списанного муниципального имущества, подлежащего утилизации;</w:t>
      </w:r>
      <w:r>
        <w:rPr>
          <w:rFonts w:ascii="PT Astra Serif" w:hAnsi="PT Astra Serif" w:eastAsia="PT Astra Serif" w:cs="PT Astra Serif"/>
          <w:bCs/>
          <w:sz w:val="22"/>
          <w:szCs w:val="22"/>
        </w:rPr>
      </w:r>
      <w:r>
        <w:rPr>
          <w:rFonts w:ascii="PT Astra Serif" w:hAnsi="PT Astra Serif" w:eastAsia="PT Astra Serif" w:cs="PT Astra Serif"/>
          <w:bCs/>
          <w:sz w:val="22"/>
          <w:szCs w:val="22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Документ о приёмке оказанных услуг; </w:t>
      </w:r>
      <w:r>
        <w:rPr>
          <w:rFonts w:ascii="PT Astra Serif" w:hAnsi="PT Astra Serif" w:eastAsia="PT Astra Serif" w:cs="PT Astra Serif"/>
          <w:bCs/>
          <w:sz w:val="22"/>
          <w:szCs w:val="22"/>
        </w:rPr>
      </w:r>
      <w:r>
        <w:rPr>
          <w:rFonts w:ascii="PT Astra Serif" w:hAnsi="PT Astra Serif" w:eastAsia="PT Astra Serif" w:cs="PT Astra Serif"/>
          <w:bCs/>
          <w:sz w:val="22"/>
          <w:szCs w:val="22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Расчет (паспорт) за металлы, поступившие в ломе и отходах;</w:t>
      </w:r>
      <w:r>
        <w:rPr>
          <w:rFonts w:ascii="PT Astra Serif" w:hAnsi="PT Astra Serif" w:eastAsia="PT Astra Serif" w:cs="PT Astra Serif"/>
          <w:bCs/>
          <w:sz w:val="22"/>
          <w:szCs w:val="22"/>
        </w:rPr>
      </w:r>
      <w:r>
        <w:rPr>
          <w:rFonts w:ascii="PT Astra Serif" w:hAnsi="PT Astra Serif" w:eastAsia="PT Astra Serif" w:cs="PT Astra Serif"/>
          <w:bCs/>
          <w:sz w:val="22"/>
          <w:szCs w:val="22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bCs/>
          <w:sz w:val="22"/>
          <w:szCs w:val="22"/>
          <w:highlight w:val="yellow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Счет.</w:t>
      </w:r>
      <w:r>
        <w:rPr>
          <w:rFonts w:ascii="PT Astra Serif" w:hAnsi="PT Astra Serif" w:eastAsia="PT Astra Serif" w:cs="PT Astra Serif"/>
          <w:bCs/>
          <w:sz w:val="22"/>
          <w:szCs w:val="22"/>
          <w:highlight w:val="yellow"/>
        </w:rPr>
      </w:r>
      <w:r>
        <w:rPr>
          <w:rFonts w:ascii="PT Astra Serif" w:hAnsi="PT Astra Serif" w:eastAsia="PT Astra Serif" w:cs="PT Astra Serif"/>
          <w:bCs/>
          <w:sz w:val="22"/>
          <w:szCs w:val="22"/>
          <w:highlight w:val="yellow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должен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иметь собственную действующую лицензию на осуществление деятельности по сбору, транспортированию, обработке, утилизации, обезвреживанию, размещению отходов </w:t>
      </w:r>
      <w:r>
        <w:rPr>
          <w:rFonts w:ascii="PT Astra Serif" w:hAnsi="PT Astra Serif" w:eastAsia="PT Astra Serif" w:cs="PT Astra Serif"/>
          <w:b/>
          <w:sz w:val="22"/>
          <w:szCs w:val="22"/>
          <w:lang w:val="en-US"/>
        </w:rPr>
        <w:t xml:space="preserve">I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– </w:t>
      </w:r>
      <w:r>
        <w:rPr>
          <w:rFonts w:ascii="PT Astra Serif" w:hAnsi="PT Astra Serif" w:eastAsia="PT Astra Serif" w:cs="PT Astra Serif"/>
          <w:b/>
          <w:sz w:val="22"/>
          <w:szCs w:val="22"/>
          <w:lang w:val="en-US"/>
        </w:rPr>
        <w:t xml:space="preserve">IV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классов опасности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выданную в соответствии с требованием федерального закона от 04.05.2011 г. № 99-ФЗ «О лицензир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овании отдельных видов деятельности» и постановлением Правительства Российской Федерации от 26.12.2020 г. № 2290 «О лицензировании деятельности по сбору, транспортированию, обработке, утилизации, обезвреживанию, размещению отходов I-IV классов опасности»,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с указанием выполняемых работ, оказываемых услуг, составляющих лицензируемый вид деятельности:</w:t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сбор отходов III – IV классов опасности;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транспортирование отходов III – IV классов опасности;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обработка отходов III – IV классов опасности;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утилизация III – IV классов опасности;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b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В приложении к лицензии должны присутствовать:</w:t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b/>
          <w:color w:val="auto"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color w:val="auto"/>
          <w:sz w:val="22"/>
          <w:szCs w:val="22"/>
        </w:rPr>
        <w:t xml:space="preserve">1. Н</w:t>
      </w:r>
      <w:r>
        <w:rPr>
          <w:rFonts w:ascii="PT Astra Serif" w:hAnsi="PT Astra Serif" w:eastAsia="PT Astra Serif" w:cs="PT Astra Serif"/>
          <w:b/>
          <w:color w:val="auto"/>
          <w:sz w:val="22"/>
          <w:szCs w:val="22"/>
        </w:rPr>
        <w:t xml:space="preserve">аименование отходов и виды деятельности по отходам – утилизация:</w:t>
      </w:r>
      <w:r>
        <w:rPr>
          <w:rFonts w:ascii="PT Astra Serif" w:hAnsi="PT Astra Serif" w:eastAsia="PT Astra Serif" w:cs="PT Astra Serif"/>
          <w:b/>
          <w:color w:val="auto"/>
          <w:sz w:val="22"/>
          <w:szCs w:val="22"/>
        </w:rPr>
      </w:r>
      <w:r>
        <w:rPr>
          <w:rFonts w:ascii="PT Astra Serif" w:hAnsi="PT Astra Serif" w:eastAsia="PT Astra Serif" w:cs="PT Astra Serif"/>
          <w:b/>
          <w:color w:val="auto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color w:val="auto"/>
          <w:szCs w:val="24"/>
        </w:rPr>
        <w:suppressLineNumbers w:val="0"/>
      </w:pP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- принтеры, сканеры, многофункциональные устройства (МФУ), утратившие потребительские свойства 4 81 202 01 52 4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мониторы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компьютерные жидкокристаллические, утратившие потребительские свойства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(ФККО: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4 81 205 02 52 4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)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компьютеры портативные (ноутбуки), утратившие потребительские свойства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(ФККО: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4 81 206 11 52 4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)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5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Условия исполнения контракта.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должен иметь лицензию на осуществление деятельности по сбору, транспортированию, обработке, утилизации, обезвреживанию, размещению отходов I–IV классов опасности.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обязан оказывать услуги в соответствии с действующим законодательством Российской Федерации, регламентирующим вопросы утилизации: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numPr>
          <w:ilvl w:val="0"/>
          <w:numId w:val="17"/>
        </w:numPr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Федеральный закон от 04 мая 2011 года № 99-ФЗ «О лицензировании отдельных видов деятельности»;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numPr>
          <w:ilvl w:val="0"/>
          <w:numId w:val="17"/>
        </w:numPr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Федеральный закон от 24 июня 1998 года № 89-ФЗ «Об отходах производства и потребления»;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numPr>
          <w:ilvl w:val="0"/>
          <w:numId w:val="17"/>
        </w:numPr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Федеральный закон от 10 января 2002 года № 7-ФЗ (ред. от 25 декабря 2023 года) «Об охране окружающей среды»;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numPr>
          <w:ilvl w:val="0"/>
          <w:numId w:val="17"/>
        </w:numPr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Приказ Росприроднадзора от 22 мая 2017 года № 242 (ред. от 18 января 2024 года) «Об утверждении Федерального классификационного каталога отходов» (зарегистрировано в Минюсте России 08 июня 2017 года № 47008).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Оказываемые услуги должны соответствовать требованиям безопасности жизни и здоровья, санитарно-эпидемиологическим, экологическим, радиационным, а также иным требованиям безопасности, установленным в Российской Федерации.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Передача техники, подлежащей утилизации, от заказчика исполнителю оформляется актом приёма-передачи в 2 (двух) экземплярах и подписывается уполномоченными лицами заказчика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 исполнителя. В акте приёма-передачи указывается наименование и инвентарный номер техники.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 момента передачи техники, ответственность за её сохранность переходит исполнителю.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осуществляет транспортирование отходов специальными транспортными средствами, предназначенными для этих целей.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Утилизация отходов, содержащих драгоценные металлы, лом чёрных и цветных металлов, производится исполнителем с соблюдением требований, установленных действующим законодательством Российской Федерации.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Заказчик в течение 3 (трёх) дней с момента заключения контракта предоставляет исполнителю реквизиты счёта для перечисления денежных средств за драгоценные металлы, лом чёрных и цветных металлов, извлечённые из отходов (при их наличии).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перечисляет дене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жные средства за драгоценные металлы, лом чёрных и цветных металлов, извлечённые из отходов (при их наличии), на расчётный счёт заказчика в течение 10 (десяти) рабочих дней с даты предоставления исполнителем акта утилизации (акта обезвреживания) заказчику.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Исполнителем предоставляется заказчику копия платёжного поручения о перечислении денежных средств за драгоценные металлы, лом чёрных и цветных металлов, извлечённые из отходов (при их наличии).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 результатам утил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изации исполнитель предоставляет заказчику акт утилизации (акт обезвреживания), содержащий сведения о наименовании и инвентарных номерах каждой единицы утилизированных отходов, данные о содержании в них драгоценных металлов, лома чёрных и цветных металлов.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widowControl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b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6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Сроки поставки товара, выполнения работ и оказания услуг.</w:t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ind w:firstLine="709"/>
        <w:jc w:val="both"/>
        <w:widowControl/>
        <w:tabs>
          <w:tab w:val="left" w:pos="273" w:leader="none"/>
          <w:tab w:val="left" w:pos="1418" w:leader="none"/>
        </w:tabs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 момента заключения государственного контракта в течение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десяти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) рабочих дней.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Исполнитель уведомляет заказчика о предполагаемой дате сбора (приёма) отходов от заказчика не менее чем за 2 рабочих дня.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86"/>
        <w:ind w:left="0" w:firstLine="709"/>
        <w:jc w:val="both"/>
        <w:rPr>
          <w:rFonts w:ascii="PT Astra Serif" w:hAnsi="PT Astra Serif" w:cs="PT Astra Serif"/>
          <w:b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7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Место поставки товара.</w:t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pStyle w:val="886"/>
        <w:ind w:left="0" w:firstLine="709"/>
        <w:jc w:val="both"/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забирает утилизируемую технику со с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клада заказчика, находящегося по адресу: Российская Федерация, Томская область, город Томск, улица Пушкина, дом № 34/1, этаж № 5, в рабочие дни: понедельник — четверг с 09:00 до 18:00 (обед с 13:00 до 14:00), пятница с 9.00 до 16:15 (обед с 13:00 до 13:30)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widowControl/>
        <w:tabs>
          <w:tab w:val="left" w:pos="851" w:leader="none"/>
        </w:tabs>
        <w:rPr>
          <w:rFonts w:ascii="PT Astra Serif" w:hAnsi="PT Astra Serif" w:cs="PT Astra Serif"/>
          <w:b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jc w:val="both"/>
        <w:widowControl/>
        <w:tabs>
          <w:tab w:val="left" w:pos="851" w:leader="none"/>
        </w:tabs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>
        <w:tblPrEx/>
        <w:trPr>
          <w:jc w:val="center"/>
          <w:trHeight w:val="223"/>
        </w:trPr>
        <w:tc>
          <w:tcPr>
            <w:tcW w:w="5210" w:type="dxa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lang w:eastAsia="en-US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lang w:eastAsia="en-US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5210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Style w:val="895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36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Приложение 2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к Государственному контракту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от «_____»___________2026 г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№ _______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</w:tc>
      </w:tr>
    </w:tbl>
    <w:p>
      <w:pPr>
        <w:ind w:left="7082"/>
        <w:jc w:val="both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426"/>
        <w:jc w:val="center"/>
        <w:shd w:val="clear" w:color="auto" w:fill="ffffff"/>
        <w:rPr>
          <w:rFonts w:ascii="PT Astra Serif" w:hAnsi="PT Astra Serif" w:cs="PT Astra Serif"/>
          <w:sz w:val="22"/>
          <w:szCs w:val="22"/>
        </w:rPr>
        <w:outlineLvl w:val="3"/>
      </w:pPr>
      <w:r>
        <w:rPr>
          <w:rFonts w:ascii="PT Astra Serif" w:hAnsi="PT Astra Serif" w:eastAsia="PT Astra Serif" w:cs="PT Astra Serif"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426"/>
        <w:jc w:val="center"/>
        <w:shd w:val="clear" w:color="auto" w:fill="ffffff"/>
        <w:rPr>
          <w:rFonts w:ascii="PT Astra Serif" w:hAnsi="PT Astra Serif" w:eastAsia="PT Astra Serif" w:cs="PT Astra Serif"/>
          <w:sz w:val="22"/>
          <w:szCs w:val="22"/>
          <w:highlight w:val="none"/>
        </w:rPr>
        <w:outlineLvl w:val="3"/>
      </w:pPr>
      <w:r>
        <w:rPr>
          <w:rFonts w:ascii="PT Astra Serif" w:hAnsi="PT Astra Serif" w:eastAsia="PT Astra Serif" w:cs="PT Astra Serif"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426"/>
        <w:jc w:val="center"/>
        <w:shd w:val="clear" w:color="auto" w:fill="ffffff"/>
        <w:rPr>
          <w:rFonts w:ascii="PT Astra Serif" w:hAnsi="PT Astra Serif" w:eastAsia="PT Astra Serif" w:cs="PT Astra Serif"/>
          <w:sz w:val="22"/>
          <w:szCs w:val="22"/>
          <w:highlight w:val="none"/>
        </w:rPr>
        <w:outlineLvl w:val="3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СПЕЦИФИКАЦИЯ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426"/>
        <w:jc w:val="center"/>
        <w:shd w:val="clear" w:color="auto" w:fill="ffffff"/>
        <w:rPr>
          <w:rFonts w:ascii="PT Astra Serif" w:hAnsi="PT Astra Serif" w:cs="PT Astra Serif"/>
          <w:sz w:val="22"/>
          <w:szCs w:val="22"/>
        </w:rPr>
        <w:outlineLvl w:val="3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на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оказание услуг по утилизации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АРМ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средств печати и копирования данных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426"/>
        <w:jc w:val="center"/>
        <w:shd w:val="clear" w:color="auto" w:fill="ffffff"/>
        <w:rPr>
          <w:rFonts w:ascii="PT Astra Serif" w:hAnsi="PT Astra Serif" w:cs="PT Astra Serif"/>
          <w:bCs/>
          <w:sz w:val="22"/>
          <w:szCs w:val="22"/>
        </w:rPr>
        <w:outlineLvl w:val="3"/>
      </w:pPr>
      <w:r>
        <w:rPr>
          <w:rFonts w:ascii="PT Astra Serif" w:hAnsi="PT Astra Serif" w:eastAsia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tbl>
      <w:tblPr>
        <w:tblW w:w="503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936"/>
        <w:gridCol w:w="3892"/>
        <w:gridCol w:w="1419"/>
        <w:gridCol w:w="1008"/>
        <w:gridCol w:w="1091"/>
        <w:gridCol w:w="2142"/>
      </w:tblGrid>
      <w:tr>
        <w:tblPrEx/>
        <w:trPr>
          <w:trHeight w:val="5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br/>
              <w:t xml:space="preserve">п/п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8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Наименование услуг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Цена за ед., руб.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Стоимость, руб.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89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16"/>
        <w:gridCol w:w="5373"/>
      </w:tblGrid>
      <w:tr>
        <w:tblPrEx/>
        <w:trPr>
          <w:jc w:val="center"/>
          <w:trHeight w:val="223"/>
        </w:trPr>
        <w:tc>
          <w:tcPr>
            <w:tcW w:w="5116" w:type="dxa"/>
            <w:textDirection w:val="lrTb"/>
            <w:noWrap w:val="false"/>
          </w:tcPr>
          <w:p>
            <w:pPr>
              <w:ind w:firstLine="709"/>
              <w:jc w:val="center"/>
              <w:widowControl w:val="off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lang w:eastAsia="en-US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53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lang w:eastAsia="en-US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5116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5373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tcW w:w="5116" w:type="dxa"/>
            <w:textDirection w:val="lrTb"/>
            <w:noWrap w:val="false"/>
          </w:tcPr>
          <w:p>
            <w:r/>
            <w:r/>
          </w:p>
        </w:tc>
        <w:tc>
          <w:tcPr>
            <w:tcW w:w="5373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imSun">
    <w:panose1 w:val="02000506000000020000"/>
  </w:font>
  <w:font w:name="TimesET">
    <w:panose1 w:val="02000603000000000000"/>
  </w:font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3"/>
      </w:pPr>
      <w:r>
        <w:rPr>
          <w:rStyle w:val="905"/>
        </w:rPr>
        <w:footnoteRef/>
      </w:r>
      <w:r>
        <w:t xml:space="preserve"> </w:t>
      </w:r>
      <w:r>
        <w:rPr>
          <w:rFonts w:eastAsia="Calibri"/>
          <w:lang w:eastAsia="en-US"/>
        </w:rPr>
        <w:t xml:space="preserve">В случае если </w:t>
      </w:r>
      <w:r>
        <w:rPr>
          <w:rFonts w:eastAsia="Calibri"/>
          <w:lang w:eastAsia="en-US"/>
        </w:rPr>
        <w:t xml:space="preserve">Исполнитель</w:t>
      </w:r>
      <w:r>
        <w:rPr>
          <w:rFonts w:eastAsia="Calibri"/>
          <w:lang w:eastAsia="en-US"/>
        </w:rPr>
        <w:t xml:space="preserve"> не является плательщиком НДС, указать "НДС не облагается"</w:t>
      </w:r>
      <w:r/>
    </w:p>
    <w:p>
      <w:pPr>
        <w:pStyle w:val="903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─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-"/>
      <w:lvlJc w:val="left"/>
      <w:pPr>
        <w:ind w:left="2148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917"/>
      <w:isLgl w:val="false"/>
      <w:suff w:val="tab"/>
      <w:lvlText w:val="Раздел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360"/>
      </w:pPr>
      <w:rPr>
        <w:rFonts w:hint="default" w:ascii="Times New Roman" w:hAnsi="Times New Roman" w:cs="Times New Roman"/>
        <w:b/>
      </w:rPr>
    </w:lvl>
    <w:lvl w:ilvl="2">
      <w:start w:val="1"/>
      <w:numFmt w:val="decimal"/>
      <w:isLgl w:val="false"/>
      <w:suff w:val="tab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3"/>
    </w:lvlOverride>
  </w:num>
  <w:num w:numId="6">
    <w:abstractNumId w:val="3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2"/>
    <w:next w:val="882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basedOn w:val="883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82"/>
    <w:next w:val="882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basedOn w:val="883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basedOn w:val="883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basedOn w:val="883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basedOn w:val="883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83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83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82"/>
    <w:next w:val="882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83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82"/>
    <w:next w:val="882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83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Title"/>
    <w:basedOn w:val="882"/>
    <w:next w:val="882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3"/>
    <w:link w:val="730"/>
    <w:uiPriority w:val="10"/>
    <w:rPr>
      <w:sz w:val="48"/>
      <w:szCs w:val="48"/>
    </w:rPr>
  </w:style>
  <w:style w:type="paragraph" w:styleId="732">
    <w:name w:val="Subtitle"/>
    <w:basedOn w:val="882"/>
    <w:next w:val="882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3"/>
    <w:link w:val="732"/>
    <w:uiPriority w:val="11"/>
    <w:rPr>
      <w:sz w:val="24"/>
      <w:szCs w:val="24"/>
    </w:rPr>
  </w:style>
  <w:style w:type="paragraph" w:styleId="734">
    <w:name w:val="Quote"/>
    <w:basedOn w:val="882"/>
    <w:next w:val="882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2"/>
    <w:next w:val="882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3"/>
    <w:link w:val="898"/>
    <w:uiPriority w:val="99"/>
  </w:style>
  <w:style w:type="character" w:styleId="739">
    <w:name w:val="Footer Char"/>
    <w:basedOn w:val="883"/>
    <w:link w:val="900"/>
    <w:uiPriority w:val="99"/>
  </w:style>
  <w:style w:type="paragraph" w:styleId="740">
    <w:name w:val="Caption"/>
    <w:basedOn w:val="882"/>
    <w:next w:val="882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900"/>
    <w:uiPriority w:val="99"/>
  </w:style>
  <w:style w:type="table" w:styleId="742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Footnote Text Char"/>
    <w:link w:val="903"/>
    <w:uiPriority w:val="99"/>
    <w:rPr>
      <w:sz w:val="18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pPr>
      <w:ind w:firstLine="0"/>
      <w:jc w:val="left"/>
    </w:pPr>
    <w:rPr>
      <w:rFonts w:eastAsia="Times New Roman"/>
      <w:szCs w:val="24"/>
      <w:lang w:eastAsia="ru-RU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>
    <w:name w:val="List Paragraph"/>
    <w:basedOn w:val="882"/>
    <w:link w:val="921"/>
    <w:uiPriority w:val="34"/>
    <w:qFormat/>
    <w:pPr>
      <w:contextualSpacing/>
      <w:ind w:left="720"/>
    </w:pPr>
  </w:style>
  <w:style w:type="paragraph" w:styleId="887" w:customStyle="1">
    <w:name w:val="ConsPlusNormal"/>
    <w:link w:val="894"/>
    <w:qFormat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8" w:customStyle="1">
    <w:name w:val="ConsNonformat"/>
    <w:pPr>
      <w:ind w:firstLine="0"/>
      <w:jc w:val="left"/>
      <w:widowControl w:val="off"/>
    </w:pPr>
    <w:rPr>
      <w:rFonts w:ascii="Courier New" w:hAnsi="Courier New" w:eastAsia="Times New Roman"/>
      <w:sz w:val="20"/>
      <w:szCs w:val="20"/>
      <w:lang w:eastAsia="ru-RU"/>
    </w:rPr>
  </w:style>
  <w:style w:type="paragraph" w:styleId="889" w:customStyle="1">
    <w:name w:val="ConsNormal"/>
    <w:link w:val="890"/>
    <w:qFormat/>
    <w:pPr>
      <w:ind w:firstLine="720"/>
      <w:jc w:val="left"/>
      <w:widowControl w:val="off"/>
    </w:pPr>
    <w:rPr>
      <w:rFonts w:ascii="Consultant" w:hAnsi="Consultant" w:eastAsia="Arial"/>
      <w:sz w:val="28"/>
      <w:lang w:eastAsia="ar-SA"/>
    </w:rPr>
  </w:style>
  <w:style w:type="character" w:styleId="890" w:customStyle="1">
    <w:name w:val="ConsNormal Знак"/>
    <w:link w:val="889"/>
    <w:rPr>
      <w:rFonts w:ascii="Consultant" w:hAnsi="Consultant" w:eastAsia="Arial"/>
      <w:sz w:val="28"/>
      <w:lang w:eastAsia="ar-SA"/>
    </w:rPr>
  </w:style>
  <w:style w:type="paragraph" w:styleId="891">
    <w:name w:val="Body Text"/>
    <w:basedOn w:val="882"/>
    <w:link w:val="892"/>
    <w:unhideWhenUsed/>
    <w:pPr>
      <w:jc w:val="both"/>
      <w:spacing w:after="120"/>
    </w:pPr>
    <w:rPr>
      <w:szCs w:val="20"/>
    </w:rPr>
  </w:style>
  <w:style w:type="character" w:styleId="892" w:customStyle="1">
    <w:name w:val="Основной текст Знак"/>
    <w:basedOn w:val="883"/>
    <w:link w:val="891"/>
    <w:rPr>
      <w:rFonts w:eastAsia="Times New Roman"/>
      <w:szCs w:val="20"/>
      <w:lang w:eastAsia="ru-RU"/>
    </w:rPr>
  </w:style>
  <w:style w:type="character" w:styleId="893" w:customStyle="1">
    <w:name w:val="Стиль (латиница) Arial 8 пт Синий"/>
    <w:uiPriority w:val="99"/>
    <w:rPr>
      <w:rFonts w:hint="default" w:ascii="Times New Roman" w:hAnsi="Times New Roman" w:cs="Times New Roman"/>
      <w:color w:val="0000ff"/>
      <w:sz w:val="24"/>
    </w:rPr>
  </w:style>
  <w:style w:type="character" w:styleId="894" w:customStyle="1">
    <w:name w:val="ConsPlusNormal Знак"/>
    <w:link w:val="887"/>
    <w:rPr>
      <w:rFonts w:ascii="Arial" w:hAnsi="Arial" w:eastAsia="Times New Roman" w:cs="Arial"/>
      <w:sz w:val="20"/>
      <w:szCs w:val="20"/>
      <w:lang w:eastAsia="ru-RU"/>
    </w:rPr>
  </w:style>
  <w:style w:type="table" w:styleId="895">
    <w:name w:val="Table Grid"/>
    <w:basedOn w:val="884"/>
    <w:uiPriority w:val="3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96">
    <w:name w:val="Balloon Text"/>
    <w:basedOn w:val="882"/>
    <w:link w:val="897"/>
    <w:uiPriority w:val="99"/>
    <w:semiHidden/>
    <w:unhideWhenUsed/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883"/>
    <w:link w:val="89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8">
    <w:name w:val="Header"/>
    <w:basedOn w:val="882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883"/>
    <w:link w:val="898"/>
    <w:uiPriority w:val="99"/>
    <w:rPr>
      <w:rFonts w:eastAsia="Times New Roman"/>
      <w:szCs w:val="24"/>
      <w:lang w:eastAsia="ru-RU"/>
    </w:rPr>
  </w:style>
  <w:style w:type="paragraph" w:styleId="900">
    <w:name w:val="Footer"/>
    <w:basedOn w:val="882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83"/>
    <w:link w:val="900"/>
    <w:uiPriority w:val="99"/>
    <w:rPr>
      <w:rFonts w:eastAsia="Times New Roman"/>
      <w:szCs w:val="24"/>
      <w:lang w:eastAsia="ru-RU"/>
    </w:rPr>
  </w:style>
  <w:style w:type="paragraph" w:styleId="902" w:customStyle="1">
    <w:name w:val="Normal_0"/>
    <w:qFormat/>
    <w:pPr>
      <w:ind w:firstLine="0"/>
      <w:jc w:val="left"/>
    </w:pPr>
    <w:rPr>
      <w:rFonts w:eastAsia="Times New Roman"/>
      <w:szCs w:val="24"/>
      <w:lang w:eastAsia="ru-RU"/>
    </w:rPr>
  </w:style>
  <w:style w:type="paragraph" w:styleId="903">
    <w:name w:val="footnote text"/>
    <w:basedOn w:val="882"/>
    <w:link w:val="904"/>
    <w:uiPriority w:val="99"/>
    <w:semiHidden/>
    <w:unhideWhenUsed/>
    <w:rPr>
      <w:sz w:val="20"/>
      <w:szCs w:val="20"/>
    </w:rPr>
  </w:style>
  <w:style w:type="character" w:styleId="904" w:customStyle="1">
    <w:name w:val="Текст сноски Знак"/>
    <w:basedOn w:val="883"/>
    <w:link w:val="903"/>
    <w:uiPriority w:val="99"/>
    <w:semiHidden/>
    <w:rPr>
      <w:rFonts w:eastAsia="Times New Roman"/>
      <w:sz w:val="20"/>
      <w:szCs w:val="20"/>
      <w:lang w:eastAsia="ru-RU"/>
    </w:rPr>
  </w:style>
  <w:style w:type="character" w:styleId="905">
    <w:name w:val="footnote reference"/>
    <w:basedOn w:val="883"/>
    <w:uiPriority w:val="99"/>
    <w:semiHidden/>
    <w:unhideWhenUsed/>
    <w:rPr>
      <w:vertAlign w:val="superscript"/>
    </w:rPr>
  </w:style>
  <w:style w:type="paragraph" w:styleId="906" w:customStyle="1">
    <w:name w:val="Text Normal"/>
    <w:basedOn w:val="882"/>
    <w:pPr>
      <w:ind w:left="850" w:right="-1" w:hanging="283"/>
      <w:jc w:val="both"/>
      <w:spacing w:after="120"/>
      <w:widowControl w:val="off"/>
      <w:tabs>
        <w:tab w:val="left" w:pos="0" w:leader="none"/>
      </w:tabs>
    </w:pPr>
    <w:rPr>
      <w:rFonts w:ascii="Arial" w:hAnsi="Arial" w:cs="Arial"/>
      <w:sz w:val="22"/>
      <w:szCs w:val="22"/>
    </w:rPr>
  </w:style>
  <w:style w:type="table" w:styleId="907" w:customStyle="1">
    <w:name w:val="Сетка таблицы1"/>
    <w:basedOn w:val="884"/>
    <w:next w:val="895"/>
    <w:uiPriority w:val="39"/>
    <w:pPr>
      <w:ind w:firstLine="0"/>
      <w:jc w:val="left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8" w:customStyle="1">
    <w:name w:val="Font Style13"/>
    <w:rPr>
      <w:rFonts w:ascii="Times New Roman" w:hAnsi="Times New Roman"/>
      <w:sz w:val="26"/>
    </w:rPr>
  </w:style>
  <w:style w:type="paragraph" w:styleId="909" w:customStyle="1">
    <w:name w:val="Style7"/>
    <w:basedOn w:val="882"/>
    <w:pPr>
      <w:widowControl w:val="off"/>
    </w:pPr>
    <w:rPr>
      <w:rFonts w:eastAsiaTheme="minorEastAsia"/>
    </w:rPr>
  </w:style>
  <w:style w:type="character" w:styleId="910" w:customStyle="1">
    <w:name w:val="Font Style70"/>
    <w:rPr>
      <w:rFonts w:ascii="Times New Roman" w:hAnsi="Times New Roman"/>
      <w:sz w:val="22"/>
    </w:rPr>
  </w:style>
  <w:style w:type="paragraph" w:styleId="911" w:customStyle="1">
    <w:name w:val="Style11"/>
    <w:basedOn w:val="882"/>
    <w:pPr>
      <w:spacing w:line="264" w:lineRule="exact"/>
      <w:widowControl w:val="off"/>
    </w:pPr>
    <w:rPr>
      <w:rFonts w:eastAsiaTheme="minorEastAsia"/>
      <w:lang w:eastAsia="hi-IN" w:bidi="hi-IN"/>
    </w:rPr>
  </w:style>
  <w:style w:type="character" w:styleId="912" w:customStyle="1">
    <w:name w:val="Основной текст (2) + 9"/>
    <w:uiPriority w:val="99"/>
    <w:rPr>
      <w:rFonts w:ascii="Times New Roman" w:hAnsi="Times New Roman"/>
      <w:color w:val="000000"/>
      <w:spacing w:val="0"/>
      <w:position w:val="0"/>
      <w:sz w:val="19"/>
      <w:u w:val="none"/>
      <w:lang w:val="ru-RU" w:eastAsia="ru-RU"/>
    </w:rPr>
  </w:style>
  <w:style w:type="paragraph" w:styleId="913">
    <w:name w:val="Normal (Web)"/>
    <w:basedOn w:val="882"/>
    <w:link w:val="914"/>
    <w:uiPriority w:val="99"/>
    <w:qFormat/>
    <w:pPr>
      <w:spacing w:before="100" w:beforeAutospacing="1" w:after="100" w:afterAutospacing="1"/>
    </w:pPr>
  </w:style>
  <w:style w:type="character" w:styleId="914" w:customStyle="1">
    <w:name w:val="Обычный (веб) Знак"/>
    <w:link w:val="913"/>
    <w:uiPriority w:val="99"/>
    <w:rPr>
      <w:rFonts w:eastAsia="Times New Roman"/>
      <w:szCs w:val="24"/>
      <w:lang w:eastAsia="ru-RU"/>
    </w:rPr>
  </w:style>
  <w:style w:type="character" w:styleId="915" w:customStyle="1">
    <w:name w:val="List Paragraph Char"/>
    <w:link w:val="916"/>
    <w:rPr>
      <w:szCs w:val="24"/>
    </w:rPr>
  </w:style>
  <w:style w:type="paragraph" w:styleId="916" w:customStyle="1">
    <w:name w:val="Абзац списка1"/>
    <w:basedOn w:val="882"/>
    <w:link w:val="915"/>
    <w:qFormat/>
    <w:pPr>
      <w:contextualSpacing/>
      <w:ind w:left="720"/>
    </w:pPr>
    <w:rPr>
      <w:rFonts w:eastAsiaTheme="minorHAnsi"/>
      <w:lang w:eastAsia="en-US"/>
    </w:rPr>
  </w:style>
  <w:style w:type="paragraph" w:styleId="917" w:customStyle="1">
    <w:name w:val="Заголовки Разделов в АД"/>
    <w:basedOn w:val="882"/>
    <w:link w:val="918"/>
    <w:qFormat/>
    <w:pPr>
      <w:numPr>
        <w:ilvl w:val="0"/>
        <w:numId w:val="3"/>
      </w:numPr>
      <w:spacing w:after="120"/>
    </w:pPr>
    <w:rPr>
      <w:b/>
    </w:rPr>
  </w:style>
  <w:style w:type="character" w:styleId="918" w:customStyle="1">
    <w:name w:val="Заголовки Разделов в АД Знак"/>
    <w:link w:val="917"/>
    <w:rPr>
      <w:rFonts w:eastAsia="Times New Roman"/>
      <w:b/>
      <w:szCs w:val="24"/>
    </w:rPr>
  </w:style>
  <w:style w:type="paragraph" w:styleId="919">
    <w:name w:val="No Spacing"/>
    <w:qFormat/>
    <w:pPr>
      <w:ind w:firstLine="0"/>
      <w:jc w:val="left"/>
    </w:pPr>
    <w:rPr>
      <w:rFonts w:ascii="Calibri" w:hAnsi="Calibri" w:eastAsia="Calibri"/>
      <w:sz w:val="22"/>
    </w:rPr>
  </w:style>
  <w:style w:type="character" w:styleId="920" w:customStyle="1">
    <w:name w:val="Основной текст (1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styleId="921" w:customStyle="1">
    <w:name w:val="Абзац списка Знак"/>
    <w:link w:val="886"/>
    <w:uiPriority w:val="34"/>
    <w:rPr>
      <w:rFonts w:eastAsia="Times New Roman"/>
      <w:szCs w:val="24"/>
      <w:lang w:eastAsia="ru-RU"/>
    </w:rPr>
  </w:style>
  <w:style w:type="paragraph" w:styleId="922" w:customStyle="1">
    <w:name w:val="ConsPlusTitle"/>
    <w:uiPriority w:val="99"/>
    <w:pPr>
      <w:ind w:firstLine="0"/>
      <w:jc w:val="left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23">
    <w:name w:val="Body Text 2"/>
    <w:basedOn w:val="882"/>
    <w:link w:val="924"/>
    <w:uiPriority w:val="99"/>
    <w:semiHidden/>
    <w:unhideWhenUsed/>
    <w:pPr>
      <w:spacing w:after="120" w:line="480" w:lineRule="auto"/>
    </w:pPr>
  </w:style>
  <w:style w:type="character" w:styleId="924" w:customStyle="1">
    <w:name w:val="Основной текст 2 Знак"/>
    <w:basedOn w:val="883"/>
    <w:link w:val="923"/>
    <w:uiPriority w:val="99"/>
    <w:semiHidden/>
    <w:rPr>
      <w:rFonts w:eastAsia="Times New Roman"/>
      <w:szCs w:val="24"/>
      <w:lang w:eastAsia="ru-RU"/>
    </w:rPr>
  </w:style>
  <w:style w:type="paragraph" w:styleId="925" w:customStyle="1">
    <w:name w:val="Default"/>
    <w:pPr>
      <w:ind w:firstLine="0"/>
      <w:jc w:val="left"/>
    </w:pPr>
    <w:rPr>
      <w:color w:val="000000"/>
      <w:szCs w:val="24"/>
    </w:rPr>
  </w:style>
  <w:style w:type="paragraph" w:styleId="926" w:customStyle="1">
    <w:name w:val="Обычный1"/>
    <w:pPr>
      <w:ind w:firstLine="0"/>
      <w:spacing w:after="120"/>
    </w:pPr>
    <w:rPr>
      <w:rFonts w:ascii="TimesET" w:hAnsi="TimesET" w:eastAsia="Times New Roman"/>
      <w:szCs w:val="24"/>
      <w:lang w:eastAsia="ru-RU"/>
    </w:rPr>
  </w:style>
  <w:style w:type="paragraph" w:styleId="927" w:customStyle="1">
    <w:name w:val="Стиль"/>
    <w:pPr>
      <w:ind w:firstLine="0"/>
      <w:jc w:val="left"/>
      <w:widowControl w:val="off"/>
    </w:pPr>
    <w:rPr>
      <w:rFonts w:ascii="Arial" w:hAnsi="Arial" w:eastAsia="SimSun" w:cs="Arial"/>
      <w:szCs w:val="24"/>
      <w:lang w:eastAsia="zh-CN"/>
    </w:rPr>
  </w:style>
  <w:style w:type="paragraph" w:styleId="928">
    <w:name w:val="Body Text Indent 2"/>
    <w:basedOn w:val="882"/>
    <w:link w:val="929"/>
    <w:uiPriority w:val="99"/>
    <w:semiHidden/>
    <w:unhideWhenUsed/>
    <w:pPr>
      <w:ind w:left="283"/>
      <w:spacing w:after="120" w:line="480" w:lineRule="auto"/>
    </w:pPr>
    <w:rPr>
      <w:rFonts w:ascii="Calibri" w:hAnsi="Calibri" w:cs="Calibri"/>
      <w:sz w:val="20"/>
      <w:szCs w:val="20"/>
      <w:lang w:eastAsia="ar-SA"/>
    </w:rPr>
  </w:style>
  <w:style w:type="character" w:styleId="929" w:customStyle="1">
    <w:name w:val="Основной текст с отступом 2 Знак"/>
    <w:basedOn w:val="883"/>
    <w:link w:val="928"/>
    <w:uiPriority w:val="99"/>
    <w:semiHidden/>
    <w:rPr>
      <w:rFonts w:ascii="Calibri" w:hAnsi="Calibri" w:eastAsia="Times New Roman" w:cs="Calibri"/>
      <w:sz w:val="20"/>
      <w:szCs w:val="20"/>
      <w:lang w:eastAsia="ar-SA"/>
    </w:rPr>
  </w:style>
  <w:style w:type="character" w:styleId="930">
    <w:name w:val="Hyperlink"/>
    <w:basedOn w:val="883"/>
    <w:uiPriority w:val="99"/>
    <w:unhideWhenUsed/>
    <w:rPr>
      <w:color w:val="0000ff" w:themeColor="hyperlink"/>
      <w:u w:val="single"/>
    </w:rPr>
  </w:style>
  <w:style w:type="paragraph" w:styleId="931" w:customStyle="1">
    <w:name w:val="formattext"/>
    <w:basedOn w:val="882"/>
    <w:qFormat/>
    <w:pPr>
      <w:spacing w:before="100" w:beforeAutospacing="1" w:after="100" w:afterAutospacing="1"/>
    </w:pPr>
    <w:rPr>
      <w:rFonts w:eastAsia="Calibri"/>
      <w:lang w:eastAsia="zh-CN"/>
    </w:rPr>
  </w:style>
  <w:style w:type="character" w:styleId="932" w:customStyle="1">
    <w:name w:val="Font Style25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933" w:customStyle="1">
    <w:name w:val="Font Style15"/>
    <w:uiPriority w:val="99"/>
    <w:rPr>
      <w:rFonts w:ascii="Times New Roman" w:hAnsi="Times New Roman" w:cs="Times New Roman"/>
      <w:sz w:val="22"/>
      <w:szCs w:val="22"/>
    </w:rPr>
  </w:style>
  <w:style w:type="paragraph" w:styleId="934" w:customStyle="1">
    <w:name w:val="Style18"/>
    <w:uiPriority w:val="99"/>
    <w:pPr>
      <w:contextualSpacing w:val="0"/>
      <w:ind w:left="0" w:right="0" w:firstLine="710"/>
      <w:jc w:val="both"/>
      <w:keepLines w:val="0"/>
      <w:keepNext w:val="0"/>
      <w:pageBreakBefore w:val="0"/>
      <w:spacing w:before="0" w:beforeAutospacing="0" w:after="0" w:afterAutospacing="0" w:line="274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35" w:customStyle="1">
    <w:name w:val="Гиперссылка"/>
    <w:unhideWhenUsed/>
    <w:rPr>
      <w:color w:val="0000ff"/>
      <w:u w:val="single"/>
    </w:rPr>
  </w:style>
  <w:style w:type="character" w:styleId="936" w:customStyle="1">
    <w:name w:val="Font Style61"/>
    <w:rPr>
      <w:rFonts w:ascii="Times New Roman" w:hAnsi="Times New Roman" w:cs="Times New Roman"/>
      <w:sz w:val="22"/>
      <w:szCs w:val="22"/>
    </w:rPr>
  </w:style>
  <w:style w:type="character" w:styleId="937" w:customStyle="1">
    <w:name w:val="blk"/>
    <w:link w:val="76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MLAW;n=129338;fld=134;dst=1001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0CE2-BDC1-43F6-A53B-C7B0FD8D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gzakaz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verder_es</cp:lastModifiedBy>
  <cp:revision>44</cp:revision>
  <dcterms:created xsi:type="dcterms:W3CDTF">2021-11-30T02:49:00Z</dcterms:created>
  <dcterms:modified xsi:type="dcterms:W3CDTF">2026-06-30T08:47:06Z</dcterms:modified>
</cp:coreProperties>
</file>