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0"/>
        <w:jc w:val="center"/>
        <w:rPr>
          <w:rFonts w:ascii="Times New Roman" w:hAnsi="Times New Roman"/>
          <w:b/>
          <w:bCs/>
          <w:sz w:val="24"/>
          <w:szCs w:val="24"/>
        </w:rPr>
      </w:pPr>
      <w:r>
        <w:rPr>
          <w:rFonts w:ascii="Times New Roman" w:hAnsi="Times New Roman"/>
          <w:b/>
          <w:bCs/>
          <w:sz w:val="24"/>
          <w:szCs w:val="24"/>
        </w:rPr>
        <w:t>Техническое задание</w:t>
      </w:r>
    </w:p>
    <w:p>
      <w:pPr>
        <w:pStyle w:val="Normal"/>
        <w:ind w:firstLine="708"/>
        <w:jc w:val="center"/>
        <w:rPr>
          <w:rFonts w:ascii="Times New Roman" w:hAnsi="Times New Roman"/>
          <w:b/>
          <w:sz w:val="24"/>
          <w:szCs w:val="24"/>
        </w:rPr>
      </w:pPr>
      <w:r>
        <w:rPr>
          <w:rFonts w:ascii="Times New Roman" w:hAnsi="Times New Roman"/>
          <w:b/>
          <w:bCs/>
          <w:sz w:val="24"/>
          <w:szCs w:val="24"/>
        </w:rPr>
        <w:t xml:space="preserve">на </w:t>
      </w:r>
      <w:r>
        <w:rPr>
          <w:rFonts w:ascii="Times New Roman" w:hAnsi="Times New Roman"/>
          <w:b/>
          <w:sz w:val="24"/>
          <w:szCs w:val="24"/>
        </w:rPr>
        <w:t>поставку картриджей и тонеров для организационной техники</w:t>
      </w:r>
    </w:p>
    <w:p>
      <w:pPr>
        <w:pStyle w:val="ListParagraph"/>
        <w:spacing w:before="0" w:after="0"/>
        <w:ind w:firstLine="567" w:left="0"/>
        <w:contextualSpacing/>
        <w:jc w:val="both"/>
        <w:rPr>
          <w:rFonts w:ascii="Times New Roman" w:hAnsi="Times New Roman" w:eastAsia="Times New Roman"/>
          <w:color w:val="000000"/>
          <w:sz w:val="24"/>
          <w:szCs w:val="24"/>
          <w:lang w:eastAsia="ru-RU"/>
        </w:rPr>
      </w:pPr>
      <w:r>
        <w:rPr>
          <w:rFonts w:eastAsia="Times New Roman" w:ascii="Times New Roman" w:hAnsi="Times New Roman"/>
          <w:b/>
          <w:color w:val="000000"/>
          <w:sz w:val="24"/>
          <w:szCs w:val="24"/>
          <w:lang w:eastAsia="ru-RU"/>
        </w:rPr>
        <w:t>1.Объект закупки:</w:t>
      </w:r>
      <w:r>
        <w:rPr>
          <w:rFonts w:eastAsia="Times New Roman" w:ascii="Times New Roman" w:hAnsi="Times New Roman"/>
          <w:color w:val="000000"/>
          <w:sz w:val="24"/>
          <w:szCs w:val="24"/>
          <w:lang w:eastAsia="ru-RU"/>
        </w:rPr>
        <w:t xml:space="preserve"> Поставка картриджей и тонеров для организационной техники (далее - Товар).</w:t>
      </w:r>
    </w:p>
    <w:p>
      <w:pPr>
        <w:pStyle w:val="Normal"/>
        <w:spacing w:before="0" w:after="0"/>
        <w:ind w:hanging="567" w:left="567"/>
        <w:jc w:val="both"/>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t>ОКПД2: 26.20.40.120 – Элементы замены типовые устройств ввода и вывода.</w:t>
      </w:r>
    </w:p>
    <w:p>
      <w:pPr>
        <w:pStyle w:val="Normal"/>
        <w:spacing w:before="0" w:after="0"/>
        <w:jc w:val="both"/>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t>КТРУ: 20.59.12.120-00000002 – Картридж для электрографических печатающих устройств.</w:t>
      </w:r>
    </w:p>
    <w:p>
      <w:pPr>
        <w:pStyle w:val="Normal"/>
        <w:spacing w:before="0" w:after="0"/>
        <w:ind w:firstLine="567"/>
        <w:jc w:val="both"/>
        <w:rPr>
          <w:rFonts w:ascii="Times New Roman" w:hAnsi="Times New Roman" w:eastAsia="Times New Roman"/>
          <w:color w:val="000000"/>
          <w:sz w:val="24"/>
          <w:szCs w:val="24"/>
          <w:lang w:eastAsia="ru-RU"/>
        </w:rPr>
      </w:pPr>
      <w:r>
        <w:rPr>
          <w:rFonts w:eastAsia="Times New Roman" w:ascii="Times New Roman" w:hAnsi="Times New Roman"/>
          <w:b/>
          <w:color w:val="000000"/>
          <w:sz w:val="24"/>
          <w:szCs w:val="24"/>
          <w:lang w:eastAsia="ru-RU"/>
        </w:rPr>
        <w:t>2. Заказчик:</w:t>
      </w:r>
      <w:r>
        <w:rPr>
          <w:rFonts w:eastAsia="Times New Roman" w:ascii="Times New Roman" w:hAnsi="Times New Roman"/>
          <w:color w:val="000000"/>
          <w:sz w:val="24"/>
          <w:szCs w:val="24"/>
          <w:lang w:eastAsia="ru-RU"/>
        </w:rPr>
        <w:t xml:space="preserve"> Главное межрегиональное (специализированное) управление Федеральной службы судебных приставов (ГМУ ФССП России)</w:t>
      </w:r>
    </w:p>
    <w:p>
      <w:pPr>
        <w:pStyle w:val="Normal"/>
        <w:spacing w:before="0" w:after="0"/>
        <w:ind w:firstLine="567"/>
        <w:rPr>
          <w:rFonts w:ascii="Times New Roman" w:hAnsi="Times New Roman" w:eastAsia="Times New Roman"/>
          <w:b/>
          <w:color w:val="000000"/>
          <w:sz w:val="24"/>
          <w:szCs w:val="24"/>
          <w:lang w:eastAsia="ru-RU"/>
        </w:rPr>
      </w:pPr>
      <w:r>
        <w:rPr>
          <w:rFonts w:eastAsia="Times New Roman" w:ascii="Times New Roman" w:hAnsi="Times New Roman"/>
          <w:b/>
          <w:color w:val="000000"/>
          <w:sz w:val="24"/>
          <w:szCs w:val="24"/>
          <w:lang w:eastAsia="ru-RU"/>
        </w:rPr>
        <w:t>3.</w:t>
      </w:r>
      <w:r>
        <w:rPr>
          <w:sz w:val="24"/>
          <w:szCs w:val="24"/>
        </w:rPr>
        <w:t xml:space="preserve"> </w:t>
      </w:r>
      <w:r>
        <w:rPr>
          <w:rFonts w:eastAsia="Times New Roman" w:ascii="Times New Roman" w:hAnsi="Times New Roman"/>
          <w:b/>
          <w:color w:val="000000"/>
          <w:sz w:val="24"/>
          <w:szCs w:val="24"/>
          <w:lang w:eastAsia="ru-RU"/>
        </w:rPr>
        <w:t>Технические и эксплуатационные характеристики товара:</w:t>
      </w:r>
    </w:p>
    <w:p>
      <w:pPr>
        <w:pStyle w:val="Normal"/>
        <w:spacing w:before="0" w:after="0"/>
        <w:ind w:firstLine="567"/>
        <w:rPr>
          <w:rFonts w:ascii="Times New Roman" w:hAnsi="Times New Roman" w:eastAsia="Times New Roman"/>
          <w:b/>
          <w:color w:val="000000"/>
          <w:sz w:val="24"/>
          <w:szCs w:val="24"/>
          <w:lang w:eastAsia="ru-RU"/>
        </w:rPr>
      </w:pPr>
      <w:r>
        <w:rPr>
          <w:rFonts w:eastAsia="Times New Roman" w:ascii="Times New Roman" w:hAnsi="Times New Roman"/>
          <w:b/>
          <w:color w:val="000000"/>
          <w:sz w:val="24"/>
          <w:szCs w:val="24"/>
          <w:lang w:eastAsia="ru-RU"/>
        </w:rPr>
      </w:r>
    </w:p>
    <w:tbl>
      <w:tblPr>
        <w:tblW w:w="10307" w:type="dxa"/>
        <w:jc w:val="left"/>
        <w:tblInd w:w="105" w:type="dxa"/>
        <w:tblLayout w:type="fixed"/>
        <w:tblCellMar>
          <w:top w:w="105" w:type="dxa"/>
          <w:left w:w="105" w:type="dxa"/>
          <w:bottom w:w="105" w:type="dxa"/>
          <w:right w:w="105" w:type="dxa"/>
        </w:tblCellMar>
      </w:tblPr>
      <w:tblGrid>
        <w:gridCol w:w="555"/>
        <w:gridCol w:w="2445"/>
        <w:gridCol w:w="6345"/>
        <w:gridCol w:w="961"/>
      </w:tblGrid>
      <w:tr>
        <w:trPr>
          <w:trHeight w:val="675" w:hRule="atLeast"/>
        </w:trPr>
        <w:tc>
          <w:tcPr>
            <w:tcW w:w="555" w:type="dxa"/>
            <w:tcBorders>
              <w:top w:val="single" w:sz="4" w:space="0" w:color="000000"/>
              <w:left w:val="single" w:sz="4" w:space="0" w:color="000000"/>
              <w:bottom w:val="single" w:sz="4" w:space="0" w:color="000000"/>
            </w:tcBorders>
            <w:vAlign w:val="center"/>
          </w:tcPr>
          <w:p>
            <w:pPr>
              <w:pStyle w:val="Normal"/>
              <w:spacing w:before="0" w:after="200"/>
              <w:rPr>
                <w:rFonts w:ascii="Times New Roman" w:hAnsi="Times New Roman" w:eastAsia="Times New Roman" w:cs="Times New Roman"/>
                <w:color w:val="000000"/>
                <w:kern w:val="0"/>
                <w:sz w:val="20"/>
                <w:szCs w:val="20"/>
                <w:lang w:val="ru-RU" w:eastAsia="ru-RU" w:bidi="ar-SA"/>
              </w:rPr>
            </w:pPr>
            <w:r>
              <w:rPr>
                <w:rFonts w:eastAsia="Times New Roman" w:cs="Times New Roman" w:ascii="Times New Roman" w:hAnsi="Times New Roman"/>
                <w:color w:val="000000"/>
                <w:kern w:val="0"/>
                <w:sz w:val="20"/>
                <w:szCs w:val="20"/>
                <w:lang w:val="ru-RU" w:eastAsia="ru-RU" w:bidi="ar-SA"/>
              </w:rPr>
              <w:t xml:space="preserve">№ </w:t>
            </w:r>
            <w:r>
              <w:rPr>
                <w:rFonts w:eastAsia="Times New Roman" w:cs="Times New Roman" w:ascii="Times New Roman" w:hAnsi="Times New Roman"/>
                <w:color w:val="000000"/>
                <w:kern w:val="0"/>
                <w:sz w:val="20"/>
                <w:szCs w:val="20"/>
                <w:lang w:val="ru-RU" w:eastAsia="ru-RU" w:bidi="ar-SA"/>
              </w:rPr>
              <w:t>п/п</w:t>
            </w:r>
          </w:p>
        </w:tc>
        <w:tc>
          <w:tcPr>
            <w:tcW w:w="2445" w:type="dxa"/>
            <w:tcBorders>
              <w:top w:val="single" w:sz="4" w:space="0" w:color="000000"/>
              <w:left w:val="single" w:sz="4" w:space="0" w:color="000000"/>
              <w:bottom w:val="single" w:sz="4" w:space="0" w:color="000000"/>
            </w:tcBorders>
            <w:vAlign w:val="center"/>
          </w:tcPr>
          <w:p>
            <w:pPr>
              <w:pStyle w:val="Normal"/>
              <w:spacing w:before="0" w:after="200"/>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ascii="Times New Roman" w:hAnsi="Times New Roman"/>
                <w:color w:val="000000"/>
                <w:kern w:val="0"/>
                <w:sz w:val="20"/>
                <w:szCs w:val="20"/>
                <w:lang w:val="ru-RU" w:eastAsia="ru-RU" w:bidi="ar-SA"/>
              </w:rPr>
              <w:t>Наименование товара</w:t>
            </w:r>
          </w:p>
        </w:tc>
        <w:tc>
          <w:tcPr>
            <w:tcW w:w="6345" w:type="dxa"/>
            <w:tcBorders>
              <w:top w:val="single" w:sz="4" w:space="0" w:color="000000"/>
              <w:left w:val="single" w:sz="4" w:space="0" w:color="000000"/>
              <w:bottom w:val="single" w:sz="4" w:space="0" w:color="000000"/>
            </w:tcBorders>
            <w:vAlign w:val="center"/>
          </w:tcPr>
          <w:p>
            <w:pPr>
              <w:pStyle w:val="Style21"/>
              <w:spacing w:before="0" w:after="200"/>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ascii="Times New Roman" w:hAnsi="Times New Roman"/>
                <w:color w:val="000000"/>
                <w:kern w:val="0"/>
                <w:sz w:val="20"/>
                <w:szCs w:val="20"/>
                <w:lang w:val="ru-RU" w:eastAsia="ru-RU" w:bidi="ar-SA"/>
              </w:rPr>
              <w:t>Технические характеристики, инструкция</w:t>
            </w:r>
          </w:p>
        </w:tc>
        <w:tc>
          <w:tcPr>
            <w:tcW w:w="961"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200"/>
              <w:rPr>
                <w:rFonts w:ascii="Times New Roman" w:hAnsi="Times New Roman" w:eastAsia="Times New Roman" w:cs="Times New Roman"/>
                <w:color w:val="000000"/>
                <w:kern w:val="0"/>
                <w:sz w:val="20"/>
                <w:szCs w:val="20"/>
                <w:lang w:val="ru-RU" w:eastAsia="ru-RU" w:bidi="ar-SA"/>
              </w:rPr>
            </w:pPr>
            <w:r>
              <w:rPr>
                <w:rFonts w:eastAsia="Times New Roman" w:cs="Times New Roman" w:ascii="Times New Roman" w:hAnsi="Times New Roman"/>
                <w:color w:val="000000"/>
                <w:kern w:val="0"/>
                <w:sz w:val="20"/>
                <w:szCs w:val="20"/>
                <w:lang w:val="ru-RU" w:eastAsia="ru-RU" w:bidi="ar-SA"/>
              </w:rPr>
              <w:t>Кол-во (штук)</w:t>
            </w:r>
          </w:p>
        </w:tc>
      </w:tr>
      <w:tr>
        <w:trPr>
          <w:trHeight w:val="285" w:hRule="atLeast"/>
        </w:trPr>
        <w:tc>
          <w:tcPr>
            <w:tcW w:w="555" w:type="dxa"/>
            <w:tcBorders>
              <w:left w:val="single" w:sz="4" w:space="0" w:color="000000"/>
              <w:bottom w:val="single" w:sz="4" w:space="0" w:color="000000"/>
            </w:tcBorders>
            <w:vAlign w:val="center"/>
          </w:tcPr>
          <w:p>
            <w:pPr>
              <w:pStyle w:val="Normal"/>
              <w:snapToGrid w:val="false"/>
              <w:spacing w:before="0" w:after="200"/>
              <w:rPr>
                <w:rFonts w:ascii="Times New Roman" w:hAnsi="Times New Roman"/>
                <w:sz w:val="20"/>
                <w:szCs w:val="20"/>
              </w:rPr>
            </w:pPr>
            <w:r>
              <w:rPr>
                <w:rFonts w:ascii="Times New Roman" w:hAnsi="Times New Roman"/>
                <w:sz w:val="20"/>
                <w:szCs w:val="20"/>
              </w:rPr>
              <w:t>1</w:t>
            </w:r>
          </w:p>
        </w:tc>
        <w:tc>
          <w:tcPr>
            <w:tcW w:w="2445" w:type="dxa"/>
            <w:tcBorders>
              <w:left w:val="single" w:sz="4" w:space="0" w:color="000000"/>
              <w:bottom w:val="single" w:sz="4" w:space="0" w:color="000000"/>
            </w:tcBorders>
            <w:vAlign w:val="center"/>
          </w:tcPr>
          <w:p>
            <w:pPr>
              <w:pStyle w:val="Style22"/>
              <w:spacing w:before="0" w:after="0"/>
              <w:jc w:val="left"/>
              <w:rPr>
                <w:rFonts w:ascii="Times New Roman" w:hAnsi="Times New Roman" w:cs="Tempora LGC Uni"/>
                <w:b w:val="false"/>
                <w:bCs w:val="false"/>
                <w:i w:val="false"/>
                <w:i w:val="false"/>
                <w:caps w:val="false"/>
                <w:smallCaps w:val="false"/>
                <w:color w:val="383838"/>
                <w:spacing w:val="0"/>
                <w:sz w:val="20"/>
                <w:szCs w:val="20"/>
                <w:lang w:val="ru-RU" w:eastAsia="ru-RU" w:bidi="fa-IR"/>
              </w:rPr>
            </w:pPr>
            <w:r>
              <w:rPr>
                <w:rFonts w:cs="Tempora LGC Uni" w:ascii="Times New Roman" w:hAnsi="Times New Roman"/>
                <w:b w:val="false"/>
                <w:bCs w:val="false"/>
                <w:i w:val="false"/>
                <w:caps w:val="false"/>
                <w:smallCaps w:val="false"/>
                <w:color w:val="383838"/>
                <w:spacing w:val="0"/>
                <w:sz w:val="20"/>
                <w:szCs w:val="20"/>
                <w:lang w:val="ru-RU" w:eastAsia="ru-RU" w:bidi="fa-IR"/>
              </w:rPr>
              <w:t>Картридж для электрографических печатающих устройств</w:t>
            </w:r>
          </w:p>
          <w:p>
            <w:pPr>
              <w:pStyle w:val="Normal"/>
              <w:jc w:val="left"/>
              <w:rPr>
                <w:rFonts w:ascii="Times New Roman" w:hAnsi="Times New Roman" w:cs="Tempora LGC Uni"/>
                <w:b w:val="false"/>
                <w:bCs w:val="false"/>
                <w:sz w:val="20"/>
                <w:szCs w:val="20"/>
                <w:lang w:val="ru-RU" w:eastAsia="ru-RU" w:bidi="fa-IR"/>
              </w:rPr>
            </w:pPr>
            <w:r>
              <w:rPr>
                <w:rFonts w:cs="Tempora LGC Uni" w:ascii="Times New Roman" w:hAnsi="Times New Roman"/>
                <w:b w:val="false"/>
                <w:bCs w:val="false"/>
                <w:sz w:val="20"/>
                <w:szCs w:val="20"/>
                <w:lang w:val="ru-RU" w:eastAsia="ru-RU" w:bidi="fa-IR"/>
              </w:rPr>
              <w:t>ОКПД 2: 26.20.40.120</w:t>
            </w:r>
          </w:p>
          <w:p>
            <w:pPr>
              <w:pStyle w:val="Normal"/>
              <w:spacing w:before="0" w:after="200"/>
              <w:jc w:val="left"/>
              <w:rPr>
                <w:rFonts w:ascii="Times New Roman" w:hAnsi="Times New Roman"/>
                <w:sz w:val="20"/>
                <w:szCs w:val="20"/>
              </w:rPr>
            </w:pPr>
            <w:r>
              <w:rPr>
                <w:rFonts w:cs="Times New Roman" w:ascii="Times New Roman" w:hAnsi="Times New Roman"/>
                <w:b w:val="false"/>
                <w:bCs w:val="false"/>
                <w:sz w:val="20"/>
                <w:szCs w:val="20"/>
                <w:lang w:val="ru-RU" w:eastAsia="ru-RU" w:bidi="fa-IR"/>
              </w:rPr>
              <w:t xml:space="preserve">КТРУ </w:t>
            </w:r>
            <w:r>
              <w:rPr>
                <w:rFonts w:cs="Times New Roman" w:ascii="Times New Roman" w:hAnsi="Times New Roman"/>
                <w:b w:val="false"/>
                <w:bCs w:val="false"/>
                <w:i w:val="false"/>
                <w:caps w:val="false"/>
                <w:smallCaps w:val="false"/>
                <w:color w:val="383838"/>
                <w:spacing w:val="0"/>
                <w:sz w:val="20"/>
                <w:szCs w:val="20"/>
                <w:lang w:val="ru-RU" w:eastAsia="ru-RU" w:bidi="fa-IR"/>
              </w:rPr>
              <w:t>20.59.12.120-00000002</w:t>
            </w:r>
          </w:p>
        </w:tc>
        <w:tc>
          <w:tcPr>
            <w:tcW w:w="6345" w:type="dxa"/>
            <w:tcBorders>
              <w:left w:val="single" w:sz="4" w:space="0" w:color="000000"/>
              <w:bottom w:val="single" w:sz="4" w:space="0" w:color="000000"/>
            </w:tcBorders>
            <w:vAlign w:val="center"/>
          </w:tcPr>
          <w:p>
            <w:pPr>
              <w:pStyle w:val="Style21"/>
              <w:spacing w:before="0" w:after="0"/>
              <w:ind w:right="0"/>
              <w:jc w:val="left"/>
              <w:rPr>
                <w:rFonts w:ascii="Times New Roman" w:hAnsi="Times New Roman"/>
                <w:sz w:val="20"/>
                <w:szCs w:val="20"/>
              </w:rPr>
            </w:pPr>
            <w:r>
              <w:rPr>
                <w:rFonts w:ascii="Times New Roman" w:hAnsi="Times New Roman"/>
                <w:b/>
                <w:color w:val="383838"/>
                <w:sz w:val="20"/>
                <w:szCs w:val="20"/>
              </w:rPr>
              <w:t>тип</w:t>
            </w:r>
            <w:r>
              <w:rPr>
                <w:rFonts w:ascii="Times New Roman" w:hAnsi="Times New Roman"/>
                <w:sz w:val="20"/>
                <w:szCs w:val="20"/>
              </w:rPr>
              <w:br/>
              <w:t>Картридж</w:t>
              <w:br/>
            </w:r>
            <w:r>
              <w:rPr>
                <w:rFonts w:ascii="Times New Roman" w:hAnsi="Times New Roman"/>
                <w:color w:val="979797"/>
                <w:sz w:val="20"/>
                <w:szCs w:val="20"/>
              </w:rPr>
              <w:t>Значение характеристики не может изменяться участником закупки</w:t>
            </w:r>
            <w:r>
              <w:rPr>
                <w:rFonts w:ascii="Times New Roman" w:hAnsi="Times New Roman"/>
                <w:sz w:val="20"/>
                <w:szCs w:val="20"/>
              </w:rPr>
              <w:br/>
            </w:r>
            <w:r>
              <w:rPr>
                <w:rFonts w:ascii="Times New Roman" w:hAnsi="Times New Roman"/>
                <w:b/>
                <w:color w:val="383838"/>
                <w:sz w:val="20"/>
                <w:szCs w:val="20"/>
              </w:rPr>
              <w:t>совместимость</w:t>
            </w:r>
            <w:r>
              <w:rPr>
                <w:rFonts w:ascii="Times New Roman" w:hAnsi="Times New Roman"/>
                <w:sz w:val="20"/>
                <w:szCs w:val="20"/>
              </w:rPr>
              <w:br/>
              <w:t>Xerox VersaLink C7020/ 7025/ 7030</w:t>
              <w:br/>
            </w:r>
            <w:r>
              <w:rPr>
                <w:rFonts w:ascii="Times New Roman" w:hAnsi="Times New Roman"/>
                <w:color w:val="979797"/>
                <w:sz w:val="20"/>
                <w:szCs w:val="20"/>
              </w:rPr>
              <w:t>Значение характеристики не может изменяться участником закупки</w:t>
            </w:r>
            <w:r>
              <w:rPr>
                <w:rFonts w:ascii="Times New Roman" w:hAnsi="Times New Roman"/>
                <w:sz w:val="20"/>
                <w:szCs w:val="20"/>
              </w:rPr>
              <w:br/>
            </w:r>
            <w:r>
              <w:rPr>
                <w:rFonts w:ascii="Times New Roman" w:hAnsi="Times New Roman"/>
                <w:b/>
                <w:color w:val="383838"/>
                <w:sz w:val="20"/>
                <w:szCs w:val="20"/>
              </w:rPr>
              <w:t>артикул</w:t>
            </w:r>
            <w:r>
              <w:rPr>
                <w:rFonts w:ascii="Times New Roman" w:hAnsi="Times New Roman"/>
                <w:sz w:val="20"/>
                <w:szCs w:val="20"/>
              </w:rPr>
              <w:br/>
              <w:t>106R03746</w:t>
              <w:br/>
            </w:r>
            <w:r>
              <w:rPr>
                <w:rFonts w:ascii="Times New Roman" w:hAnsi="Times New Roman"/>
                <w:color w:val="979797"/>
                <w:sz w:val="20"/>
                <w:szCs w:val="20"/>
              </w:rPr>
              <w:t>Значение характеристики не может изменяться участником закупки</w:t>
            </w:r>
            <w:r>
              <w:rPr>
                <w:rFonts w:ascii="Times New Roman" w:hAnsi="Times New Roman"/>
                <w:sz w:val="20"/>
                <w:szCs w:val="20"/>
              </w:rPr>
              <w:br/>
            </w:r>
            <w:r>
              <w:rPr>
                <w:rFonts w:ascii="Times New Roman" w:hAnsi="Times New Roman"/>
                <w:b/>
                <w:color w:val="383838"/>
                <w:sz w:val="20"/>
                <w:szCs w:val="20"/>
              </w:rPr>
              <w:t>цвет</w:t>
            </w:r>
            <w:r>
              <w:rPr>
                <w:rFonts w:ascii="Times New Roman" w:hAnsi="Times New Roman"/>
                <w:sz w:val="20"/>
                <w:szCs w:val="20"/>
              </w:rPr>
              <w:br/>
              <w:t>желтый</w:t>
              <w:br/>
            </w:r>
            <w:r>
              <w:rPr>
                <w:rFonts w:ascii="Times New Roman" w:hAnsi="Times New Roman"/>
                <w:color w:val="979797"/>
                <w:sz w:val="20"/>
                <w:szCs w:val="20"/>
              </w:rPr>
              <w:t>Значение характеристики не может изменяться участником закупки</w:t>
            </w:r>
            <w:r>
              <w:rPr>
                <w:rFonts w:ascii="Times New Roman" w:hAnsi="Times New Roman"/>
                <w:sz w:val="20"/>
                <w:szCs w:val="20"/>
              </w:rPr>
              <w:br/>
            </w:r>
            <w:r>
              <w:rPr>
                <w:rFonts w:ascii="Times New Roman" w:hAnsi="Times New Roman"/>
                <w:b/>
                <w:color w:val="383838"/>
                <w:sz w:val="20"/>
                <w:szCs w:val="20"/>
              </w:rPr>
              <w:t>ресурс страниц</w:t>
            </w:r>
            <w:r>
              <w:rPr>
                <w:rFonts w:ascii="Times New Roman" w:hAnsi="Times New Roman"/>
                <w:sz w:val="20"/>
                <w:szCs w:val="20"/>
              </w:rPr>
              <w:br/>
              <w:t>≥ 16500 Штука (ШТ)</w:t>
              <w:br/>
            </w:r>
            <w:r>
              <w:rPr>
                <w:rFonts w:ascii="Times New Roman" w:hAnsi="Times New Roman"/>
                <w:color w:val="979797"/>
                <w:sz w:val="20"/>
                <w:szCs w:val="20"/>
              </w:rPr>
              <w:t>Участник закупки указывает в заявке конкретное значение характеристики</w:t>
            </w:r>
          </w:p>
        </w:tc>
        <w:tc>
          <w:tcPr>
            <w:tcW w:w="961" w:type="dxa"/>
            <w:tcBorders>
              <w:left w:val="single" w:sz="4" w:space="0" w:color="000000"/>
              <w:bottom w:val="single" w:sz="4" w:space="0" w:color="000000"/>
              <w:right w:val="single" w:sz="4" w:space="0" w:color="000000"/>
            </w:tcBorders>
            <w:shd w:fill="FFFFFF" w:val="clear"/>
            <w:vAlign w:val="center"/>
          </w:tcPr>
          <w:p>
            <w:pPr>
              <w:pStyle w:val="Normal"/>
              <w:spacing w:before="0" w:after="200"/>
              <w:jc w:val="center"/>
              <w:rPr>
                <w:rFonts w:ascii="Times New Roman" w:hAnsi="Times New Roman"/>
                <w:sz w:val="20"/>
                <w:szCs w:val="20"/>
              </w:rPr>
            </w:pPr>
            <w:r>
              <w:rPr>
                <w:rFonts w:ascii="Times New Roman" w:hAnsi="Times New Roman"/>
                <w:sz w:val="20"/>
                <w:szCs w:val="20"/>
              </w:rPr>
              <w:t>3</w:t>
            </w:r>
          </w:p>
        </w:tc>
      </w:tr>
      <w:tr>
        <w:trPr>
          <w:trHeight w:val="285" w:hRule="atLeast"/>
        </w:trPr>
        <w:tc>
          <w:tcPr>
            <w:tcW w:w="555" w:type="dxa"/>
            <w:tcBorders>
              <w:left w:val="single" w:sz="4" w:space="0" w:color="000000"/>
              <w:bottom w:val="single" w:sz="4" w:space="0" w:color="000000"/>
            </w:tcBorders>
            <w:vAlign w:val="center"/>
          </w:tcPr>
          <w:p>
            <w:pPr>
              <w:pStyle w:val="Normal"/>
              <w:numPr>
                <w:ilvl w:val="0"/>
                <w:numId w:val="0"/>
              </w:numPr>
              <w:snapToGrid w:val="false"/>
              <w:spacing w:before="0" w:after="200"/>
              <w:ind w:hanging="0" w:left="720"/>
              <w:rPr>
                <w:rFonts w:ascii="Times New Roman" w:hAnsi="Times New Roman"/>
                <w:sz w:val="20"/>
                <w:szCs w:val="20"/>
              </w:rPr>
            </w:pPr>
            <w:r>
              <w:rPr>
                <w:rFonts w:ascii="Times New Roman" w:hAnsi="Times New Roman"/>
                <w:sz w:val="20"/>
                <w:szCs w:val="20"/>
              </w:rPr>
              <w:t>2</w:t>
            </w:r>
          </w:p>
        </w:tc>
        <w:tc>
          <w:tcPr>
            <w:tcW w:w="2445" w:type="dxa"/>
            <w:tcBorders>
              <w:left w:val="single" w:sz="4" w:space="0" w:color="000000"/>
              <w:bottom w:val="single" w:sz="4" w:space="0" w:color="000000"/>
            </w:tcBorders>
            <w:vAlign w:val="center"/>
          </w:tcPr>
          <w:p>
            <w:pPr>
              <w:pStyle w:val="Style22"/>
              <w:spacing w:before="0" w:after="0"/>
              <w:jc w:val="left"/>
              <w:rPr>
                <w:rFonts w:ascii="Times New Roman" w:hAnsi="Times New Roman" w:cs="Tempora LGC Uni"/>
                <w:b w:val="false"/>
                <w:bCs w:val="false"/>
                <w:i w:val="false"/>
                <w:i w:val="false"/>
                <w:caps w:val="false"/>
                <w:smallCaps w:val="false"/>
                <w:color w:val="383838"/>
                <w:spacing w:val="0"/>
                <w:sz w:val="20"/>
                <w:szCs w:val="20"/>
                <w:lang w:val="ru-RU" w:eastAsia="ru-RU" w:bidi="fa-IR"/>
              </w:rPr>
            </w:pPr>
            <w:r>
              <w:rPr>
                <w:rFonts w:cs="Tempora LGC Uni" w:ascii="Times New Roman" w:hAnsi="Times New Roman"/>
                <w:b w:val="false"/>
                <w:bCs w:val="false"/>
                <w:i w:val="false"/>
                <w:caps w:val="false"/>
                <w:smallCaps w:val="false"/>
                <w:color w:val="383838"/>
                <w:spacing w:val="0"/>
                <w:sz w:val="20"/>
                <w:szCs w:val="20"/>
                <w:lang w:val="ru-RU" w:eastAsia="ru-RU" w:bidi="fa-IR"/>
              </w:rPr>
              <w:t>Картридж для электрографических печатающих устройств</w:t>
            </w:r>
          </w:p>
          <w:p>
            <w:pPr>
              <w:pStyle w:val="Normal"/>
              <w:jc w:val="left"/>
              <w:rPr>
                <w:rFonts w:ascii="Times New Roman" w:hAnsi="Times New Roman" w:cs="Tempora LGC Uni"/>
                <w:b w:val="false"/>
                <w:bCs w:val="false"/>
                <w:sz w:val="20"/>
                <w:szCs w:val="20"/>
                <w:lang w:val="ru-RU" w:eastAsia="ru-RU" w:bidi="fa-IR"/>
              </w:rPr>
            </w:pPr>
            <w:r>
              <w:rPr>
                <w:rFonts w:cs="Tempora LGC Uni" w:ascii="Times New Roman" w:hAnsi="Times New Roman"/>
                <w:b w:val="false"/>
                <w:bCs w:val="false"/>
                <w:sz w:val="20"/>
                <w:szCs w:val="20"/>
                <w:lang w:val="ru-RU" w:eastAsia="ru-RU" w:bidi="fa-IR"/>
              </w:rPr>
              <w:t>ОКПД 2: 26.20.40.120</w:t>
            </w:r>
          </w:p>
          <w:p>
            <w:pPr>
              <w:pStyle w:val="Normal"/>
              <w:spacing w:before="0" w:after="200"/>
              <w:jc w:val="left"/>
              <w:rPr>
                <w:rFonts w:ascii="Times New Roman" w:hAnsi="Times New Roman"/>
                <w:sz w:val="20"/>
                <w:szCs w:val="20"/>
              </w:rPr>
            </w:pPr>
            <w:r>
              <w:rPr>
                <w:rFonts w:cs="Times New Roman" w:ascii="Times New Roman" w:hAnsi="Times New Roman"/>
                <w:b w:val="false"/>
                <w:bCs w:val="false"/>
                <w:sz w:val="20"/>
                <w:szCs w:val="20"/>
                <w:lang w:val="ru-RU" w:eastAsia="ru-RU" w:bidi="fa-IR"/>
              </w:rPr>
              <w:t xml:space="preserve">КТРУ </w:t>
            </w:r>
            <w:r>
              <w:rPr>
                <w:rFonts w:cs="Times New Roman" w:ascii="Times New Roman" w:hAnsi="Times New Roman"/>
                <w:b w:val="false"/>
                <w:bCs w:val="false"/>
                <w:i w:val="false"/>
                <w:caps w:val="false"/>
                <w:smallCaps w:val="false"/>
                <w:color w:val="383838"/>
                <w:spacing w:val="0"/>
                <w:sz w:val="20"/>
                <w:szCs w:val="20"/>
                <w:lang w:val="ru-RU" w:eastAsia="ru-RU" w:bidi="fa-IR"/>
              </w:rPr>
              <w:t>20.59.12.120-00000002</w:t>
            </w:r>
          </w:p>
        </w:tc>
        <w:tc>
          <w:tcPr>
            <w:tcW w:w="6345" w:type="dxa"/>
            <w:tcBorders>
              <w:left w:val="single" w:sz="4" w:space="0" w:color="000000"/>
              <w:bottom w:val="single" w:sz="4" w:space="0" w:color="000000"/>
            </w:tcBorders>
            <w:vAlign w:val="center"/>
          </w:tcPr>
          <w:p>
            <w:pPr>
              <w:pStyle w:val="Style21"/>
              <w:spacing w:before="0" w:after="0"/>
              <w:ind w:right="0"/>
              <w:jc w:val="left"/>
              <w:rPr>
                <w:rFonts w:ascii="Times New Roman" w:hAnsi="Times New Roman"/>
                <w:sz w:val="20"/>
                <w:szCs w:val="20"/>
              </w:rPr>
            </w:pPr>
            <w:r>
              <w:rPr>
                <w:rFonts w:ascii="Times New Roman" w:hAnsi="Times New Roman"/>
                <w:b/>
                <w:color w:val="383838"/>
                <w:sz w:val="20"/>
                <w:szCs w:val="20"/>
              </w:rPr>
              <w:t>тип</w:t>
            </w:r>
            <w:r>
              <w:rPr>
                <w:rFonts w:ascii="Times New Roman" w:hAnsi="Times New Roman"/>
                <w:sz w:val="20"/>
                <w:szCs w:val="20"/>
              </w:rPr>
              <w:br/>
              <w:t>картридж</w:t>
              <w:br/>
            </w:r>
            <w:r>
              <w:rPr>
                <w:rFonts w:ascii="Times New Roman" w:hAnsi="Times New Roman"/>
                <w:color w:val="979797"/>
                <w:sz w:val="20"/>
                <w:szCs w:val="20"/>
              </w:rPr>
              <w:t>Значение характеристики не может изменяться участником закупки</w:t>
            </w:r>
            <w:r>
              <w:rPr>
                <w:rFonts w:ascii="Times New Roman" w:hAnsi="Times New Roman"/>
                <w:sz w:val="20"/>
                <w:szCs w:val="20"/>
              </w:rPr>
              <w:br/>
            </w:r>
            <w:r>
              <w:rPr>
                <w:rFonts w:ascii="Times New Roman" w:hAnsi="Times New Roman"/>
                <w:b/>
                <w:color w:val="383838"/>
                <w:sz w:val="20"/>
                <w:szCs w:val="20"/>
              </w:rPr>
              <w:t>совместимость</w:t>
            </w:r>
            <w:r>
              <w:rPr>
                <w:rFonts w:ascii="Times New Roman" w:hAnsi="Times New Roman"/>
                <w:sz w:val="20"/>
                <w:szCs w:val="20"/>
              </w:rPr>
              <w:br/>
              <w:t>Xerox VersaLink C7020/ 7025/ 7030</w:t>
              <w:br/>
            </w:r>
            <w:r>
              <w:rPr>
                <w:rFonts w:ascii="Times New Roman" w:hAnsi="Times New Roman"/>
                <w:color w:val="979797"/>
                <w:sz w:val="20"/>
                <w:szCs w:val="20"/>
              </w:rPr>
              <w:t>Значение характеристики не может изменяться участником закупки</w:t>
            </w:r>
            <w:r>
              <w:rPr>
                <w:rFonts w:ascii="Times New Roman" w:hAnsi="Times New Roman"/>
                <w:sz w:val="20"/>
                <w:szCs w:val="20"/>
              </w:rPr>
              <w:br/>
            </w:r>
            <w:r>
              <w:rPr>
                <w:rFonts w:ascii="Times New Roman" w:hAnsi="Times New Roman"/>
                <w:b/>
                <w:color w:val="383838"/>
                <w:sz w:val="20"/>
                <w:szCs w:val="20"/>
              </w:rPr>
              <w:t>артикул</w:t>
            </w:r>
            <w:r>
              <w:rPr>
                <w:rFonts w:ascii="Times New Roman" w:hAnsi="Times New Roman"/>
                <w:sz w:val="20"/>
                <w:szCs w:val="20"/>
              </w:rPr>
              <w:br/>
              <w:t>106R03748</w:t>
              <w:br/>
            </w:r>
            <w:r>
              <w:rPr>
                <w:rFonts w:ascii="Times New Roman" w:hAnsi="Times New Roman"/>
                <w:color w:val="979797"/>
                <w:sz w:val="20"/>
                <w:szCs w:val="20"/>
              </w:rPr>
              <w:t>Значение характеристики не может изменяться участником закупки</w:t>
            </w:r>
            <w:r>
              <w:rPr>
                <w:rFonts w:ascii="Times New Roman" w:hAnsi="Times New Roman"/>
                <w:sz w:val="20"/>
                <w:szCs w:val="20"/>
              </w:rPr>
              <w:br/>
            </w:r>
            <w:r>
              <w:rPr>
                <w:rFonts w:ascii="Times New Roman" w:hAnsi="Times New Roman"/>
                <w:b/>
                <w:color w:val="383838"/>
                <w:sz w:val="20"/>
                <w:szCs w:val="20"/>
              </w:rPr>
              <w:t>цвет</w:t>
            </w:r>
            <w:r>
              <w:rPr>
                <w:rFonts w:ascii="Times New Roman" w:hAnsi="Times New Roman"/>
                <w:sz w:val="20"/>
                <w:szCs w:val="20"/>
              </w:rPr>
              <w:br/>
              <w:t>голубой</w:t>
              <w:br/>
            </w:r>
            <w:r>
              <w:rPr>
                <w:rFonts w:ascii="Times New Roman" w:hAnsi="Times New Roman"/>
                <w:color w:val="979797"/>
                <w:sz w:val="20"/>
                <w:szCs w:val="20"/>
              </w:rPr>
              <w:t>Значение характеристики не может изменяться участником закупки</w:t>
            </w:r>
            <w:r>
              <w:rPr>
                <w:rFonts w:ascii="Times New Roman" w:hAnsi="Times New Roman"/>
                <w:sz w:val="20"/>
                <w:szCs w:val="20"/>
              </w:rPr>
              <w:br/>
            </w:r>
            <w:r>
              <w:rPr>
                <w:rFonts w:ascii="Times New Roman" w:hAnsi="Times New Roman"/>
                <w:b/>
                <w:color w:val="383838"/>
                <w:sz w:val="20"/>
                <w:szCs w:val="20"/>
              </w:rPr>
              <w:t>ресурс страниц</w:t>
            </w:r>
            <w:r>
              <w:rPr>
                <w:rFonts w:ascii="Times New Roman" w:hAnsi="Times New Roman"/>
                <w:sz w:val="20"/>
                <w:szCs w:val="20"/>
              </w:rPr>
              <w:br/>
              <w:t>≥ 16500 Штука (ШТ)</w:t>
              <w:br/>
            </w:r>
            <w:r>
              <w:rPr>
                <w:rFonts w:ascii="Times New Roman" w:hAnsi="Times New Roman"/>
                <w:color w:val="979797"/>
                <w:sz w:val="20"/>
                <w:szCs w:val="20"/>
              </w:rPr>
              <w:t>Участник закупки указывает в заявке конкретное значение характеристики</w:t>
            </w:r>
          </w:p>
        </w:tc>
        <w:tc>
          <w:tcPr>
            <w:tcW w:w="961" w:type="dxa"/>
            <w:tcBorders>
              <w:left w:val="single" w:sz="4" w:space="0" w:color="000000"/>
              <w:bottom w:val="single" w:sz="4" w:space="0" w:color="000000"/>
              <w:right w:val="single" w:sz="4" w:space="0" w:color="000000"/>
            </w:tcBorders>
            <w:shd w:fill="FFFFFF" w:val="clear"/>
            <w:vAlign w:val="center"/>
          </w:tcPr>
          <w:p>
            <w:pPr>
              <w:pStyle w:val="Normal"/>
              <w:spacing w:before="0" w:after="200"/>
              <w:jc w:val="center"/>
              <w:rPr>
                <w:rFonts w:ascii="Times New Roman" w:hAnsi="Times New Roman"/>
                <w:sz w:val="20"/>
                <w:szCs w:val="20"/>
              </w:rPr>
            </w:pPr>
            <w:r>
              <w:rPr>
                <w:rFonts w:ascii="Times New Roman" w:hAnsi="Times New Roman"/>
                <w:sz w:val="20"/>
                <w:szCs w:val="20"/>
              </w:rPr>
              <w:t>3</w:t>
            </w:r>
          </w:p>
        </w:tc>
      </w:tr>
      <w:tr>
        <w:trPr>
          <w:trHeight w:val="285" w:hRule="atLeast"/>
        </w:trPr>
        <w:tc>
          <w:tcPr>
            <w:tcW w:w="555" w:type="dxa"/>
            <w:tcBorders>
              <w:left w:val="single" w:sz="4" w:space="0" w:color="000000"/>
              <w:bottom w:val="single" w:sz="4" w:space="0" w:color="000000"/>
            </w:tcBorders>
            <w:vAlign w:val="center"/>
          </w:tcPr>
          <w:p>
            <w:pPr>
              <w:pStyle w:val="Normal"/>
              <w:snapToGrid w:val="false"/>
              <w:spacing w:before="0" w:after="200"/>
              <w:rPr>
                <w:rFonts w:ascii="Times New Roman" w:hAnsi="Times New Roman"/>
                <w:sz w:val="20"/>
                <w:szCs w:val="20"/>
              </w:rPr>
            </w:pPr>
            <w:r>
              <w:rPr>
                <w:rFonts w:ascii="Times New Roman" w:hAnsi="Times New Roman"/>
                <w:sz w:val="20"/>
                <w:szCs w:val="20"/>
              </w:rPr>
              <w:t>3</w:t>
            </w:r>
          </w:p>
        </w:tc>
        <w:tc>
          <w:tcPr>
            <w:tcW w:w="2445" w:type="dxa"/>
            <w:tcBorders>
              <w:left w:val="single" w:sz="4" w:space="0" w:color="000000"/>
              <w:bottom w:val="single" w:sz="4" w:space="0" w:color="000000"/>
            </w:tcBorders>
            <w:vAlign w:val="center"/>
          </w:tcPr>
          <w:p>
            <w:pPr>
              <w:pStyle w:val="Style22"/>
              <w:spacing w:before="0" w:after="0"/>
              <w:jc w:val="left"/>
              <w:rPr>
                <w:rFonts w:ascii="Times New Roman" w:hAnsi="Times New Roman" w:cs="Tempora LGC Uni"/>
                <w:b w:val="false"/>
                <w:bCs w:val="false"/>
                <w:i w:val="false"/>
                <w:i w:val="false"/>
                <w:caps w:val="false"/>
                <w:smallCaps w:val="false"/>
                <w:color w:val="383838"/>
                <w:spacing w:val="0"/>
                <w:sz w:val="20"/>
                <w:szCs w:val="20"/>
                <w:lang w:val="ru-RU" w:eastAsia="ru-RU" w:bidi="fa-IR"/>
              </w:rPr>
            </w:pPr>
            <w:r>
              <w:rPr>
                <w:rFonts w:cs="Tempora LGC Uni" w:ascii="Times New Roman" w:hAnsi="Times New Roman"/>
                <w:b w:val="false"/>
                <w:bCs w:val="false"/>
                <w:i w:val="false"/>
                <w:caps w:val="false"/>
                <w:smallCaps w:val="false"/>
                <w:color w:val="383838"/>
                <w:spacing w:val="0"/>
                <w:sz w:val="20"/>
                <w:szCs w:val="20"/>
                <w:lang w:val="ru-RU" w:eastAsia="ru-RU" w:bidi="fa-IR"/>
              </w:rPr>
              <w:t>Картридж для электрографических печатающих устройств</w:t>
            </w:r>
          </w:p>
          <w:p>
            <w:pPr>
              <w:pStyle w:val="Normal"/>
              <w:jc w:val="left"/>
              <w:rPr>
                <w:rFonts w:ascii="Times New Roman" w:hAnsi="Times New Roman" w:cs="Tempora LGC Uni"/>
                <w:b w:val="false"/>
                <w:bCs w:val="false"/>
                <w:sz w:val="20"/>
                <w:szCs w:val="20"/>
                <w:lang w:val="ru-RU" w:eastAsia="ru-RU" w:bidi="fa-IR"/>
              </w:rPr>
            </w:pPr>
            <w:r>
              <w:rPr>
                <w:rFonts w:cs="Tempora LGC Uni" w:ascii="Times New Roman" w:hAnsi="Times New Roman"/>
                <w:b w:val="false"/>
                <w:bCs w:val="false"/>
                <w:sz w:val="20"/>
                <w:szCs w:val="20"/>
                <w:lang w:val="ru-RU" w:eastAsia="ru-RU" w:bidi="fa-IR"/>
              </w:rPr>
              <w:t>ОКПД 2: 26.20.40.120</w:t>
            </w:r>
          </w:p>
          <w:p>
            <w:pPr>
              <w:pStyle w:val="Normal"/>
              <w:spacing w:before="0" w:after="200"/>
              <w:jc w:val="left"/>
              <w:rPr>
                <w:rFonts w:ascii="Times New Roman" w:hAnsi="Times New Roman"/>
                <w:sz w:val="20"/>
                <w:szCs w:val="20"/>
              </w:rPr>
            </w:pPr>
            <w:r>
              <w:rPr>
                <w:rFonts w:cs="Times New Roman" w:ascii="Times New Roman" w:hAnsi="Times New Roman"/>
                <w:b w:val="false"/>
                <w:bCs w:val="false"/>
                <w:sz w:val="20"/>
                <w:szCs w:val="20"/>
                <w:lang w:val="ru-RU" w:eastAsia="ru-RU" w:bidi="fa-IR"/>
              </w:rPr>
              <w:t xml:space="preserve">КТРУ </w:t>
            </w:r>
            <w:r>
              <w:rPr>
                <w:rFonts w:cs="Times New Roman" w:ascii="Times New Roman" w:hAnsi="Times New Roman"/>
                <w:b w:val="false"/>
                <w:bCs w:val="false"/>
                <w:i w:val="false"/>
                <w:caps w:val="false"/>
                <w:smallCaps w:val="false"/>
                <w:color w:val="383838"/>
                <w:spacing w:val="0"/>
                <w:sz w:val="20"/>
                <w:szCs w:val="20"/>
                <w:lang w:val="ru-RU" w:eastAsia="ru-RU" w:bidi="fa-IR"/>
              </w:rPr>
              <w:t>20.59.12.120-00000002</w:t>
            </w:r>
          </w:p>
        </w:tc>
        <w:tc>
          <w:tcPr>
            <w:tcW w:w="6345" w:type="dxa"/>
            <w:tcBorders>
              <w:left w:val="single" w:sz="4" w:space="0" w:color="000000"/>
              <w:bottom w:val="single" w:sz="4" w:space="0" w:color="000000"/>
            </w:tcBorders>
            <w:vAlign w:val="center"/>
          </w:tcPr>
          <w:p>
            <w:pPr>
              <w:pStyle w:val="Style21"/>
              <w:spacing w:before="0" w:after="0"/>
              <w:ind w:right="0"/>
              <w:jc w:val="left"/>
              <w:rPr>
                <w:rFonts w:ascii="Times New Roman" w:hAnsi="Times New Roman"/>
                <w:sz w:val="20"/>
                <w:szCs w:val="20"/>
              </w:rPr>
            </w:pPr>
            <w:r>
              <w:rPr>
                <w:rFonts w:ascii="Times New Roman" w:hAnsi="Times New Roman"/>
                <w:b/>
                <w:color w:val="383838"/>
                <w:sz w:val="20"/>
                <w:szCs w:val="20"/>
              </w:rPr>
              <w:t>тип</w:t>
            </w:r>
            <w:r>
              <w:rPr>
                <w:rFonts w:ascii="Times New Roman" w:hAnsi="Times New Roman"/>
                <w:sz w:val="20"/>
                <w:szCs w:val="20"/>
              </w:rPr>
              <w:br/>
              <w:t>картридж</w:t>
              <w:br/>
            </w:r>
            <w:r>
              <w:rPr>
                <w:rFonts w:ascii="Times New Roman" w:hAnsi="Times New Roman"/>
                <w:color w:val="979797"/>
                <w:sz w:val="20"/>
                <w:szCs w:val="20"/>
              </w:rPr>
              <w:t>Значение характеристики не может изменяться участником закупки</w:t>
            </w:r>
            <w:r>
              <w:rPr>
                <w:rFonts w:ascii="Times New Roman" w:hAnsi="Times New Roman"/>
                <w:sz w:val="20"/>
                <w:szCs w:val="20"/>
              </w:rPr>
              <w:br/>
            </w:r>
            <w:r>
              <w:rPr>
                <w:rFonts w:ascii="Times New Roman" w:hAnsi="Times New Roman"/>
                <w:b/>
                <w:color w:val="383838"/>
                <w:sz w:val="20"/>
                <w:szCs w:val="20"/>
              </w:rPr>
              <w:t>совместимость</w:t>
            </w:r>
            <w:r>
              <w:rPr>
                <w:rFonts w:ascii="Times New Roman" w:hAnsi="Times New Roman"/>
                <w:sz w:val="20"/>
                <w:szCs w:val="20"/>
              </w:rPr>
              <w:br/>
              <w:t>Xerox VersaLink C7020/ 7025/ 7030</w:t>
              <w:br/>
            </w:r>
            <w:r>
              <w:rPr>
                <w:rFonts w:ascii="Times New Roman" w:hAnsi="Times New Roman"/>
                <w:color w:val="979797"/>
                <w:sz w:val="20"/>
                <w:szCs w:val="20"/>
              </w:rPr>
              <w:t>Значение характеристики не может изменяться участником закупки</w:t>
            </w:r>
            <w:r>
              <w:rPr>
                <w:rFonts w:ascii="Times New Roman" w:hAnsi="Times New Roman"/>
                <w:sz w:val="20"/>
                <w:szCs w:val="20"/>
              </w:rPr>
              <w:br/>
            </w:r>
            <w:r>
              <w:rPr>
                <w:rFonts w:ascii="Times New Roman" w:hAnsi="Times New Roman"/>
                <w:b/>
                <w:color w:val="383838"/>
                <w:sz w:val="20"/>
                <w:szCs w:val="20"/>
              </w:rPr>
              <w:t>артикул</w:t>
            </w:r>
            <w:r>
              <w:rPr>
                <w:rFonts w:ascii="Times New Roman" w:hAnsi="Times New Roman"/>
                <w:sz w:val="20"/>
                <w:szCs w:val="20"/>
              </w:rPr>
              <w:br/>
              <w:t>106R03747</w:t>
              <w:br/>
            </w:r>
            <w:r>
              <w:rPr>
                <w:rFonts w:ascii="Times New Roman" w:hAnsi="Times New Roman"/>
                <w:color w:val="979797"/>
                <w:sz w:val="20"/>
                <w:szCs w:val="20"/>
              </w:rPr>
              <w:t>Значение характеристики не может изменяться участником закупки</w:t>
            </w:r>
            <w:r>
              <w:rPr>
                <w:rFonts w:ascii="Times New Roman" w:hAnsi="Times New Roman"/>
                <w:sz w:val="20"/>
                <w:szCs w:val="20"/>
              </w:rPr>
              <w:br/>
            </w:r>
            <w:r>
              <w:rPr>
                <w:rFonts w:ascii="Times New Roman" w:hAnsi="Times New Roman"/>
                <w:b/>
                <w:color w:val="383838"/>
                <w:sz w:val="20"/>
                <w:szCs w:val="20"/>
              </w:rPr>
              <w:t>цвет</w:t>
            </w:r>
            <w:r>
              <w:rPr>
                <w:rFonts w:ascii="Times New Roman" w:hAnsi="Times New Roman"/>
                <w:sz w:val="20"/>
                <w:szCs w:val="20"/>
              </w:rPr>
              <w:br/>
              <w:t>пурпурный</w:t>
              <w:br/>
            </w:r>
            <w:r>
              <w:rPr>
                <w:rFonts w:ascii="Times New Roman" w:hAnsi="Times New Roman"/>
                <w:color w:val="979797"/>
                <w:sz w:val="20"/>
                <w:szCs w:val="20"/>
              </w:rPr>
              <w:t>Значение характеристики не может изменяться участником закупки</w:t>
            </w:r>
            <w:r>
              <w:rPr>
                <w:rFonts w:ascii="Times New Roman" w:hAnsi="Times New Roman"/>
                <w:sz w:val="20"/>
                <w:szCs w:val="20"/>
              </w:rPr>
              <w:br/>
            </w:r>
            <w:r>
              <w:rPr>
                <w:rFonts w:ascii="Times New Roman" w:hAnsi="Times New Roman"/>
                <w:b/>
                <w:color w:val="383838"/>
                <w:sz w:val="20"/>
                <w:szCs w:val="20"/>
              </w:rPr>
              <w:t>ресурс страниц</w:t>
            </w:r>
            <w:r>
              <w:rPr>
                <w:rFonts w:ascii="Times New Roman" w:hAnsi="Times New Roman"/>
                <w:sz w:val="20"/>
                <w:szCs w:val="20"/>
              </w:rPr>
              <w:br/>
              <w:t>≥ 16500 Штука (ШТ)</w:t>
              <w:br/>
            </w:r>
            <w:r>
              <w:rPr>
                <w:rFonts w:ascii="Times New Roman" w:hAnsi="Times New Roman"/>
                <w:color w:val="979797"/>
                <w:sz w:val="20"/>
                <w:szCs w:val="20"/>
              </w:rPr>
              <w:t>Участник закупки указывает в заявке конкретное значение характеристики</w:t>
            </w:r>
          </w:p>
        </w:tc>
        <w:tc>
          <w:tcPr>
            <w:tcW w:w="961" w:type="dxa"/>
            <w:tcBorders>
              <w:left w:val="single" w:sz="4" w:space="0" w:color="000000"/>
              <w:bottom w:val="single" w:sz="4" w:space="0" w:color="000000"/>
              <w:right w:val="single" w:sz="4" w:space="0" w:color="000000"/>
            </w:tcBorders>
            <w:shd w:fill="FFFFFF" w:val="clear"/>
            <w:vAlign w:val="center"/>
          </w:tcPr>
          <w:p>
            <w:pPr>
              <w:pStyle w:val="Normal"/>
              <w:spacing w:before="0" w:after="200"/>
              <w:jc w:val="center"/>
              <w:rPr>
                <w:rFonts w:ascii="Times New Roman" w:hAnsi="Times New Roman"/>
                <w:sz w:val="20"/>
                <w:szCs w:val="20"/>
              </w:rPr>
            </w:pPr>
            <w:r>
              <w:rPr>
                <w:rFonts w:ascii="Times New Roman" w:hAnsi="Times New Roman"/>
                <w:sz w:val="20"/>
                <w:szCs w:val="20"/>
              </w:rPr>
              <w:t>3</w:t>
            </w:r>
          </w:p>
        </w:tc>
      </w:tr>
      <w:tr>
        <w:trPr>
          <w:trHeight w:val="285" w:hRule="atLeast"/>
        </w:trPr>
        <w:tc>
          <w:tcPr>
            <w:tcW w:w="555" w:type="dxa"/>
            <w:tcBorders>
              <w:left w:val="single" w:sz="4" w:space="0" w:color="000000"/>
              <w:bottom w:val="single" w:sz="4" w:space="0" w:color="000000"/>
            </w:tcBorders>
            <w:vAlign w:val="center"/>
          </w:tcPr>
          <w:p>
            <w:pPr>
              <w:pStyle w:val="Normal"/>
              <w:numPr>
                <w:ilvl w:val="0"/>
                <w:numId w:val="0"/>
              </w:numPr>
              <w:snapToGrid w:val="false"/>
              <w:spacing w:before="0" w:after="200"/>
              <w:ind w:hanging="0" w:left="720"/>
              <w:rPr>
                <w:rFonts w:ascii="Times New Roman" w:hAnsi="Times New Roman"/>
                <w:sz w:val="20"/>
                <w:szCs w:val="20"/>
              </w:rPr>
            </w:pPr>
            <w:r>
              <w:rPr>
                <w:rFonts w:ascii="Times New Roman" w:hAnsi="Times New Roman"/>
                <w:sz w:val="20"/>
                <w:szCs w:val="20"/>
              </w:rPr>
              <w:t>4</w:t>
            </w:r>
          </w:p>
        </w:tc>
        <w:tc>
          <w:tcPr>
            <w:tcW w:w="2445" w:type="dxa"/>
            <w:tcBorders>
              <w:left w:val="single" w:sz="4" w:space="0" w:color="000000"/>
              <w:bottom w:val="single" w:sz="4" w:space="0" w:color="000000"/>
            </w:tcBorders>
            <w:vAlign w:val="center"/>
          </w:tcPr>
          <w:p>
            <w:pPr>
              <w:pStyle w:val="Style22"/>
              <w:spacing w:before="0" w:after="0"/>
              <w:jc w:val="left"/>
              <w:rPr>
                <w:rFonts w:ascii="Times New Roman" w:hAnsi="Times New Roman" w:cs="Tempora LGC Uni"/>
                <w:b w:val="false"/>
                <w:bCs w:val="false"/>
                <w:i w:val="false"/>
                <w:i w:val="false"/>
                <w:caps w:val="false"/>
                <w:smallCaps w:val="false"/>
                <w:color w:val="383838"/>
                <w:spacing w:val="0"/>
                <w:sz w:val="20"/>
                <w:szCs w:val="20"/>
                <w:lang w:val="ru-RU" w:eastAsia="ru-RU" w:bidi="fa-IR"/>
              </w:rPr>
            </w:pPr>
            <w:r>
              <w:rPr>
                <w:rFonts w:cs="Tempora LGC Uni" w:ascii="Times New Roman" w:hAnsi="Times New Roman"/>
                <w:b w:val="false"/>
                <w:bCs w:val="false"/>
                <w:i w:val="false"/>
                <w:caps w:val="false"/>
                <w:smallCaps w:val="false"/>
                <w:color w:val="383838"/>
                <w:spacing w:val="0"/>
                <w:sz w:val="20"/>
                <w:szCs w:val="20"/>
                <w:lang w:val="ru-RU" w:eastAsia="ru-RU" w:bidi="fa-IR"/>
              </w:rPr>
              <w:t>Картридж для электрографических печатающих устройств</w:t>
            </w:r>
          </w:p>
          <w:p>
            <w:pPr>
              <w:pStyle w:val="Normal"/>
              <w:jc w:val="left"/>
              <w:rPr>
                <w:rFonts w:ascii="Times New Roman" w:hAnsi="Times New Roman" w:cs="Tempora LGC Uni"/>
                <w:b w:val="false"/>
                <w:bCs w:val="false"/>
                <w:sz w:val="20"/>
                <w:szCs w:val="20"/>
                <w:lang w:val="ru-RU" w:eastAsia="ru-RU" w:bidi="fa-IR"/>
              </w:rPr>
            </w:pPr>
            <w:r>
              <w:rPr>
                <w:rFonts w:cs="Tempora LGC Uni" w:ascii="Times New Roman" w:hAnsi="Times New Roman"/>
                <w:b w:val="false"/>
                <w:bCs w:val="false"/>
                <w:sz w:val="20"/>
                <w:szCs w:val="20"/>
                <w:lang w:val="ru-RU" w:eastAsia="ru-RU" w:bidi="fa-IR"/>
              </w:rPr>
              <w:t>ОКПД 2: 26.20.40.120</w:t>
            </w:r>
          </w:p>
          <w:p>
            <w:pPr>
              <w:pStyle w:val="Normal"/>
              <w:spacing w:before="0" w:after="200"/>
              <w:jc w:val="left"/>
              <w:rPr>
                <w:rFonts w:ascii="Times New Roman" w:hAnsi="Times New Roman"/>
                <w:sz w:val="20"/>
                <w:szCs w:val="20"/>
              </w:rPr>
            </w:pPr>
            <w:r>
              <w:rPr>
                <w:rFonts w:cs="Times New Roman" w:ascii="Times New Roman" w:hAnsi="Times New Roman"/>
                <w:b w:val="false"/>
                <w:bCs w:val="false"/>
                <w:sz w:val="20"/>
                <w:szCs w:val="20"/>
                <w:lang w:val="ru-RU" w:eastAsia="ru-RU" w:bidi="fa-IR"/>
              </w:rPr>
              <w:t xml:space="preserve">КТРУ </w:t>
            </w:r>
            <w:r>
              <w:rPr>
                <w:rFonts w:cs="Times New Roman" w:ascii="Times New Roman" w:hAnsi="Times New Roman"/>
                <w:b w:val="false"/>
                <w:bCs w:val="false"/>
                <w:i w:val="false"/>
                <w:caps w:val="false"/>
                <w:smallCaps w:val="false"/>
                <w:color w:val="383838"/>
                <w:spacing w:val="0"/>
                <w:sz w:val="20"/>
                <w:szCs w:val="20"/>
                <w:lang w:val="ru-RU" w:eastAsia="ru-RU" w:bidi="fa-IR"/>
              </w:rPr>
              <w:t>20.59.12.120-00000002</w:t>
            </w:r>
          </w:p>
        </w:tc>
        <w:tc>
          <w:tcPr>
            <w:tcW w:w="6345" w:type="dxa"/>
            <w:tcBorders>
              <w:left w:val="single" w:sz="4" w:space="0" w:color="000000"/>
              <w:bottom w:val="single" w:sz="4" w:space="0" w:color="000000"/>
            </w:tcBorders>
            <w:vAlign w:val="center"/>
          </w:tcPr>
          <w:p>
            <w:pPr>
              <w:pStyle w:val="Style21"/>
              <w:spacing w:before="0" w:after="0"/>
              <w:ind w:right="0"/>
              <w:jc w:val="left"/>
              <w:rPr>
                <w:rFonts w:ascii="Times New Roman" w:hAnsi="Times New Roman"/>
                <w:sz w:val="20"/>
                <w:szCs w:val="20"/>
              </w:rPr>
            </w:pPr>
            <w:r>
              <w:rPr>
                <w:rFonts w:ascii="Times New Roman" w:hAnsi="Times New Roman"/>
                <w:b/>
                <w:color w:val="383838"/>
                <w:sz w:val="20"/>
                <w:szCs w:val="20"/>
              </w:rPr>
              <w:t>тип</w:t>
            </w:r>
            <w:r>
              <w:rPr>
                <w:rFonts w:ascii="Times New Roman" w:hAnsi="Times New Roman"/>
                <w:sz w:val="20"/>
                <w:szCs w:val="20"/>
              </w:rPr>
              <w:br/>
              <w:t>картридж</w:t>
              <w:br/>
            </w:r>
            <w:r>
              <w:rPr>
                <w:rFonts w:ascii="Times New Roman" w:hAnsi="Times New Roman"/>
                <w:color w:val="979797"/>
                <w:sz w:val="20"/>
                <w:szCs w:val="20"/>
              </w:rPr>
              <w:t>Значение характеристики не может изменяться участником закупки</w:t>
            </w:r>
            <w:r>
              <w:rPr>
                <w:rFonts w:ascii="Times New Roman" w:hAnsi="Times New Roman"/>
                <w:sz w:val="20"/>
                <w:szCs w:val="20"/>
              </w:rPr>
              <w:br/>
            </w:r>
            <w:r>
              <w:rPr>
                <w:rFonts w:ascii="Times New Roman" w:hAnsi="Times New Roman"/>
                <w:b/>
                <w:color w:val="383838"/>
                <w:sz w:val="20"/>
                <w:szCs w:val="20"/>
              </w:rPr>
              <w:t>совместимость</w:t>
            </w:r>
            <w:r>
              <w:rPr>
                <w:rFonts w:ascii="Times New Roman" w:hAnsi="Times New Roman"/>
                <w:sz w:val="20"/>
                <w:szCs w:val="20"/>
              </w:rPr>
              <w:br/>
              <w:t>Xerox VersaLink C7020/ 7025/ 7030</w:t>
              <w:br/>
            </w:r>
            <w:r>
              <w:rPr>
                <w:rFonts w:ascii="Times New Roman" w:hAnsi="Times New Roman"/>
                <w:color w:val="979797"/>
                <w:sz w:val="20"/>
                <w:szCs w:val="20"/>
              </w:rPr>
              <w:t>Значение характеристики не может изменяться участником закупки</w:t>
            </w:r>
            <w:r>
              <w:rPr>
                <w:rFonts w:ascii="Times New Roman" w:hAnsi="Times New Roman"/>
                <w:sz w:val="20"/>
                <w:szCs w:val="20"/>
              </w:rPr>
              <w:br/>
            </w:r>
            <w:r>
              <w:rPr>
                <w:rFonts w:ascii="Times New Roman" w:hAnsi="Times New Roman"/>
                <w:b/>
                <w:color w:val="383838"/>
                <w:sz w:val="20"/>
                <w:szCs w:val="20"/>
              </w:rPr>
              <w:t>артикул</w:t>
            </w:r>
            <w:r>
              <w:rPr>
                <w:rFonts w:ascii="Times New Roman" w:hAnsi="Times New Roman"/>
                <w:sz w:val="20"/>
                <w:szCs w:val="20"/>
              </w:rPr>
              <w:br/>
              <w:t>106R03745</w:t>
              <w:br/>
            </w:r>
            <w:r>
              <w:rPr>
                <w:rFonts w:ascii="Times New Roman" w:hAnsi="Times New Roman"/>
                <w:color w:val="979797"/>
                <w:sz w:val="20"/>
                <w:szCs w:val="20"/>
              </w:rPr>
              <w:t>Значение характеристики не может изменяться участником закупки</w:t>
            </w:r>
            <w:r>
              <w:rPr>
                <w:rFonts w:ascii="Times New Roman" w:hAnsi="Times New Roman"/>
                <w:sz w:val="20"/>
                <w:szCs w:val="20"/>
              </w:rPr>
              <w:br/>
            </w:r>
            <w:r>
              <w:rPr>
                <w:rFonts w:ascii="Times New Roman" w:hAnsi="Times New Roman"/>
                <w:b/>
                <w:color w:val="383838"/>
                <w:sz w:val="20"/>
                <w:szCs w:val="20"/>
              </w:rPr>
              <w:t>цвет</w:t>
            </w:r>
            <w:r>
              <w:rPr>
                <w:rFonts w:ascii="Times New Roman" w:hAnsi="Times New Roman"/>
                <w:sz w:val="20"/>
                <w:szCs w:val="20"/>
              </w:rPr>
              <w:br/>
              <w:t>черный</w:t>
              <w:br/>
            </w:r>
            <w:r>
              <w:rPr>
                <w:rFonts w:ascii="Times New Roman" w:hAnsi="Times New Roman"/>
                <w:color w:val="979797"/>
                <w:sz w:val="20"/>
                <w:szCs w:val="20"/>
              </w:rPr>
              <w:t>Значение характеристики не может изменяться участником закупки</w:t>
            </w:r>
            <w:r>
              <w:rPr>
                <w:rFonts w:ascii="Times New Roman" w:hAnsi="Times New Roman"/>
                <w:sz w:val="20"/>
                <w:szCs w:val="20"/>
              </w:rPr>
              <w:br/>
            </w:r>
            <w:r>
              <w:rPr>
                <w:rFonts w:ascii="Times New Roman" w:hAnsi="Times New Roman"/>
                <w:b/>
                <w:color w:val="383838"/>
                <w:sz w:val="20"/>
                <w:szCs w:val="20"/>
              </w:rPr>
              <w:t>ресурс страниц</w:t>
            </w:r>
            <w:r>
              <w:rPr>
                <w:rFonts w:ascii="Times New Roman" w:hAnsi="Times New Roman"/>
                <w:sz w:val="20"/>
                <w:szCs w:val="20"/>
              </w:rPr>
              <w:br/>
              <w:t>≥ 23600 Штука (ШТ)</w:t>
              <w:br/>
            </w:r>
            <w:r>
              <w:rPr>
                <w:rFonts w:ascii="Times New Roman" w:hAnsi="Times New Roman"/>
                <w:color w:val="979797"/>
                <w:sz w:val="20"/>
                <w:szCs w:val="20"/>
              </w:rPr>
              <w:t>Участник закупки указывает в заявке конкретное значение характеристики</w:t>
            </w:r>
          </w:p>
        </w:tc>
        <w:tc>
          <w:tcPr>
            <w:tcW w:w="961" w:type="dxa"/>
            <w:tcBorders>
              <w:left w:val="single" w:sz="4" w:space="0" w:color="000000"/>
              <w:bottom w:val="single" w:sz="4" w:space="0" w:color="000000"/>
              <w:right w:val="single" w:sz="4" w:space="0" w:color="000000"/>
            </w:tcBorders>
            <w:shd w:fill="FFFFFF" w:val="clear"/>
            <w:vAlign w:val="center"/>
          </w:tcPr>
          <w:p>
            <w:pPr>
              <w:pStyle w:val="Normal"/>
              <w:spacing w:before="0" w:after="200"/>
              <w:jc w:val="center"/>
              <w:rPr>
                <w:rFonts w:ascii="Times New Roman" w:hAnsi="Times New Roman"/>
                <w:sz w:val="20"/>
                <w:szCs w:val="20"/>
              </w:rPr>
            </w:pPr>
            <w:r>
              <w:rPr>
                <w:rFonts w:ascii="Times New Roman" w:hAnsi="Times New Roman"/>
                <w:sz w:val="20"/>
                <w:szCs w:val="20"/>
              </w:rPr>
              <w:t>6</w:t>
            </w:r>
          </w:p>
        </w:tc>
      </w:tr>
      <w:tr>
        <w:trPr>
          <w:trHeight w:val="285" w:hRule="atLeast"/>
        </w:trPr>
        <w:tc>
          <w:tcPr>
            <w:tcW w:w="555" w:type="dxa"/>
            <w:tcBorders>
              <w:left w:val="single" w:sz="4" w:space="0" w:color="000000"/>
              <w:bottom w:val="single" w:sz="4" w:space="0" w:color="000000"/>
            </w:tcBorders>
            <w:vAlign w:val="center"/>
          </w:tcPr>
          <w:p>
            <w:pPr>
              <w:pStyle w:val="Normal"/>
              <w:numPr>
                <w:ilvl w:val="0"/>
                <w:numId w:val="0"/>
              </w:numPr>
              <w:snapToGrid w:val="false"/>
              <w:spacing w:before="0" w:after="200"/>
              <w:ind w:hanging="0" w:left="720"/>
              <w:rPr>
                <w:rFonts w:ascii="Times New Roman" w:hAnsi="Times New Roman"/>
                <w:sz w:val="20"/>
                <w:szCs w:val="20"/>
              </w:rPr>
            </w:pPr>
            <w:r>
              <w:rPr>
                <w:rFonts w:ascii="Times New Roman" w:hAnsi="Times New Roman"/>
                <w:sz w:val="20"/>
                <w:szCs w:val="20"/>
              </w:rPr>
              <w:t>5</w:t>
            </w:r>
          </w:p>
        </w:tc>
        <w:tc>
          <w:tcPr>
            <w:tcW w:w="2445" w:type="dxa"/>
            <w:tcBorders>
              <w:left w:val="single" w:sz="4" w:space="0" w:color="000000"/>
              <w:bottom w:val="single" w:sz="4" w:space="0" w:color="000000"/>
            </w:tcBorders>
            <w:vAlign w:val="center"/>
          </w:tcPr>
          <w:p>
            <w:pPr>
              <w:pStyle w:val="Style22"/>
              <w:spacing w:before="0" w:after="0"/>
              <w:jc w:val="left"/>
              <w:rPr>
                <w:rFonts w:ascii="Times New Roman" w:hAnsi="Times New Roman" w:cs="Tempora LGC Uni"/>
                <w:b w:val="false"/>
                <w:bCs w:val="false"/>
                <w:i w:val="false"/>
                <w:i w:val="false"/>
                <w:caps w:val="false"/>
                <w:smallCaps w:val="false"/>
                <w:color w:val="383838"/>
                <w:spacing w:val="0"/>
                <w:sz w:val="20"/>
                <w:szCs w:val="20"/>
                <w:lang w:val="ru-RU" w:eastAsia="ru-RU" w:bidi="fa-IR"/>
              </w:rPr>
            </w:pPr>
            <w:r>
              <w:rPr>
                <w:rFonts w:cs="Tempora LGC Uni" w:ascii="Times New Roman" w:hAnsi="Times New Roman"/>
                <w:b w:val="false"/>
                <w:bCs w:val="false"/>
                <w:i w:val="false"/>
                <w:caps w:val="false"/>
                <w:smallCaps w:val="false"/>
                <w:color w:val="383838"/>
                <w:spacing w:val="0"/>
                <w:sz w:val="20"/>
                <w:szCs w:val="20"/>
                <w:lang w:val="ru-RU" w:eastAsia="ru-RU" w:bidi="fa-IR"/>
              </w:rPr>
              <w:t>Картридж для электрографических печатающих устройств</w:t>
            </w:r>
          </w:p>
          <w:p>
            <w:pPr>
              <w:pStyle w:val="Normal"/>
              <w:jc w:val="left"/>
              <w:rPr>
                <w:rFonts w:ascii="Times New Roman" w:hAnsi="Times New Roman" w:cs="Tempora LGC Uni"/>
                <w:b w:val="false"/>
                <w:bCs w:val="false"/>
                <w:sz w:val="20"/>
                <w:szCs w:val="20"/>
                <w:lang w:val="ru-RU" w:eastAsia="ru-RU" w:bidi="fa-IR"/>
              </w:rPr>
            </w:pPr>
            <w:r>
              <w:rPr>
                <w:rFonts w:cs="Tempora LGC Uni" w:ascii="Times New Roman" w:hAnsi="Times New Roman"/>
                <w:b w:val="false"/>
                <w:bCs w:val="false"/>
                <w:sz w:val="20"/>
                <w:szCs w:val="20"/>
                <w:lang w:val="ru-RU" w:eastAsia="ru-RU" w:bidi="fa-IR"/>
              </w:rPr>
              <w:t>ОКПД 2: 26.20.40.120</w:t>
            </w:r>
          </w:p>
          <w:p>
            <w:pPr>
              <w:pStyle w:val="Normal"/>
              <w:spacing w:before="0" w:after="200"/>
              <w:jc w:val="left"/>
              <w:rPr>
                <w:rFonts w:ascii="Times New Roman" w:hAnsi="Times New Roman"/>
                <w:sz w:val="20"/>
                <w:szCs w:val="20"/>
              </w:rPr>
            </w:pPr>
            <w:r>
              <w:rPr>
                <w:rFonts w:cs="Times New Roman" w:ascii="Times New Roman" w:hAnsi="Times New Roman"/>
                <w:b w:val="false"/>
                <w:bCs w:val="false"/>
                <w:sz w:val="20"/>
                <w:szCs w:val="20"/>
                <w:lang w:val="ru-RU" w:eastAsia="ru-RU" w:bidi="fa-IR"/>
              </w:rPr>
              <w:t xml:space="preserve">КТРУ </w:t>
            </w:r>
            <w:r>
              <w:rPr>
                <w:rFonts w:cs="Times New Roman" w:ascii="Times New Roman" w:hAnsi="Times New Roman"/>
                <w:b w:val="false"/>
                <w:bCs w:val="false"/>
                <w:i w:val="false"/>
                <w:caps w:val="false"/>
                <w:smallCaps w:val="false"/>
                <w:color w:val="383838"/>
                <w:spacing w:val="0"/>
                <w:sz w:val="20"/>
                <w:szCs w:val="20"/>
                <w:lang w:val="ru-RU" w:eastAsia="ru-RU" w:bidi="fa-IR"/>
              </w:rPr>
              <w:t>20.59.12.120-00000002</w:t>
            </w:r>
          </w:p>
        </w:tc>
        <w:tc>
          <w:tcPr>
            <w:tcW w:w="6345" w:type="dxa"/>
            <w:tcBorders>
              <w:left w:val="single" w:sz="4" w:space="0" w:color="000000"/>
              <w:bottom w:val="single" w:sz="4" w:space="0" w:color="000000"/>
            </w:tcBorders>
            <w:vAlign w:val="center"/>
          </w:tcPr>
          <w:p>
            <w:pPr>
              <w:pStyle w:val="Style21"/>
              <w:spacing w:before="0" w:after="0"/>
              <w:ind w:right="0"/>
              <w:jc w:val="left"/>
              <w:rPr>
                <w:rFonts w:ascii="Times New Roman" w:hAnsi="Times New Roman"/>
                <w:sz w:val="20"/>
                <w:szCs w:val="20"/>
              </w:rPr>
            </w:pPr>
            <w:r>
              <w:rPr>
                <w:rFonts w:ascii="Times New Roman" w:hAnsi="Times New Roman"/>
                <w:b/>
                <w:color w:val="383838"/>
                <w:sz w:val="20"/>
                <w:szCs w:val="20"/>
              </w:rPr>
              <w:t>тип</w:t>
            </w:r>
            <w:r>
              <w:rPr>
                <w:rFonts w:ascii="Times New Roman" w:hAnsi="Times New Roman"/>
                <w:sz w:val="20"/>
                <w:szCs w:val="20"/>
              </w:rPr>
              <w:br/>
              <w:t>драм-картридж</w:t>
              <w:br/>
            </w:r>
            <w:r>
              <w:rPr>
                <w:rFonts w:ascii="Times New Roman" w:hAnsi="Times New Roman"/>
                <w:color w:val="979797"/>
                <w:sz w:val="20"/>
                <w:szCs w:val="20"/>
              </w:rPr>
              <w:t>Значение характеристики не может изменяться участником закупки</w:t>
            </w:r>
            <w:r>
              <w:rPr>
                <w:rFonts w:ascii="Times New Roman" w:hAnsi="Times New Roman"/>
                <w:sz w:val="20"/>
                <w:szCs w:val="20"/>
              </w:rPr>
              <w:br/>
            </w:r>
            <w:r>
              <w:rPr>
                <w:rFonts w:ascii="Times New Roman" w:hAnsi="Times New Roman"/>
                <w:b/>
                <w:color w:val="383838"/>
                <w:sz w:val="20"/>
                <w:szCs w:val="20"/>
              </w:rPr>
              <w:t>совместимость</w:t>
            </w:r>
            <w:r>
              <w:rPr>
                <w:rFonts w:ascii="Times New Roman" w:hAnsi="Times New Roman"/>
                <w:sz w:val="20"/>
                <w:szCs w:val="20"/>
              </w:rPr>
              <w:br/>
              <w:t>Xerox VersaLink C7020/ 7025/ 7030</w:t>
              <w:br/>
            </w:r>
            <w:r>
              <w:rPr>
                <w:rFonts w:ascii="Times New Roman" w:hAnsi="Times New Roman"/>
                <w:color w:val="979797"/>
                <w:sz w:val="20"/>
                <w:szCs w:val="20"/>
              </w:rPr>
              <w:t>Значение характеристики не может изменяться участником закупки</w:t>
            </w:r>
            <w:r>
              <w:rPr>
                <w:rFonts w:ascii="Times New Roman" w:hAnsi="Times New Roman"/>
                <w:sz w:val="20"/>
                <w:szCs w:val="20"/>
              </w:rPr>
              <w:br/>
            </w:r>
            <w:r>
              <w:rPr>
                <w:rFonts w:ascii="Times New Roman" w:hAnsi="Times New Roman"/>
                <w:b/>
                <w:color w:val="383838"/>
                <w:sz w:val="20"/>
                <w:szCs w:val="20"/>
              </w:rPr>
              <w:t>артикул</w:t>
            </w:r>
            <w:r>
              <w:rPr>
                <w:rFonts w:ascii="Times New Roman" w:hAnsi="Times New Roman"/>
                <w:sz w:val="20"/>
                <w:szCs w:val="20"/>
              </w:rPr>
              <w:br/>
              <w:t>113R00780</w:t>
              <w:br/>
            </w:r>
            <w:r>
              <w:rPr>
                <w:rFonts w:ascii="Times New Roman" w:hAnsi="Times New Roman"/>
                <w:color w:val="979797"/>
                <w:sz w:val="20"/>
                <w:szCs w:val="20"/>
              </w:rPr>
              <w:t>Значение характеристики не может изменяться участником закупки</w:t>
            </w:r>
            <w:r>
              <w:rPr>
                <w:rFonts w:ascii="Times New Roman" w:hAnsi="Times New Roman"/>
                <w:sz w:val="20"/>
                <w:szCs w:val="20"/>
              </w:rPr>
              <w:br/>
            </w:r>
            <w:r>
              <w:rPr>
                <w:rFonts w:ascii="Times New Roman" w:hAnsi="Times New Roman"/>
                <w:b/>
                <w:color w:val="383838"/>
                <w:sz w:val="20"/>
                <w:szCs w:val="20"/>
              </w:rPr>
              <w:t>цвет</w:t>
            </w:r>
            <w:r>
              <w:rPr>
                <w:rFonts w:ascii="Times New Roman" w:hAnsi="Times New Roman"/>
                <w:sz w:val="20"/>
                <w:szCs w:val="20"/>
              </w:rPr>
              <w:br/>
              <w:t>черный</w:t>
              <w:br/>
            </w:r>
            <w:r>
              <w:rPr>
                <w:rFonts w:ascii="Times New Roman" w:hAnsi="Times New Roman"/>
                <w:color w:val="979797"/>
                <w:sz w:val="20"/>
                <w:szCs w:val="20"/>
              </w:rPr>
              <w:t>Значение характеристики не может изменяться участником закупки</w:t>
            </w:r>
            <w:r>
              <w:rPr>
                <w:rFonts w:ascii="Times New Roman" w:hAnsi="Times New Roman"/>
                <w:sz w:val="20"/>
                <w:szCs w:val="20"/>
              </w:rPr>
              <w:br/>
            </w:r>
            <w:r>
              <w:rPr>
                <w:rFonts w:ascii="Times New Roman" w:hAnsi="Times New Roman"/>
                <w:b/>
                <w:color w:val="383838"/>
                <w:sz w:val="20"/>
                <w:szCs w:val="20"/>
              </w:rPr>
              <w:t>ресурс страниц</w:t>
            </w:r>
            <w:r>
              <w:rPr>
                <w:rFonts w:ascii="Times New Roman" w:hAnsi="Times New Roman"/>
                <w:sz w:val="20"/>
                <w:szCs w:val="20"/>
              </w:rPr>
              <w:br/>
              <w:t>≥ 87600 Штука (ШТ)</w:t>
              <w:br/>
            </w:r>
            <w:r>
              <w:rPr>
                <w:rFonts w:ascii="Times New Roman" w:hAnsi="Times New Roman"/>
                <w:color w:val="979797"/>
                <w:sz w:val="20"/>
                <w:szCs w:val="20"/>
              </w:rPr>
              <w:t>Участник закупки указывает в заявке конкретное значение характеристики</w:t>
            </w:r>
          </w:p>
        </w:tc>
        <w:tc>
          <w:tcPr>
            <w:tcW w:w="961" w:type="dxa"/>
            <w:tcBorders>
              <w:left w:val="single" w:sz="4" w:space="0" w:color="000000"/>
              <w:bottom w:val="single" w:sz="4" w:space="0" w:color="000000"/>
              <w:right w:val="single" w:sz="4" w:space="0" w:color="000000"/>
            </w:tcBorders>
            <w:shd w:fill="FFFFFF" w:val="clear"/>
            <w:vAlign w:val="center"/>
          </w:tcPr>
          <w:p>
            <w:pPr>
              <w:pStyle w:val="Normal"/>
              <w:spacing w:before="0" w:after="200"/>
              <w:jc w:val="center"/>
              <w:rPr>
                <w:rFonts w:ascii="Times New Roman" w:hAnsi="Times New Roman"/>
                <w:sz w:val="20"/>
                <w:szCs w:val="20"/>
              </w:rPr>
            </w:pPr>
            <w:r>
              <w:rPr>
                <w:rFonts w:ascii="Times New Roman" w:hAnsi="Times New Roman"/>
                <w:sz w:val="20"/>
                <w:szCs w:val="20"/>
              </w:rPr>
              <w:t>2</w:t>
            </w:r>
          </w:p>
        </w:tc>
      </w:tr>
      <w:tr>
        <w:trPr>
          <w:trHeight w:val="285" w:hRule="atLeast"/>
        </w:trPr>
        <w:tc>
          <w:tcPr>
            <w:tcW w:w="555" w:type="dxa"/>
            <w:tcBorders>
              <w:left w:val="single" w:sz="4" w:space="0" w:color="000000"/>
              <w:bottom w:val="single" w:sz="4" w:space="0" w:color="000000"/>
            </w:tcBorders>
            <w:vAlign w:val="center"/>
          </w:tcPr>
          <w:p>
            <w:pPr>
              <w:pStyle w:val="Normal"/>
              <w:numPr>
                <w:ilvl w:val="0"/>
                <w:numId w:val="0"/>
              </w:numPr>
              <w:snapToGrid w:val="false"/>
              <w:spacing w:before="0" w:after="200"/>
              <w:ind w:hanging="0" w:left="720"/>
              <w:rPr>
                <w:rFonts w:ascii="Times New Roman" w:hAnsi="Times New Roman"/>
                <w:sz w:val="20"/>
                <w:szCs w:val="20"/>
              </w:rPr>
            </w:pPr>
            <w:r>
              <w:rPr>
                <w:rFonts w:ascii="Times New Roman" w:hAnsi="Times New Roman"/>
                <w:sz w:val="20"/>
                <w:szCs w:val="20"/>
              </w:rPr>
              <w:t>6</w:t>
            </w:r>
          </w:p>
        </w:tc>
        <w:tc>
          <w:tcPr>
            <w:tcW w:w="2445" w:type="dxa"/>
            <w:tcBorders>
              <w:left w:val="single" w:sz="4" w:space="0" w:color="000000"/>
              <w:bottom w:val="single" w:sz="4" w:space="0" w:color="000000"/>
            </w:tcBorders>
            <w:vAlign w:val="center"/>
          </w:tcPr>
          <w:p>
            <w:pPr>
              <w:pStyle w:val="Style22"/>
              <w:spacing w:before="0" w:after="0"/>
              <w:jc w:val="left"/>
              <w:rPr>
                <w:rFonts w:ascii="Times New Roman" w:hAnsi="Times New Roman" w:cs="Tempora LGC Uni"/>
                <w:b w:val="false"/>
                <w:bCs w:val="false"/>
                <w:i w:val="false"/>
                <w:i w:val="false"/>
                <w:caps w:val="false"/>
                <w:smallCaps w:val="false"/>
                <w:color w:val="383838"/>
                <w:spacing w:val="0"/>
                <w:sz w:val="20"/>
                <w:szCs w:val="20"/>
                <w:lang w:val="ru-RU" w:eastAsia="ru-RU" w:bidi="fa-IR"/>
              </w:rPr>
            </w:pPr>
            <w:r>
              <w:rPr>
                <w:rFonts w:cs="Tempora LGC Uni" w:ascii="Times New Roman" w:hAnsi="Times New Roman"/>
                <w:b w:val="false"/>
                <w:bCs w:val="false"/>
                <w:i w:val="false"/>
                <w:caps w:val="false"/>
                <w:smallCaps w:val="false"/>
                <w:color w:val="383838"/>
                <w:spacing w:val="0"/>
                <w:sz w:val="20"/>
                <w:szCs w:val="20"/>
                <w:lang w:val="ru-RU" w:eastAsia="ru-RU" w:bidi="fa-IR"/>
              </w:rPr>
              <w:t>Картридж для электрографических печатающих устройств</w:t>
            </w:r>
          </w:p>
          <w:p>
            <w:pPr>
              <w:pStyle w:val="Normal"/>
              <w:jc w:val="left"/>
              <w:rPr>
                <w:rFonts w:ascii="Times New Roman" w:hAnsi="Times New Roman" w:cs="Tempora LGC Uni"/>
                <w:b w:val="false"/>
                <w:bCs w:val="false"/>
                <w:sz w:val="20"/>
                <w:szCs w:val="20"/>
                <w:lang w:val="ru-RU" w:eastAsia="ru-RU" w:bidi="fa-IR"/>
              </w:rPr>
            </w:pPr>
            <w:r>
              <w:rPr>
                <w:rFonts w:cs="Tempora LGC Uni" w:ascii="Times New Roman" w:hAnsi="Times New Roman"/>
                <w:b w:val="false"/>
                <w:bCs w:val="false"/>
                <w:sz w:val="20"/>
                <w:szCs w:val="20"/>
                <w:lang w:val="ru-RU" w:eastAsia="ru-RU" w:bidi="fa-IR"/>
              </w:rPr>
              <w:t>ОКПД 2: 26.20.40.120</w:t>
            </w:r>
          </w:p>
          <w:p>
            <w:pPr>
              <w:pStyle w:val="Normal"/>
              <w:spacing w:before="0" w:after="200"/>
              <w:jc w:val="left"/>
              <w:rPr>
                <w:rFonts w:ascii="Times New Roman" w:hAnsi="Times New Roman"/>
                <w:sz w:val="20"/>
                <w:szCs w:val="20"/>
              </w:rPr>
            </w:pPr>
            <w:r>
              <w:rPr>
                <w:rFonts w:cs="Times New Roman" w:ascii="Times New Roman" w:hAnsi="Times New Roman"/>
                <w:b w:val="false"/>
                <w:bCs w:val="false"/>
                <w:sz w:val="20"/>
                <w:szCs w:val="20"/>
                <w:lang w:val="ru-RU" w:eastAsia="ru-RU" w:bidi="fa-IR"/>
              </w:rPr>
              <w:t xml:space="preserve">КТРУ </w:t>
            </w:r>
            <w:r>
              <w:rPr>
                <w:rFonts w:cs="Times New Roman" w:ascii="Times New Roman" w:hAnsi="Times New Roman"/>
                <w:b w:val="false"/>
                <w:bCs w:val="false"/>
                <w:i w:val="false"/>
                <w:caps w:val="false"/>
                <w:smallCaps w:val="false"/>
                <w:color w:val="383838"/>
                <w:spacing w:val="0"/>
                <w:sz w:val="20"/>
                <w:szCs w:val="20"/>
                <w:lang w:val="ru-RU" w:eastAsia="ru-RU" w:bidi="fa-IR"/>
              </w:rPr>
              <w:t>20.59.12.120-00000002</w:t>
            </w:r>
          </w:p>
        </w:tc>
        <w:tc>
          <w:tcPr>
            <w:tcW w:w="6345" w:type="dxa"/>
            <w:tcBorders>
              <w:left w:val="single" w:sz="4" w:space="0" w:color="000000"/>
              <w:bottom w:val="single" w:sz="4" w:space="0" w:color="000000"/>
            </w:tcBorders>
            <w:vAlign w:val="center"/>
          </w:tcPr>
          <w:p>
            <w:pPr>
              <w:pStyle w:val="Style21"/>
              <w:spacing w:before="0" w:after="0"/>
              <w:ind w:right="0"/>
              <w:jc w:val="left"/>
              <w:rPr>
                <w:rFonts w:ascii="Times New Roman" w:hAnsi="Times New Roman"/>
                <w:sz w:val="20"/>
                <w:szCs w:val="20"/>
              </w:rPr>
            </w:pPr>
            <w:r>
              <w:rPr>
                <w:rFonts w:ascii="Times New Roman" w:hAnsi="Times New Roman"/>
                <w:b/>
                <w:color w:val="383838"/>
                <w:sz w:val="20"/>
                <w:szCs w:val="20"/>
              </w:rPr>
              <w:t>тип</w:t>
            </w:r>
            <w:r>
              <w:rPr>
                <w:rFonts w:ascii="Times New Roman" w:hAnsi="Times New Roman"/>
                <w:sz w:val="20"/>
                <w:szCs w:val="20"/>
              </w:rPr>
              <w:br/>
              <w:t>драм-картридж</w:t>
              <w:br/>
            </w:r>
            <w:r>
              <w:rPr>
                <w:rFonts w:ascii="Times New Roman" w:hAnsi="Times New Roman"/>
                <w:color w:val="979797"/>
                <w:sz w:val="20"/>
                <w:szCs w:val="20"/>
              </w:rPr>
              <w:t>Значение характеристики не может изменяться участником закупки</w:t>
            </w:r>
            <w:r>
              <w:rPr>
                <w:rFonts w:ascii="Times New Roman" w:hAnsi="Times New Roman"/>
                <w:sz w:val="20"/>
                <w:szCs w:val="20"/>
              </w:rPr>
              <w:br/>
            </w:r>
            <w:r>
              <w:rPr>
                <w:rFonts w:ascii="Times New Roman" w:hAnsi="Times New Roman"/>
                <w:b/>
                <w:color w:val="383838"/>
                <w:sz w:val="20"/>
                <w:szCs w:val="20"/>
              </w:rPr>
              <w:t>совместимость</w:t>
            </w:r>
            <w:r>
              <w:rPr>
                <w:rFonts w:ascii="Times New Roman" w:hAnsi="Times New Roman"/>
                <w:sz w:val="20"/>
                <w:szCs w:val="20"/>
              </w:rPr>
              <w:br/>
              <w:t>Xerox VersaLink C7020/ 7025/ 7030</w:t>
              <w:br/>
            </w:r>
            <w:r>
              <w:rPr>
                <w:rFonts w:ascii="Times New Roman" w:hAnsi="Times New Roman"/>
                <w:color w:val="979797"/>
                <w:sz w:val="20"/>
                <w:szCs w:val="20"/>
              </w:rPr>
              <w:t>Значение характеристики не может изменяться участником закупки</w:t>
            </w:r>
            <w:r>
              <w:rPr>
                <w:rFonts w:ascii="Times New Roman" w:hAnsi="Times New Roman"/>
                <w:sz w:val="20"/>
                <w:szCs w:val="20"/>
              </w:rPr>
              <w:br/>
            </w:r>
            <w:r>
              <w:rPr>
                <w:rFonts w:ascii="Times New Roman" w:hAnsi="Times New Roman"/>
                <w:b/>
                <w:color w:val="383838"/>
                <w:sz w:val="20"/>
                <w:szCs w:val="20"/>
              </w:rPr>
              <w:t>артикул</w:t>
            </w:r>
            <w:r>
              <w:rPr>
                <w:rFonts w:ascii="Times New Roman" w:hAnsi="Times New Roman"/>
                <w:sz w:val="20"/>
                <w:szCs w:val="20"/>
              </w:rPr>
              <w:br/>
              <w:t>115R00128</w:t>
              <w:br/>
            </w:r>
            <w:r>
              <w:rPr>
                <w:rFonts w:ascii="Times New Roman" w:hAnsi="Times New Roman"/>
                <w:color w:val="979797"/>
                <w:sz w:val="20"/>
                <w:szCs w:val="20"/>
              </w:rPr>
              <w:t>Значение характеристики не может изменяться участником закупки</w:t>
            </w:r>
            <w:r>
              <w:rPr>
                <w:rFonts w:ascii="Times New Roman" w:hAnsi="Times New Roman"/>
                <w:sz w:val="20"/>
                <w:szCs w:val="20"/>
              </w:rPr>
              <w:br/>
            </w:r>
            <w:r>
              <w:rPr>
                <w:rFonts w:ascii="Times New Roman" w:hAnsi="Times New Roman"/>
                <w:b/>
                <w:color w:val="383838"/>
                <w:sz w:val="20"/>
                <w:szCs w:val="20"/>
              </w:rPr>
              <w:t>цвет</w:t>
            </w:r>
            <w:r>
              <w:rPr>
                <w:rFonts w:ascii="Times New Roman" w:hAnsi="Times New Roman"/>
                <w:sz w:val="20"/>
                <w:szCs w:val="20"/>
              </w:rPr>
              <w:br/>
              <w:t>черный</w:t>
              <w:br/>
            </w:r>
            <w:r>
              <w:rPr>
                <w:rFonts w:ascii="Times New Roman" w:hAnsi="Times New Roman"/>
                <w:color w:val="979797"/>
                <w:sz w:val="20"/>
                <w:szCs w:val="20"/>
              </w:rPr>
              <w:t>Значение характеристики не может изменяться участником закупки</w:t>
            </w:r>
            <w:r>
              <w:rPr>
                <w:rFonts w:ascii="Times New Roman" w:hAnsi="Times New Roman"/>
                <w:sz w:val="20"/>
                <w:szCs w:val="20"/>
              </w:rPr>
              <w:br/>
            </w:r>
            <w:r>
              <w:rPr>
                <w:rFonts w:ascii="Times New Roman" w:hAnsi="Times New Roman"/>
                <w:b/>
                <w:color w:val="383838"/>
                <w:sz w:val="20"/>
                <w:szCs w:val="20"/>
              </w:rPr>
              <w:t>ресурс страниц</w:t>
            </w:r>
            <w:r>
              <w:rPr>
                <w:rFonts w:ascii="Times New Roman" w:hAnsi="Times New Roman"/>
                <w:sz w:val="20"/>
                <w:szCs w:val="20"/>
              </w:rPr>
              <w:br/>
              <w:t>≥ 30000 Штука (ШТ)</w:t>
              <w:br/>
            </w:r>
            <w:r>
              <w:rPr>
                <w:rFonts w:ascii="Times New Roman" w:hAnsi="Times New Roman"/>
                <w:color w:val="979797"/>
                <w:sz w:val="20"/>
                <w:szCs w:val="20"/>
              </w:rPr>
              <w:t>Участник закупки указывает в заявке конкретное значение характеристики</w:t>
            </w:r>
          </w:p>
        </w:tc>
        <w:tc>
          <w:tcPr>
            <w:tcW w:w="961" w:type="dxa"/>
            <w:tcBorders>
              <w:left w:val="single" w:sz="4" w:space="0" w:color="000000"/>
              <w:bottom w:val="single" w:sz="4" w:space="0" w:color="000000"/>
              <w:right w:val="single" w:sz="4" w:space="0" w:color="000000"/>
            </w:tcBorders>
            <w:shd w:fill="FFFFFF" w:val="clear"/>
            <w:vAlign w:val="center"/>
          </w:tcPr>
          <w:p>
            <w:pPr>
              <w:pStyle w:val="Normal"/>
              <w:spacing w:before="0" w:after="200"/>
              <w:jc w:val="center"/>
              <w:rPr>
                <w:rFonts w:ascii="Times New Roman" w:hAnsi="Times New Roman"/>
                <w:sz w:val="20"/>
                <w:szCs w:val="20"/>
              </w:rPr>
            </w:pPr>
            <w:r>
              <w:rPr>
                <w:rFonts w:ascii="Times New Roman" w:hAnsi="Times New Roman"/>
                <w:sz w:val="20"/>
                <w:szCs w:val="20"/>
              </w:rPr>
              <w:t>2</w:t>
            </w:r>
          </w:p>
        </w:tc>
      </w:tr>
      <w:tr>
        <w:trPr>
          <w:trHeight w:val="285" w:hRule="atLeast"/>
        </w:trPr>
        <w:tc>
          <w:tcPr>
            <w:tcW w:w="555" w:type="dxa"/>
            <w:tcBorders>
              <w:left w:val="single" w:sz="4" w:space="0" w:color="000000"/>
              <w:bottom w:val="single" w:sz="4" w:space="0" w:color="000000"/>
            </w:tcBorders>
            <w:vAlign w:val="center"/>
          </w:tcPr>
          <w:p>
            <w:pPr>
              <w:pStyle w:val="Normal"/>
              <w:numPr>
                <w:ilvl w:val="0"/>
                <w:numId w:val="0"/>
              </w:numPr>
              <w:snapToGrid w:val="false"/>
              <w:spacing w:before="0" w:after="200"/>
              <w:ind w:hanging="0" w:left="720"/>
              <w:rPr>
                <w:rFonts w:ascii="Times New Roman" w:hAnsi="Times New Roman"/>
                <w:sz w:val="20"/>
                <w:szCs w:val="20"/>
              </w:rPr>
            </w:pPr>
            <w:r>
              <w:rPr>
                <w:rFonts w:ascii="Times New Roman" w:hAnsi="Times New Roman"/>
                <w:sz w:val="20"/>
                <w:szCs w:val="20"/>
              </w:rPr>
              <w:t>7</w:t>
            </w:r>
          </w:p>
        </w:tc>
        <w:tc>
          <w:tcPr>
            <w:tcW w:w="2445" w:type="dxa"/>
            <w:tcBorders>
              <w:left w:val="single" w:sz="4" w:space="0" w:color="000000"/>
              <w:bottom w:val="single" w:sz="4" w:space="0" w:color="000000"/>
            </w:tcBorders>
            <w:vAlign w:val="center"/>
          </w:tcPr>
          <w:p>
            <w:pPr>
              <w:pStyle w:val="Style22"/>
              <w:spacing w:before="0" w:after="0"/>
              <w:jc w:val="left"/>
              <w:rPr>
                <w:rFonts w:ascii="Times New Roman" w:hAnsi="Times New Roman" w:cs="Tempora LGC Uni"/>
                <w:b w:val="false"/>
                <w:bCs w:val="false"/>
                <w:i w:val="false"/>
                <w:i w:val="false"/>
                <w:caps w:val="false"/>
                <w:smallCaps w:val="false"/>
                <w:color w:val="383838"/>
                <w:spacing w:val="0"/>
                <w:sz w:val="20"/>
                <w:szCs w:val="20"/>
                <w:lang w:val="ru-RU" w:eastAsia="ru-RU" w:bidi="fa-IR"/>
              </w:rPr>
            </w:pPr>
            <w:r>
              <w:rPr>
                <w:rFonts w:cs="Tempora LGC Uni" w:ascii="Times New Roman" w:hAnsi="Times New Roman"/>
                <w:b w:val="false"/>
                <w:bCs w:val="false"/>
                <w:i w:val="false"/>
                <w:caps w:val="false"/>
                <w:smallCaps w:val="false"/>
                <w:color w:val="383838"/>
                <w:spacing w:val="0"/>
                <w:sz w:val="20"/>
                <w:szCs w:val="20"/>
                <w:lang w:val="ru-RU" w:eastAsia="ru-RU" w:bidi="fa-IR"/>
              </w:rPr>
              <w:t>Картридж для электрографических печатающих устройств</w:t>
            </w:r>
          </w:p>
          <w:p>
            <w:pPr>
              <w:pStyle w:val="Normal"/>
              <w:jc w:val="left"/>
              <w:rPr>
                <w:rFonts w:ascii="Times New Roman" w:hAnsi="Times New Roman" w:cs="Tempora LGC Uni"/>
                <w:b w:val="false"/>
                <w:bCs w:val="false"/>
                <w:sz w:val="20"/>
                <w:szCs w:val="20"/>
                <w:lang w:val="ru-RU" w:eastAsia="ru-RU" w:bidi="fa-IR"/>
              </w:rPr>
            </w:pPr>
            <w:r>
              <w:rPr>
                <w:rFonts w:cs="Tempora LGC Uni" w:ascii="Times New Roman" w:hAnsi="Times New Roman"/>
                <w:b w:val="false"/>
                <w:bCs w:val="false"/>
                <w:sz w:val="20"/>
                <w:szCs w:val="20"/>
                <w:lang w:val="ru-RU" w:eastAsia="ru-RU" w:bidi="fa-IR"/>
              </w:rPr>
              <w:t>ОКПД 2: 26.20.40.120</w:t>
            </w:r>
          </w:p>
          <w:p>
            <w:pPr>
              <w:pStyle w:val="Normal"/>
              <w:spacing w:before="0" w:after="200"/>
              <w:jc w:val="left"/>
              <w:rPr>
                <w:rFonts w:ascii="Times New Roman" w:hAnsi="Times New Roman"/>
                <w:sz w:val="20"/>
                <w:szCs w:val="20"/>
              </w:rPr>
            </w:pPr>
            <w:r>
              <w:rPr>
                <w:rFonts w:cs="Times New Roman" w:ascii="Times New Roman" w:hAnsi="Times New Roman"/>
                <w:b w:val="false"/>
                <w:bCs w:val="false"/>
                <w:sz w:val="20"/>
                <w:szCs w:val="20"/>
                <w:lang w:val="ru-RU" w:eastAsia="ru-RU" w:bidi="fa-IR"/>
              </w:rPr>
              <w:t xml:space="preserve">КТРУ </w:t>
            </w:r>
            <w:r>
              <w:rPr>
                <w:rFonts w:cs="Times New Roman" w:ascii="Times New Roman" w:hAnsi="Times New Roman"/>
                <w:b w:val="false"/>
                <w:bCs w:val="false"/>
                <w:i w:val="false"/>
                <w:caps w:val="false"/>
                <w:smallCaps w:val="false"/>
                <w:color w:val="383838"/>
                <w:spacing w:val="0"/>
                <w:sz w:val="20"/>
                <w:szCs w:val="20"/>
                <w:lang w:val="ru-RU" w:eastAsia="ru-RU" w:bidi="fa-IR"/>
              </w:rPr>
              <w:t>20.59.12.120-00000002</w:t>
            </w:r>
          </w:p>
        </w:tc>
        <w:tc>
          <w:tcPr>
            <w:tcW w:w="6345" w:type="dxa"/>
            <w:tcBorders>
              <w:left w:val="single" w:sz="4" w:space="0" w:color="000000"/>
              <w:bottom w:val="single" w:sz="4" w:space="0" w:color="000000"/>
            </w:tcBorders>
            <w:vAlign w:val="center"/>
          </w:tcPr>
          <w:p>
            <w:pPr>
              <w:pStyle w:val="Style21"/>
              <w:spacing w:before="0" w:after="0"/>
              <w:ind w:right="0"/>
              <w:jc w:val="left"/>
              <w:rPr>
                <w:rFonts w:ascii="Times New Roman" w:hAnsi="Times New Roman"/>
                <w:sz w:val="20"/>
                <w:szCs w:val="20"/>
              </w:rPr>
            </w:pPr>
            <w:r>
              <w:rPr>
                <w:rFonts w:ascii="Times New Roman" w:hAnsi="Times New Roman"/>
                <w:b/>
                <w:color w:val="383838"/>
                <w:sz w:val="20"/>
                <w:szCs w:val="20"/>
              </w:rPr>
              <w:t>тип</w:t>
            </w:r>
            <w:r>
              <w:rPr>
                <w:rFonts w:ascii="Times New Roman" w:hAnsi="Times New Roman"/>
                <w:sz w:val="20"/>
                <w:szCs w:val="20"/>
              </w:rPr>
              <w:br/>
              <w:t>тонер-картридж</w:t>
              <w:br/>
            </w:r>
            <w:r>
              <w:rPr>
                <w:rFonts w:ascii="Times New Roman" w:hAnsi="Times New Roman"/>
                <w:color w:val="979797"/>
                <w:sz w:val="20"/>
                <w:szCs w:val="20"/>
              </w:rPr>
              <w:t>Значение характеристики не может изменяться участником закупки</w:t>
            </w:r>
            <w:r>
              <w:rPr>
                <w:rFonts w:ascii="Times New Roman" w:hAnsi="Times New Roman"/>
                <w:sz w:val="20"/>
                <w:szCs w:val="20"/>
              </w:rPr>
              <w:br/>
            </w:r>
            <w:r>
              <w:rPr>
                <w:rFonts w:ascii="Times New Roman" w:hAnsi="Times New Roman"/>
                <w:b/>
                <w:color w:val="383838"/>
                <w:sz w:val="20"/>
                <w:szCs w:val="20"/>
              </w:rPr>
              <w:t>артикул</w:t>
            </w:r>
            <w:r>
              <w:rPr>
                <w:rFonts w:ascii="Times New Roman" w:hAnsi="Times New Roman"/>
                <w:sz w:val="20"/>
                <w:szCs w:val="20"/>
              </w:rPr>
              <w:br/>
              <w:t>М240</w:t>
              <w:br/>
            </w:r>
            <w:r>
              <w:rPr>
                <w:rFonts w:ascii="Times New Roman" w:hAnsi="Times New Roman"/>
                <w:color w:val="979797"/>
                <w:sz w:val="20"/>
                <w:szCs w:val="20"/>
              </w:rPr>
              <w:t>Значение характеристики не может изменяться участником закупки</w:t>
            </w:r>
            <w:r>
              <w:rPr>
                <w:rFonts w:ascii="Times New Roman" w:hAnsi="Times New Roman"/>
                <w:sz w:val="20"/>
                <w:szCs w:val="20"/>
              </w:rPr>
              <w:br/>
            </w:r>
            <w:r>
              <w:rPr>
                <w:rFonts w:ascii="Times New Roman" w:hAnsi="Times New Roman"/>
                <w:b/>
                <w:color w:val="383838"/>
                <w:sz w:val="20"/>
                <w:szCs w:val="20"/>
              </w:rPr>
              <w:t>цвет</w:t>
            </w:r>
            <w:r>
              <w:rPr>
                <w:rFonts w:ascii="Times New Roman" w:hAnsi="Times New Roman"/>
                <w:sz w:val="20"/>
                <w:szCs w:val="20"/>
              </w:rPr>
              <w:br/>
              <w:t>черный</w:t>
              <w:br/>
            </w:r>
            <w:r>
              <w:rPr>
                <w:rFonts w:ascii="Times New Roman" w:hAnsi="Times New Roman"/>
                <w:color w:val="979797"/>
                <w:sz w:val="20"/>
                <w:szCs w:val="20"/>
              </w:rPr>
              <w:t>Значение характеристики не может изменяться участником закупки</w:t>
            </w:r>
            <w:r>
              <w:rPr>
                <w:rFonts w:ascii="Times New Roman" w:hAnsi="Times New Roman"/>
                <w:sz w:val="20"/>
                <w:szCs w:val="20"/>
              </w:rPr>
              <w:br/>
            </w:r>
            <w:r>
              <w:rPr>
                <w:rFonts w:ascii="Times New Roman" w:hAnsi="Times New Roman"/>
                <w:b/>
                <w:color w:val="383838"/>
                <w:sz w:val="20"/>
                <w:szCs w:val="20"/>
              </w:rPr>
              <w:t>совместимость</w:t>
            </w:r>
            <w:r>
              <w:rPr>
                <w:rFonts w:ascii="Times New Roman" w:hAnsi="Times New Roman"/>
                <w:sz w:val="20"/>
                <w:szCs w:val="20"/>
              </w:rPr>
              <w:br/>
              <w:t>МФУ Катюша</w:t>
              <w:br/>
            </w:r>
            <w:r>
              <w:rPr>
                <w:rFonts w:ascii="Times New Roman" w:hAnsi="Times New Roman"/>
                <w:color w:val="979797"/>
                <w:sz w:val="20"/>
                <w:szCs w:val="20"/>
              </w:rPr>
              <w:t>Значение характеристики не может изменяться участником закупки</w:t>
            </w:r>
            <w:r>
              <w:rPr>
                <w:rFonts w:ascii="Times New Roman" w:hAnsi="Times New Roman"/>
                <w:sz w:val="20"/>
                <w:szCs w:val="20"/>
              </w:rPr>
              <w:br/>
            </w:r>
            <w:r>
              <w:rPr>
                <w:rFonts w:ascii="Times New Roman" w:hAnsi="Times New Roman"/>
                <w:b/>
                <w:color w:val="383838"/>
                <w:sz w:val="20"/>
                <w:szCs w:val="20"/>
              </w:rPr>
              <w:t>ресурс страниц</w:t>
            </w:r>
            <w:r>
              <w:rPr>
                <w:rFonts w:ascii="Times New Roman" w:hAnsi="Times New Roman"/>
                <w:sz w:val="20"/>
                <w:szCs w:val="20"/>
              </w:rPr>
              <w:br/>
              <w:t>≥ 3000 Штука (ШТ)</w:t>
              <w:br/>
            </w:r>
            <w:r>
              <w:rPr>
                <w:rFonts w:ascii="Times New Roman" w:hAnsi="Times New Roman"/>
                <w:color w:val="979797"/>
                <w:sz w:val="20"/>
                <w:szCs w:val="20"/>
              </w:rPr>
              <w:t>Участник закупки указывает в заявке конкретное значение характеристики</w:t>
            </w:r>
          </w:p>
        </w:tc>
        <w:tc>
          <w:tcPr>
            <w:tcW w:w="961" w:type="dxa"/>
            <w:tcBorders>
              <w:left w:val="single" w:sz="4" w:space="0" w:color="000000"/>
              <w:bottom w:val="single" w:sz="4" w:space="0" w:color="000000"/>
              <w:right w:val="single" w:sz="4" w:space="0" w:color="000000"/>
            </w:tcBorders>
            <w:shd w:fill="FFFFFF" w:val="clear"/>
            <w:vAlign w:val="center"/>
          </w:tcPr>
          <w:p>
            <w:pPr>
              <w:pStyle w:val="Normal"/>
              <w:spacing w:before="0" w:after="200"/>
              <w:jc w:val="center"/>
              <w:rPr>
                <w:rFonts w:ascii="Times New Roman" w:hAnsi="Times New Roman"/>
                <w:sz w:val="20"/>
                <w:szCs w:val="20"/>
              </w:rPr>
            </w:pPr>
            <w:r>
              <w:rPr>
                <w:rFonts w:ascii="Times New Roman" w:hAnsi="Times New Roman"/>
                <w:sz w:val="20"/>
                <w:szCs w:val="20"/>
              </w:rPr>
              <w:t>1</w:t>
            </w:r>
            <w:r>
              <w:rPr>
                <w:rFonts w:ascii="Times New Roman" w:hAnsi="Times New Roman"/>
                <w:sz w:val="20"/>
                <w:szCs w:val="20"/>
              </w:rPr>
              <w:t>5</w:t>
            </w:r>
            <w:r>
              <w:rPr>
                <w:rFonts w:ascii="Times New Roman" w:hAnsi="Times New Roman"/>
                <w:sz w:val="20"/>
                <w:szCs w:val="20"/>
              </w:rPr>
              <w:t>0</w:t>
            </w:r>
          </w:p>
        </w:tc>
      </w:tr>
    </w:tbl>
    <w:p>
      <w:pPr>
        <w:pStyle w:val="Normal"/>
        <w:spacing w:before="0" w:after="0"/>
        <w:ind w:firstLine="567"/>
        <w:rPr>
          <w:rFonts w:ascii="Times New Roman" w:hAnsi="Times New Roman" w:eastAsia="Times New Roman"/>
          <w:b/>
          <w:color w:val="000000"/>
          <w:sz w:val="24"/>
          <w:szCs w:val="24"/>
          <w:lang w:eastAsia="ru-RU"/>
        </w:rPr>
      </w:pPr>
      <w:r>
        <w:rPr>
          <w:rFonts w:eastAsia="Times New Roman" w:ascii="Times New Roman" w:hAnsi="Times New Roman"/>
          <w:b/>
          <w:color w:val="000000"/>
          <w:sz w:val="24"/>
          <w:szCs w:val="24"/>
          <w:lang w:eastAsia="ru-RU"/>
        </w:rPr>
      </w:r>
    </w:p>
    <w:p>
      <w:pPr>
        <w:pStyle w:val="Normal"/>
        <w:spacing w:before="0" w:after="0"/>
        <w:ind w:firstLine="567"/>
        <w:rPr>
          <w:rFonts w:ascii="Times New Roman" w:hAnsi="Times New Roman" w:eastAsia="Times New Roman"/>
          <w:b/>
          <w:color w:val="000000"/>
          <w:sz w:val="24"/>
          <w:szCs w:val="24"/>
          <w:lang w:eastAsia="ru-RU"/>
        </w:rPr>
      </w:pPr>
      <w:r>
        <w:rPr>
          <w:rFonts w:eastAsia="Times New Roman" w:ascii="Times New Roman" w:hAnsi="Times New Roman"/>
          <w:b/>
          <w:color w:val="000000"/>
          <w:sz w:val="24"/>
          <w:szCs w:val="24"/>
          <w:lang w:eastAsia="ru-RU"/>
        </w:rPr>
      </w:r>
    </w:p>
    <w:p>
      <w:pPr>
        <w:pStyle w:val="Normal"/>
        <w:spacing w:before="0" w:after="0"/>
        <w:ind w:firstLine="567"/>
        <w:jc w:val="both"/>
        <w:rPr>
          <w:rFonts w:ascii="Times New Roman" w:hAnsi="Times New Roman" w:eastAsia="Times New Roman"/>
          <w:b/>
          <w:color w:val="000000"/>
          <w:sz w:val="24"/>
          <w:szCs w:val="24"/>
          <w:lang w:eastAsia="ru-RU"/>
        </w:rPr>
      </w:pPr>
      <w:r>
        <w:rPr>
          <w:rFonts w:eastAsia="Times New Roman" w:ascii="Times New Roman" w:hAnsi="Times New Roman"/>
          <w:b/>
          <w:color w:val="000000"/>
          <w:sz w:val="24"/>
          <w:szCs w:val="24"/>
          <w:lang w:eastAsia="ru-RU"/>
        </w:rPr>
      </w:r>
    </w:p>
    <w:p>
      <w:pPr>
        <w:pStyle w:val="Normal"/>
        <w:widowControl/>
        <w:suppressAutoHyphens w:val="true"/>
        <w:bidi w:val="0"/>
        <w:spacing w:lineRule="auto" w:line="240" w:before="0" w:after="0"/>
        <w:ind w:firstLine="737" w:left="0" w:right="0"/>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Требования к качеству Товара</w:t>
      </w:r>
    </w:p>
    <w:p>
      <w:pPr>
        <w:pStyle w:val="Normal"/>
        <w:widowControl/>
        <w:suppressAutoHyphens w:val="true"/>
        <w:bidi w:val="0"/>
        <w:spacing w:lineRule="auto" w:line="240" w:before="0" w:after="0"/>
        <w:ind w:firstLine="737" w:left="0" w:right="0"/>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1. Общие требования</w:t>
      </w:r>
    </w:p>
    <w:p>
      <w:pPr>
        <w:pStyle w:val="Normal"/>
        <w:widowControl/>
        <w:suppressAutoHyphens w:val="true"/>
        <w:bidi w:val="0"/>
        <w:spacing w:lineRule="auto" w:line="240" w:before="0" w:after="0"/>
        <w:ind w:firstLine="737" w:left="0" w:right="0"/>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 xml:space="preserve">Поставщик гарантирует заказчику, что поставляемый товар соответствует требованиям качества и безопасности, установленным законодательством РФ,  что поставленные им картриджи принадлежат ему на законных основаниях, находятся в законном обороте. </w:t>
      </w:r>
    </w:p>
    <w:p>
      <w:pPr>
        <w:pStyle w:val="Normal"/>
        <w:widowControl/>
        <w:suppressAutoHyphens w:val="true"/>
        <w:bidi w:val="0"/>
        <w:spacing w:lineRule="auto" w:line="240" w:before="0" w:after="0"/>
        <w:ind w:firstLine="737" w:left="0" w:right="0"/>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Картриджи должны соответствовать требованиям безопасности и электробезопасности по ГОСТ 12.1.019-2017, ГОСТ 12.2.003-91, ГОСТ 12.2.003-91 и общим требованиям пожарной безопасности по ГОСТ 12.1.004-91.</w:t>
      </w:r>
    </w:p>
    <w:p>
      <w:pPr>
        <w:pStyle w:val="Normal"/>
        <w:widowControl/>
        <w:suppressAutoHyphens w:val="true"/>
        <w:bidi w:val="0"/>
        <w:spacing w:lineRule="auto" w:line="240" w:before="0" w:after="0"/>
        <w:ind w:firstLine="737" w:left="0" w:right="0"/>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 xml:space="preserve">Качество должно быть не ниже качества, указанного в технических характеристиках и должно быть сертифицировано по стандарту качества и экологической безопасности. </w:t>
      </w:r>
    </w:p>
    <w:p>
      <w:pPr>
        <w:pStyle w:val="Normal"/>
        <w:widowControl/>
        <w:suppressAutoHyphens w:val="true"/>
        <w:bidi w:val="0"/>
        <w:spacing w:lineRule="auto" w:line="240" w:before="0" w:after="0"/>
        <w:ind w:firstLine="737" w:left="0" w:right="0"/>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Товар должен быть полностью совместим с периферийными устройствами, которые являются оборудованием, используемым Заказчиком, согласно требованиям Заказчика,  бесперебойно работать на исправных данных периферийных устройствах.</w:t>
      </w:r>
    </w:p>
    <w:p>
      <w:pPr>
        <w:pStyle w:val="Normal"/>
        <w:widowControl/>
        <w:suppressAutoHyphens w:val="true"/>
        <w:bidi w:val="0"/>
        <w:spacing w:lineRule="auto" w:line="240" w:before="0" w:after="0"/>
        <w:ind w:firstLine="737" w:left="0" w:right="0"/>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Товар должен быть новым, без использования бывших в употреблении каких-либо частей, деталей или комплектующих изделий, ранее не использованным, не эксплуатировавшимся, не восставленным и неперезаправленным.</w:t>
      </w:r>
    </w:p>
    <w:p>
      <w:pPr>
        <w:pStyle w:val="Normal"/>
        <w:widowControl/>
        <w:suppressAutoHyphens w:val="true"/>
        <w:bidi w:val="0"/>
        <w:spacing w:lineRule="auto" w:line="240" w:before="0" w:after="0"/>
        <w:ind w:firstLine="737" w:left="0" w:right="0"/>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Комплектность поставляемого Товара должна соответствовать техническим требованиям, установленным  на конкретной модели периферийных устройств, используемой Заказчиком.</w:t>
      </w:r>
    </w:p>
    <w:p>
      <w:pPr>
        <w:pStyle w:val="Normal"/>
        <w:widowControl/>
        <w:suppressAutoHyphens w:val="true"/>
        <w:bidi w:val="0"/>
        <w:spacing w:lineRule="auto" w:line="240" w:before="0" w:after="0"/>
        <w:ind w:firstLine="737" w:left="0" w:right="0"/>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 xml:space="preserve">Контакты электрических цепей каждой единицы Товара не должны быть деформированы, на их поверхностях не должно быть загрязнений и дефектов покрытия. </w:t>
      </w:r>
    </w:p>
    <w:p>
      <w:pPr>
        <w:pStyle w:val="Normal"/>
        <w:widowControl/>
        <w:suppressAutoHyphens w:val="true"/>
        <w:bidi w:val="0"/>
        <w:spacing w:lineRule="auto" w:line="240" w:before="0" w:after="0"/>
        <w:ind w:firstLine="737" w:left="0" w:right="0"/>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Подвижные элементы каждой единицы Товара должны легко перемещаться, без перекосов и заеданий.</w:t>
      </w:r>
    </w:p>
    <w:p>
      <w:pPr>
        <w:pStyle w:val="Normal"/>
        <w:widowControl/>
        <w:suppressAutoHyphens w:val="true"/>
        <w:bidi w:val="0"/>
        <w:spacing w:lineRule="auto" w:line="240" w:before="0" w:after="0"/>
        <w:ind w:firstLine="737" w:left="0" w:right="0"/>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Каждая единица Товара должна быть снабжена чекой (защитной лентой для герметизации, если это предусмотрено конструкцией картриджа), предотвращающей попадание тонера из тонер-бункера на внутренние части картриджа и его просыпание во внешнюю среду во время хранения и транспортировки. Чека не должна быть подклеена к корпусу картриджа.</w:t>
      </w:r>
    </w:p>
    <w:p>
      <w:pPr>
        <w:pStyle w:val="Normal"/>
        <w:widowControl/>
        <w:suppressAutoHyphens w:val="true"/>
        <w:bidi w:val="0"/>
        <w:spacing w:lineRule="auto" w:line="240" w:before="0" w:after="0"/>
        <w:ind w:firstLine="737" w:left="0" w:right="0"/>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 xml:space="preserve">Дефектной считается единица Товара, имеющая следующие признаки некачественной продукции: </w:t>
      </w:r>
    </w:p>
    <w:p>
      <w:pPr>
        <w:pStyle w:val="Normal"/>
        <w:widowControl/>
        <w:suppressAutoHyphens w:val="true"/>
        <w:bidi w:val="0"/>
        <w:spacing w:lineRule="auto" w:line="240" w:before="0" w:after="0"/>
        <w:ind w:firstLine="737" w:left="0" w:right="0"/>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 </w:t>
      </w:r>
      <w:r>
        <w:rPr>
          <w:rFonts w:eastAsia="Calibri" w:cs="Times New Roman" w:ascii="Times New Roman" w:hAnsi="Times New Roman" w:eastAsiaTheme="minorHAnsi"/>
          <w:color w:val="auto"/>
          <w:kern w:val="0"/>
          <w:sz w:val="24"/>
          <w:szCs w:val="24"/>
          <w:lang w:val="ru-RU" w:eastAsia="ru-RU" w:bidi="ar-SA"/>
        </w:rPr>
        <w:t xml:space="preserve">высыпание тонера, как при наличии, так и со снятой блокировочной лентой; </w:t>
      </w:r>
    </w:p>
    <w:p>
      <w:pPr>
        <w:pStyle w:val="Normal"/>
        <w:widowControl/>
        <w:suppressAutoHyphens w:val="true"/>
        <w:bidi w:val="0"/>
        <w:spacing w:lineRule="auto" w:line="240" w:before="0" w:after="0"/>
        <w:ind w:firstLine="737" w:left="0" w:right="0"/>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 </w:t>
      </w:r>
      <w:r>
        <w:rPr>
          <w:rFonts w:eastAsia="Calibri" w:cs="Times New Roman" w:ascii="Times New Roman" w:hAnsi="Times New Roman" w:eastAsiaTheme="minorHAnsi"/>
          <w:color w:val="auto"/>
          <w:kern w:val="0"/>
          <w:sz w:val="24"/>
          <w:szCs w:val="24"/>
          <w:lang w:val="ru-RU" w:eastAsia="ru-RU" w:bidi="ar-SA"/>
        </w:rPr>
        <w:t xml:space="preserve">наличие царапин, потёртостей, неравномерностей фоточувствительного слоя фотобарабана при наличии блокировочной ленты; </w:t>
      </w:r>
    </w:p>
    <w:p>
      <w:pPr>
        <w:pStyle w:val="Normal"/>
        <w:widowControl/>
        <w:suppressAutoHyphens w:val="true"/>
        <w:bidi w:val="0"/>
        <w:spacing w:lineRule="auto" w:line="240" w:before="0" w:after="0"/>
        <w:ind w:firstLine="737" w:left="0" w:right="0"/>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 </w:t>
      </w:r>
      <w:r>
        <w:rPr>
          <w:rFonts w:eastAsia="Calibri" w:cs="Times New Roman" w:ascii="Times New Roman" w:hAnsi="Times New Roman" w:eastAsiaTheme="minorHAnsi"/>
          <w:color w:val="auto"/>
          <w:kern w:val="0"/>
          <w:sz w:val="24"/>
          <w:szCs w:val="24"/>
          <w:lang w:val="ru-RU" w:eastAsia="ru-RU" w:bidi="ar-SA"/>
        </w:rPr>
        <w:t>светочувствительный барабан, магнитный вал, шестерни и ролики единицы Товара имеют следы просыпания тонера;</w:t>
      </w:r>
    </w:p>
    <w:p>
      <w:pPr>
        <w:pStyle w:val="Normal"/>
        <w:widowControl/>
        <w:suppressAutoHyphens w:val="true"/>
        <w:bidi w:val="0"/>
        <w:spacing w:lineRule="auto" w:line="240" w:before="0" w:after="0"/>
        <w:ind w:firstLine="737" w:left="0" w:right="0"/>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 </w:t>
      </w:r>
      <w:r>
        <w:rPr>
          <w:rFonts w:eastAsia="Calibri" w:cs="Times New Roman" w:ascii="Times New Roman" w:hAnsi="Times New Roman" w:eastAsiaTheme="minorHAnsi"/>
          <w:color w:val="auto"/>
          <w:kern w:val="0"/>
          <w:sz w:val="24"/>
          <w:szCs w:val="24"/>
          <w:lang w:val="ru-RU" w:eastAsia="ru-RU" w:bidi="ar-SA"/>
        </w:rPr>
        <w:t xml:space="preserve">наличие следов использования (царапины, потёртости, следы удаления чеки) на пластиковых частях корпуса; </w:t>
      </w:r>
    </w:p>
    <w:p>
      <w:pPr>
        <w:pStyle w:val="Normal"/>
        <w:widowControl/>
        <w:suppressAutoHyphens w:val="true"/>
        <w:bidi w:val="0"/>
        <w:spacing w:lineRule="auto" w:line="240" w:before="0" w:after="0"/>
        <w:ind w:firstLine="737" w:left="0" w:right="0"/>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 </w:t>
      </w:r>
      <w:r>
        <w:rPr>
          <w:rFonts w:eastAsia="Calibri" w:cs="Times New Roman" w:ascii="Times New Roman" w:hAnsi="Times New Roman" w:eastAsiaTheme="minorHAnsi"/>
          <w:color w:val="auto"/>
          <w:kern w:val="0"/>
          <w:sz w:val="24"/>
          <w:szCs w:val="24"/>
          <w:lang w:val="ru-RU" w:eastAsia="ru-RU" w:bidi="ar-SA"/>
        </w:rPr>
        <w:t xml:space="preserve">загрязнение тонером внутренней или внешней поверхности упаковочного пакета единицы Товара; </w:t>
      </w:r>
    </w:p>
    <w:p>
      <w:pPr>
        <w:pStyle w:val="Normal"/>
        <w:widowControl/>
        <w:suppressAutoHyphens w:val="true"/>
        <w:bidi w:val="0"/>
        <w:spacing w:lineRule="auto" w:line="240" w:before="0" w:after="0"/>
        <w:ind w:firstLine="737" w:left="0" w:right="0"/>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 </w:t>
      </w:r>
      <w:r>
        <w:rPr>
          <w:rFonts w:eastAsia="Calibri" w:cs="Times New Roman" w:ascii="Times New Roman" w:hAnsi="Times New Roman" w:eastAsiaTheme="minorHAnsi"/>
          <w:color w:val="auto"/>
          <w:kern w:val="0"/>
          <w:sz w:val="24"/>
          <w:szCs w:val="24"/>
          <w:lang w:val="ru-RU" w:eastAsia="ru-RU" w:bidi="ar-SA"/>
        </w:rPr>
        <w:t xml:space="preserve">обрыв блокировочной ленты при попытке её удаления; </w:t>
      </w:r>
    </w:p>
    <w:p>
      <w:pPr>
        <w:pStyle w:val="Normal"/>
        <w:widowControl/>
        <w:suppressAutoHyphens w:val="true"/>
        <w:bidi w:val="0"/>
        <w:spacing w:lineRule="auto" w:line="240" w:before="0" w:after="0"/>
        <w:ind w:firstLine="737" w:left="0" w:right="0"/>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 </w:t>
      </w:r>
      <w:r>
        <w:rPr>
          <w:rFonts w:eastAsia="Calibri" w:cs="Times New Roman" w:ascii="Times New Roman" w:hAnsi="Times New Roman" w:eastAsiaTheme="minorHAnsi"/>
          <w:color w:val="auto"/>
          <w:kern w:val="0"/>
          <w:sz w:val="24"/>
          <w:szCs w:val="24"/>
          <w:lang w:val="ru-RU" w:eastAsia="ru-RU" w:bidi="ar-SA"/>
        </w:rPr>
        <w:t xml:space="preserve">чека блокировочной ленты не составляет единого целого с боковой крышкой единицы Товар, изготовлена из пластмассы другой консистенции, либо приклеена; </w:t>
      </w:r>
    </w:p>
    <w:p>
      <w:pPr>
        <w:pStyle w:val="Normal"/>
        <w:widowControl/>
        <w:suppressAutoHyphens w:val="true"/>
        <w:bidi w:val="0"/>
        <w:spacing w:lineRule="auto" w:line="240" w:before="0" w:after="0"/>
        <w:ind w:firstLine="737" w:left="0" w:right="0"/>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 </w:t>
      </w:r>
      <w:r>
        <w:rPr>
          <w:rFonts w:eastAsia="Calibri" w:cs="Times New Roman" w:ascii="Times New Roman" w:hAnsi="Times New Roman" w:eastAsiaTheme="minorHAnsi"/>
          <w:color w:val="auto"/>
          <w:kern w:val="0"/>
          <w:sz w:val="24"/>
          <w:szCs w:val="24"/>
          <w:lang w:val="ru-RU" w:eastAsia="ru-RU" w:bidi="ar-SA"/>
        </w:rPr>
        <w:t>при попытке удаления блокировочной ленты вместе с чекой удаляется фрагмент боковой крышки корпуса единицы Товара.</w:t>
      </w:r>
    </w:p>
    <w:p>
      <w:pPr>
        <w:pStyle w:val="Normal"/>
        <w:widowControl/>
        <w:suppressAutoHyphens w:val="true"/>
        <w:bidi w:val="0"/>
        <w:spacing w:lineRule="auto" w:line="240" w:before="0" w:after="0"/>
        <w:ind w:firstLine="737" w:left="0" w:right="0"/>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При использовании единицы Товара исправный принтер должен выдавать четко отпечатанный первый лист, без посторонних пятен, полос, размазанностей, размытостей.</w:t>
      </w:r>
    </w:p>
    <w:p>
      <w:pPr>
        <w:pStyle w:val="Normal"/>
        <w:widowControl/>
        <w:suppressAutoHyphens w:val="true"/>
        <w:bidi w:val="0"/>
        <w:spacing w:lineRule="auto" w:line="240" w:before="0" w:after="0"/>
        <w:ind w:firstLine="737" w:left="0" w:right="0"/>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Дефектной считается единица Товара, обеспечивающая неудовлетворительное качество печати, которое характеризуется следующими признаками:</w:t>
      </w:r>
    </w:p>
    <w:p>
      <w:pPr>
        <w:pStyle w:val="Normal"/>
        <w:widowControl/>
        <w:suppressAutoHyphens w:val="true"/>
        <w:bidi w:val="0"/>
        <w:spacing w:lineRule="auto" w:line="240" w:before="0" w:after="0"/>
        <w:ind w:firstLine="737" w:left="0" w:right="0"/>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 </w:t>
      </w:r>
      <w:r>
        <w:rPr>
          <w:rFonts w:eastAsia="Calibri" w:cs="Times New Roman" w:ascii="Times New Roman" w:hAnsi="Times New Roman" w:eastAsiaTheme="minorHAnsi"/>
          <w:color w:val="auto"/>
          <w:kern w:val="0"/>
          <w:sz w:val="24"/>
          <w:szCs w:val="24"/>
          <w:lang w:val="ru-RU" w:eastAsia="ru-RU" w:bidi="ar-SA"/>
        </w:rPr>
        <w:t xml:space="preserve">наличие точек, полос тёмного или светлого цвета вдоль или поперёк отпечатка; </w:t>
      </w:r>
    </w:p>
    <w:p>
      <w:pPr>
        <w:pStyle w:val="Normal"/>
        <w:widowControl/>
        <w:suppressAutoHyphens w:val="true"/>
        <w:bidi w:val="0"/>
        <w:spacing w:lineRule="auto" w:line="240" w:before="0" w:after="0"/>
        <w:ind w:firstLine="737" w:left="0" w:right="0"/>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 </w:t>
      </w:r>
      <w:r>
        <w:rPr>
          <w:rFonts w:eastAsia="Calibri" w:cs="Times New Roman" w:ascii="Times New Roman" w:hAnsi="Times New Roman" w:eastAsiaTheme="minorHAnsi"/>
          <w:color w:val="auto"/>
          <w:kern w:val="0"/>
          <w:sz w:val="24"/>
          <w:szCs w:val="24"/>
          <w:lang w:val="ru-RU" w:eastAsia="ru-RU" w:bidi="ar-SA"/>
        </w:rPr>
        <w:t xml:space="preserve">повторяющийся тёмный отпечаток фонового характера убывающей насыщенности по длине отпечатка; </w:t>
      </w:r>
    </w:p>
    <w:p>
      <w:pPr>
        <w:pStyle w:val="Normal"/>
        <w:spacing w:lineRule="auto" w:line="240" w:before="0" w:after="0"/>
        <w:ind w:firstLine="567"/>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 </w:t>
      </w:r>
      <w:r>
        <w:rPr>
          <w:rFonts w:eastAsia="Calibri" w:cs="Times New Roman" w:ascii="Times New Roman" w:hAnsi="Times New Roman" w:eastAsiaTheme="minorHAnsi"/>
          <w:color w:val="auto"/>
          <w:kern w:val="0"/>
          <w:sz w:val="24"/>
          <w:szCs w:val="24"/>
          <w:lang w:val="ru-RU" w:eastAsia="ru-RU" w:bidi="ar-SA"/>
        </w:rPr>
        <w:t xml:space="preserve">тёмные, вплоть до чёрных, линии по краям отпечатка; </w:t>
      </w:r>
    </w:p>
    <w:p>
      <w:pPr>
        <w:pStyle w:val="Normal"/>
        <w:spacing w:lineRule="auto" w:line="240" w:before="0" w:after="0"/>
        <w:ind w:firstLine="567"/>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 </w:t>
      </w:r>
      <w:r>
        <w:rPr>
          <w:rFonts w:eastAsia="Calibri" w:cs="Times New Roman" w:ascii="Times New Roman" w:hAnsi="Times New Roman" w:eastAsiaTheme="minorHAnsi"/>
          <w:color w:val="auto"/>
          <w:kern w:val="0"/>
          <w:sz w:val="24"/>
          <w:szCs w:val="24"/>
          <w:lang w:val="ru-RU" w:eastAsia="ru-RU" w:bidi="ar-SA"/>
        </w:rPr>
        <w:t xml:space="preserve">периодически повторяющиеся пятна тёмного или светлого тона; </w:t>
      </w:r>
    </w:p>
    <w:p>
      <w:pPr>
        <w:pStyle w:val="Normal"/>
        <w:spacing w:lineRule="auto" w:line="240" w:before="0" w:after="0"/>
        <w:ind w:firstLine="567"/>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 </w:t>
      </w:r>
      <w:r>
        <w:rPr>
          <w:rFonts w:eastAsia="Calibri" w:cs="Times New Roman" w:ascii="Times New Roman" w:hAnsi="Times New Roman" w:eastAsiaTheme="minorHAnsi"/>
          <w:color w:val="auto"/>
          <w:kern w:val="0"/>
          <w:sz w:val="24"/>
          <w:szCs w:val="24"/>
          <w:lang w:val="ru-RU" w:eastAsia="ru-RU" w:bidi="ar-SA"/>
        </w:rPr>
        <w:t xml:space="preserve">рельефная печать; </w:t>
      </w:r>
    </w:p>
    <w:p>
      <w:pPr>
        <w:pStyle w:val="Normal"/>
        <w:spacing w:lineRule="auto" w:line="240" w:before="0" w:after="0"/>
        <w:ind w:firstLine="567"/>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 </w:t>
      </w:r>
      <w:r>
        <w:rPr>
          <w:rFonts w:eastAsia="Calibri" w:cs="Times New Roman" w:ascii="Times New Roman" w:hAnsi="Times New Roman" w:eastAsiaTheme="minorHAnsi"/>
          <w:color w:val="auto"/>
          <w:kern w:val="0"/>
          <w:sz w:val="24"/>
          <w:szCs w:val="24"/>
          <w:lang w:val="ru-RU" w:eastAsia="ru-RU" w:bidi="ar-SA"/>
        </w:rPr>
        <w:t xml:space="preserve">неравномерная заливка участков равномерной интенсивности; </w:t>
      </w:r>
    </w:p>
    <w:p>
      <w:pPr>
        <w:pStyle w:val="Normal"/>
        <w:spacing w:lineRule="auto" w:line="240" w:before="0" w:after="0"/>
        <w:ind w:firstLine="567"/>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 </w:t>
      </w:r>
      <w:r>
        <w:rPr>
          <w:rFonts w:eastAsia="Calibri" w:cs="Times New Roman" w:ascii="Times New Roman" w:hAnsi="Times New Roman" w:eastAsiaTheme="minorHAnsi"/>
          <w:color w:val="auto"/>
          <w:kern w:val="0"/>
          <w:sz w:val="24"/>
          <w:szCs w:val="24"/>
          <w:lang w:val="ru-RU" w:eastAsia="ru-RU" w:bidi="ar-SA"/>
        </w:rPr>
        <w:t xml:space="preserve">пониженная контрастность, насыщенность отпечатка; серая полоса вдоль всего отпечатка переменной либо постоянной интенсивности; </w:t>
      </w:r>
    </w:p>
    <w:p>
      <w:pPr>
        <w:pStyle w:val="Normal"/>
        <w:spacing w:lineRule="auto" w:line="240" w:before="0" w:after="0"/>
        <w:ind w:firstLine="567"/>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 </w:t>
      </w:r>
      <w:r>
        <w:rPr>
          <w:rFonts w:eastAsia="Calibri" w:cs="Times New Roman" w:ascii="Times New Roman" w:hAnsi="Times New Roman" w:eastAsiaTheme="minorHAnsi"/>
          <w:color w:val="auto"/>
          <w:kern w:val="0"/>
          <w:sz w:val="24"/>
          <w:szCs w:val="24"/>
          <w:lang w:val="ru-RU" w:eastAsia="ru-RU" w:bidi="ar-SA"/>
        </w:rPr>
        <w:t xml:space="preserve">завороты либо отсутствие текста по краям отпечатка; </w:t>
      </w:r>
    </w:p>
    <w:p>
      <w:pPr>
        <w:pStyle w:val="Normal"/>
        <w:spacing w:lineRule="auto" w:line="240" w:before="0" w:after="0"/>
        <w:ind w:firstLine="567"/>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 </w:t>
      </w:r>
      <w:r>
        <w:rPr>
          <w:rFonts w:eastAsia="Calibri" w:cs="Times New Roman" w:ascii="Times New Roman" w:hAnsi="Times New Roman" w:eastAsiaTheme="minorHAnsi"/>
          <w:color w:val="auto"/>
          <w:kern w:val="0"/>
          <w:sz w:val="24"/>
          <w:szCs w:val="24"/>
          <w:lang w:val="ru-RU" w:eastAsia="ru-RU" w:bidi="ar-SA"/>
        </w:rPr>
        <w:t xml:space="preserve">текст, графические изображения размазываются по листу, осыпаются с листа; </w:t>
      </w:r>
    </w:p>
    <w:p>
      <w:pPr>
        <w:pStyle w:val="Normal"/>
        <w:spacing w:lineRule="auto" w:line="240" w:before="0" w:after="0"/>
        <w:ind w:firstLine="567"/>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 </w:t>
      </w:r>
      <w:r>
        <w:rPr>
          <w:rFonts w:eastAsia="Calibri" w:cs="Times New Roman" w:ascii="Times New Roman" w:hAnsi="Times New Roman" w:eastAsiaTheme="minorHAnsi"/>
          <w:color w:val="auto"/>
          <w:kern w:val="0"/>
          <w:sz w:val="24"/>
          <w:szCs w:val="24"/>
          <w:lang w:val="ru-RU" w:eastAsia="ru-RU" w:bidi="ar-SA"/>
        </w:rPr>
        <w:t>не пропечатывается микрошрифт либо печатается с искажениями.</w:t>
      </w:r>
    </w:p>
    <w:p>
      <w:pPr>
        <w:pStyle w:val="Normal"/>
        <w:widowControl/>
        <w:suppressAutoHyphens w:val="true"/>
        <w:bidi w:val="0"/>
        <w:spacing w:lineRule="auto" w:line="240" w:before="0" w:after="0"/>
        <w:ind w:firstLine="680" w:left="0" w:right="0"/>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Требуется 100 % качество печати (идентичное или превышающее качество отпечатка стартового картриджа для каждого принтера) на госбланках, документах строгой отчетности и в режиме полутонов, недопустимо наличие серого фона любых тональностей в местах, где должен быть чисто белый лист с момента установки нового картриджа, т.е. абсолютное отсутствие потери качества печати во всех режимах работы оборудования. Не допускаются следы тонера на фотобарабане. Цвет фотобарабана должен соответствовать цвету фотобарабана фирмы-производителя.</w:t>
      </w:r>
    </w:p>
    <w:p>
      <w:pPr>
        <w:pStyle w:val="Normal"/>
        <w:widowControl/>
        <w:suppressAutoHyphens w:val="true"/>
        <w:bidi w:val="0"/>
        <w:spacing w:lineRule="auto" w:line="240" w:before="0" w:after="0"/>
        <w:ind w:firstLine="680" w:left="0" w:right="0"/>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 xml:space="preserve">Проверка соответствия картриджей техническому заданию проводится путем вскрытия до  20 % упаковок картриджей. Так же может производиться пробная печать на этих картриджах. При обнаружении несоответствия данным требованиям хотя бы одной единицы картриджа по одной из позиции, вся партия может быть возвращена Поставщику с последующей выплатой неустойки государственному заказчику. Представитель Поставщика имеет право присутствовать при приемке картриджей. </w:t>
      </w:r>
    </w:p>
    <w:p>
      <w:pPr>
        <w:pStyle w:val="Normal"/>
        <w:widowControl/>
        <w:suppressAutoHyphens w:val="true"/>
        <w:bidi w:val="0"/>
        <w:spacing w:lineRule="auto" w:line="240" w:before="0" w:after="0"/>
        <w:ind w:firstLine="737" w:left="0" w:right="0"/>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2. Требования к комплектности Товара.</w:t>
      </w:r>
    </w:p>
    <w:p>
      <w:pPr>
        <w:pStyle w:val="Normal"/>
        <w:widowControl/>
        <w:suppressAutoHyphens w:val="true"/>
        <w:bidi w:val="0"/>
        <w:spacing w:lineRule="auto" w:line="240" w:before="0" w:after="0"/>
        <w:ind w:firstLine="737" w:left="0" w:right="0"/>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Товар должен быть укомплектован технической документацией на русском языке (далее –Техническая документация).</w:t>
      </w:r>
    </w:p>
    <w:p>
      <w:pPr>
        <w:pStyle w:val="Normal"/>
        <w:widowControl/>
        <w:suppressAutoHyphens w:val="true"/>
        <w:bidi w:val="0"/>
        <w:spacing w:lineRule="auto" w:line="240" w:before="0" w:after="0"/>
        <w:ind w:firstLine="737" w:left="0" w:right="0"/>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3. Требования к упаковке Товара</w:t>
      </w:r>
    </w:p>
    <w:p>
      <w:pPr>
        <w:pStyle w:val="Normal"/>
        <w:spacing w:lineRule="auto" w:line="240" w:before="0" w:after="0"/>
        <w:ind w:firstLine="567"/>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 xml:space="preserve"> </w:t>
      </w:r>
      <w:r>
        <w:rPr>
          <w:rFonts w:eastAsia="Calibri" w:cs="Times New Roman" w:ascii="Times New Roman" w:hAnsi="Times New Roman" w:eastAsiaTheme="minorHAnsi"/>
          <w:color w:val="auto"/>
          <w:kern w:val="0"/>
          <w:sz w:val="24"/>
          <w:szCs w:val="24"/>
          <w:lang w:val="ru-RU" w:eastAsia="ru-RU" w:bidi="ar-SA"/>
        </w:rPr>
        <w:t>Товар должны быть упакованы заводским способом в электростатический, герметичный пакет из полимерного материала, при этом пакеты для картриджей с барабанами должны быть непрозрачными, магнитный вал картриджа (при наличии) должен быть снабжен пластиковым защитным кожухом. Внутренняя поверхность пакета не должна иметь следов просыпания тонера во внешнюю среду.</w:t>
      </w:r>
    </w:p>
    <w:p>
      <w:pPr>
        <w:pStyle w:val="Normal"/>
        <w:spacing w:lineRule="auto" w:line="240" w:before="0" w:after="0"/>
        <w:ind w:firstLine="567"/>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 xml:space="preserve"> </w:t>
      </w:r>
      <w:r>
        <w:rPr>
          <w:rFonts w:eastAsia="Calibri" w:cs="Times New Roman" w:ascii="Times New Roman" w:hAnsi="Times New Roman" w:eastAsiaTheme="minorHAnsi"/>
          <w:color w:val="auto"/>
          <w:kern w:val="0"/>
          <w:sz w:val="24"/>
          <w:szCs w:val="24"/>
          <w:lang w:val="ru-RU" w:eastAsia="ru-RU" w:bidi="ar-SA"/>
        </w:rPr>
        <w:t>Упакованный в пакет картридж должен быть помещен в индивидуальную картонную коробку, снабженную в зависимости от модели вкладышами (контейнерами), исключающими его перемещение внутри коробки, и не имеющую следов вскрытий, вмятин и порезов, повреждений и обеспечивающую сохранность при погрузке, разгрузке, транспортировке и хранении.</w:t>
      </w:r>
    </w:p>
    <w:p>
      <w:pPr>
        <w:pStyle w:val="Normal"/>
        <w:spacing w:lineRule="auto" w:line="240" w:before="0" w:after="0"/>
        <w:ind w:firstLine="567"/>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На картриджах не должны присутствовать следы чернил или тонера. Вся маркировка на упаковку каждого картриджа должна быть нанесена типографским способом, обеспечивающим четкость и сохранность маркировки в течение всего срока эксплуатации.</w:t>
      </w:r>
    </w:p>
    <w:p>
      <w:pPr>
        <w:pStyle w:val="Normal"/>
        <w:spacing w:lineRule="auto" w:line="240" w:before="0" w:after="0"/>
        <w:ind w:firstLine="567"/>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 xml:space="preserve"> </w:t>
      </w:r>
      <w:r>
        <w:rPr>
          <w:rFonts w:eastAsia="Calibri" w:cs="Times New Roman" w:ascii="Times New Roman" w:hAnsi="Times New Roman" w:eastAsiaTheme="minorHAnsi"/>
          <w:color w:val="auto"/>
          <w:kern w:val="0"/>
          <w:sz w:val="24"/>
          <w:szCs w:val="24"/>
          <w:lang w:val="ru-RU" w:eastAsia="ru-RU" w:bidi="ar-SA"/>
        </w:rPr>
        <w:t>Упаковка и маркировка Товара должна содержать (в случаях, если предусмотрено производителем):</w:t>
      </w:r>
    </w:p>
    <w:p>
      <w:pPr>
        <w:pStyle w:val="Normal"/>
        <w:spacing w:lineRule="auto" w:line="240" w:before="0" w:after="0"/>
        <w:ind w:firstLine="567"/>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 товарный знак, наименование компании-производителя, наименование одной или более моделей принтеров, в которых может быть использован картридж, номер партии на упаковке и корпусе картриджа, дата изготовления;</w:t>
      </w:r>
    </w:p>
    <w:p>
      <w:pPr>
        <w:pStyle w:val="Normal"/>
        <w:spacing w:lineRule="auto" w:line="240" w:before="0" w:after="0"/>
        <w:ind w:firstLine="567"/>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 голограммы, защитные пломбы, марки, содержащие все элементы защиты от подделок (микротекст, изменяемый под углом зрения цвет логотипа, термополоса);</w:t>
      </w:r>
    </w:p>
    <w:p>
      <w:pPr>
        <w:pStyle w:val="Normal"/>
        <w:spacing w:lineRule="auto" w:line="240" w:before="0" w:after="0"/>
        <w:ind w:firstLine="567"/>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 номер партии, серийный номер на коробке и на картридже должны совпадать.</w:t>
      </w:r>
    </w:p>
    <w:p>
      <w:pPr>
        <w:pStyle w:val="Normal"/>
        <w:spacing w:lineRule="auto" w:line="240" w:before="0" w:after="0"/>
        <w:ind w:firstLine="567"/>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 xml:space="preserve">-Картонная коробка каждой единицы Товара должна содержать отрывную, прорубленную ленту для быстрого первоначального открытия коробки, в предусмотренных производителем случаях. </w:t>
      </w:r>
    </w:p>
    <w:p>
      <w:pPr>
        <w:pStyle w:val="Normal"/>
        <w:spacing w:lineRule="auto" w:line="240" w:before="0" w:after="0"/>
        <w:ind w:firstLine="567"/>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Этикетки и наклейки должны быть четкими, чистыми и хорошо читаемыми. На этикетках и поверхностях каждой единицы Товара отсутствуют посторонние надписи и пометки, а так же посторонние этикетки.</w:t>
      </w:r>
    </w:p>
    <w:p>
      <w:pPr>
        <w:pStyle w:val="Normal"/>
        <w:spacing w:lineRule="auto" w:line="240" w:before="0" w:after="0"/>
        <w:ind w:firstLine="567"/>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Номер партии, проставленный на картонной коробке каждой единицы Товара, должен совпадать с номером партии, проставленным на единице Товара (допускается совпадение только первых пяти символов).</w:t>
      </w:r>
    </w:p>
    <w:p>
      <w:pPr>
        <w:pStyle w:val="Normal"/>
        <w:spacing w:lineRule="auto" w:line="240" w:before="0" w:after="0"/>
        <w:ind w:firstLine="567"/>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Упаковка (тара) Товара и комплектующих его изделий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и/или его комплектующих изделий (опись, упаковочные ярлыки или листы) в соответствии с законодательством Российской Федерации.</w:t>
      </w:r>
    </w:p>
    <w:p>
      <w:pPr>
        <w:pStyle w:val="Normal"/>
        <w:spacing w:lineRule="auto" w:line="240" w:before="0" w:after="0"/>
        <w:ind w:firstLine="567"/>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 </w:t>
      </w:r>
      <w:r>
        <w:rPr>
          <w:rFonts w:eastAsia="Calibri" w:cs="Times New Roman" w:ascii="Times New Roman" w:hAnsi="Times New Roman" w:eastAsiaTheme="minorHAnsi"/>
          <w:color w:val="auto"/>
          <w:kern w:val="0"/>
          <w:sz w:val="24"/>
          <w:szCs w:val="24"/>
          <w:lang w:val="ru-RU" w:eastAsia="ru-RU" w:bidi="ar-SA"/>
        </w:rPr>
        <w:t>4. Гарантийный срок на товар  и гарантии качества</w:t>
      </w:r>
    </w:p>
    <w:p>
      <w:pPr>
        <w:pStyle w:val="Normal"/>
        <w:spacing w:lineRule="auto" w:line="240" w:before="0" w:after="0"/>
        <w:ind w:firstLine="567"/>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Срок гарантии качества на поставляемый по контракту товар составляет не менее 12 (двенадцати)  месяцев с даты подписания документа о приемке в ЕИС, но не менее чем срок действия гарантии производителя данного товара, при этом предоставление такой гарантии осуществляется вместе с товаром.  Срок выпуска картриджей  не ранее 2026 год</w:t>
      </w:r>
    </w:p>
    <w:p>
      <w:pPr>
        <w:pStyle w:val="Normal"/>
        <w:spacing w:lineRule="auto" w:line="240" w:before="0" w:after="0"/>
        <w:ind w:firstLine="567"/>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В период гарантийного срока Поставщик обязан за свой счет проводить необходимый ремонт, устранение недостатков, в соответствии с требованиями действующего законодательства.</w:t>
      </w:r>
    </w:p>
    <w:p>
      <w:pPr>
        <w:pStyle w:val="Normal"/>
        <w:spacing w:lineRule="auto" w:line="240" w:before="0" w:after="0"/>
        <w:ind w:firstLine="567"/>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При поставке не качественного товара(просроченный срок гарантии производителя, поврежденный, не соответствующий техническому заданию, спецификации и т.д.) поставщик заменяет за свой счет данный товар на товар надлежащего качества в течение 5 (пяти) рабочих дней.</w:t>
      </w:r>
    </w:p>
    <w:p>
      <w:pPr>
        <w:pStyle w:val="Normal"/>
        <w:spacing w:lineRule="auto" w:line="240" w:before="0" w:after="0"/>
        <w:ind w:firstLine="567"/>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В случае выхода из строя отдельных узлов и комплектующих поставленной продукции до истечения гарантийного срока, при соблюдении заказчиком правил её эксплуатации, поставщик заменяет за свой счет данный товар на товар надлежащего качества в течение 30 (тридцати) дней с даты получения от заказчика письменного обращения с соответствующим мотивированным требованием.</w:t>
      </w:r>
    </w:p>
    <w:p>
      <w:pPr>
        <w:pStyle w:val="Normal"/>
        <w:spacing w:lineRule="auto" w:line="240" w:before="0" w:after="0"/>
        <w:ind w:firstLine="567"/>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5. Срок, место поставки Товара</w:t>
      </w:r>
    </w:p>
    <w:p>
      <w:pPr>
        <w:pStyle w:val="Normal"/>
        <w:widowControl/>
        <w:suppressAutoHyphens w:val="true"/>
        <w:bidi w:val="0"/>
        <w:spacing w:lineRule="auto" w:line="240" w:before="0" w:after="0"/>
        <w:ind w:firstLine="737" w:left="0" w:right="0"/>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Место поставки товара: г. Москва, проспект Мира, д. 105, стр. 1, 6 этаж – отдел материально-технического обеспечения, склад), доставка , разгрузка до места складирования осуществляется силами и средствами поставщика.</w:t>
      </w:r>
    </w:p>
    <w:p>
      <w:pPr>
        <w:pStyle w:val="Normal"/>
        <w:widowControl/>
        <w:suppressAutoHyphens w:val="true"/>
        <w:bidi w:val="0"/>
        <w:spacing w:lineRule="auto" w:line="240" w:before="0" w:after="0"/>
        <w:ind w:firstLine="737" w:left="0" w:right="0"/>
        <w:jc w:val="both"/>
        <w:rPr>
          <w:rFonts w:ascii="Times New Roman" w:hAnsi="Times New Roman" w:eastAsia="Calibri" w:cs="Times New Roman" w:eastAsiaTheme="minorHAnsi"/>
          <w:color w:val="auto"/>
          <w:kern w:val="0"/>
          <w:sz w:val="24"/>
          <w:szCs w:val="24"/>
          <w:lang w:val="ru-RU" w:eastAsia="ru-RU" w:bidi="ar-SA"/>
        </w:rPr>
      </w:pPr>
      <w:r>
        <w:rPr>
          <w:rFonts w:eastAsia="Calibri" w:cs="Times New Roman" w:ascii="Times New Roman" w:hAnsi="Times New Roman" w:eastAsiaTheme="minorHAnsi"/>
          <w:color w:val="auto"/>
          <w:kern w:val="0"/>
          <w:sz w:val="24"/>
          <w:szCs w:val="24"/>
          <w:lang w:val="ru-RU" w:eastAsia="ru-RU" w:bidi="ar-SA"/>
        </w:rPr>
        <w:t>Срок поставки товара  в 2027  году в течение 10 (десяти) рабочих дней с даты  единовременно одной партией (в случае отсутствия каких либо позиций, заказчик не принимает товар.) с даты  получения от заказчика заявки  на  адрес электронной почты поставщика указанный в контракте. Ориентировочный срок направления заявки Заказчиком второй квартал 2027г. В случае отсутствия каких либо позиций , заказчик не принимает товар. Поставка в рабочие дни(с понедельника по четверг) с 10.00 до 17.00(время московское), обед с 13.00 до 13.45, пятница с 09.00 до 15.00.</w:t>
      </w:r>
    </w:p>
    <w:p>
      <w:pPr>
        <w:pStyle w:val="Normal"/>
        <w:spacing w:lineRule="auto" w:line="240" w:before="0" w:after="0"/>
        <w:ind w:firstLine="708"/>
        <w:jc w:val="both"/>
        <w:rPr/>
      </w:pPr>
      <w:r>
        <w:rPr>
          <w:rFonts w:ascii="Times New Roman" w:hAnsi="Times New Roman"/>
          <w:sz w:val="24"/>
          <w:szCs w:val="24"/>
          <w:lang w:eastAsia="ru-RU"/>
        </w:rPr>
        <w:t>В процессе эксплуатации картриджей не должно происходить просыпание тонера внутрь принтера и попадание в окружающую среду. При эксплуатации картриджи не должны приводить к поломке оборудования, в котором они эксплуатируются.</w:t>
      </w:r>
    </w:p>
    <w:p>
      <w:pPr>
        <w:pStyle w:val="Normal"/>
        <w:spacing w:lineRule="auto" w:line="240" w:before="0" w:after="0"/>
        <w:ind w:firstLine="708"/>
        <w:jc w:val="both"/>
        <w:rPr/>
      </w:pPr>
      <w:r>
        <w:rPr>
          <w:rFonts w:ascii="Times New Roman" w:hAnsi="Times New Roman"/>
          <w:sz w:val="24"/>
          <w:szCs w:val="24"/>
          <w:lang w:eastAsia="ru-RU"/>
        </w:rPr>
        <w:t xml:space="preserve">Картриджи должны полностью отрабатывать заявленный ресурс в соответствии </w:t>
        <w:br/>
        <w:t>со стандартом ISO/IEC 19752 для непрерывной печати.</w:t>
      </w:r>
    </w:p>
    <w:p>
      <w:pPr>
        <w:pStyle w:val="Normal"/>
        <w:spacing w:lineRule="auto" w:line="240" w:before="0" w:after="0"/>
        <w:ind w:firstLine="708"/>
        <w:jc w:val="both"/>
        <w:rPr/>
      </w:pPr>
      <w:r>
        <w:rPr>
          <w:rFonts w:ascii="Times New Roman" w:hAnsi="Times New Roman"/>
          <w:sz w:val="24"/>
          <w:szCs w:val="24"/>
          <w:lang w:eastAsia="ru-RU"/>
        </w:rPr>
        <w:t>Дата изготовления картриджей должна быть не ранее 2026 года.</w:t>
      </w:r>
    </w:p>
    <w:p>
      <w:pPr>
        <w:pStyle w:val="Normal"/>
        <w:spacing w:before="0" w:after="0"/>
        <w:ind w:firstLine="708"/>
        <w:jc w:val="both"/>
        <w:rPr>
          <w:rFonts w:ascii="Times New Roman" w:hAnsi="Times New Roman"/>
          <w:sz w:val="24"/>
          <w:szCs w:val="24"/>
          <w:lang w:eastAsia="ru-RU"/>
        </w:rPr>
      </w:pPr>
      <w:r>
        <w:rPr>
          <w:rFonts w:ascii="Times New Roman" w:hAnsi="Times New Roman"/>
          <w:sz w:val="24"/>
          <w:szCs w:val="24"/>
          <w:lang w:eastAsia="ru-RU"/>
        </w:rPr>
      </w:r>
    </w:p>
    <w:sectPr>
      <w:headerReference w:type="default" r:id="rId2"/>
      <w:type w:val="nextPage"/>
      <w:pgSz w:w="11906" w:h="16838"/>
      <w:pgMar w:left="705" w:right="709" w:gutter="0" w:header="709" w:top="851" w:footer="0" w:bottom="851"/>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mbria">
    <w:charset w:val="01"/>
    <w:family w:val="roman"/>
    <w:pitch w:val="variable"/>
  </w:font>
  <w:font w:name="Times New Roman">
    <w:charset w:val="01"/>
    <w:family w:val="roman"/>
    <w:pitch w:val="variable"/>
  </w:font>
  <w:font w:name="Tahoma">
    <w:charset w:val="01"/>
    <w:family w:val="roman"/>
    <w:pitch w:val="variable"/>
  </w:font>
  <w:font w:name="Open Sans">
    <w:charset w:val="01"/>
    <w:family w:val="roman"/>
    <w:pitch w:val="variable"/>
  </w:font>
  <w:font w:name="Arial">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2"/>
      </w:rPr>
    </w:pPr>
    <w:r>
      <w:rPr>
        <w:sz w:val="22"/>
      </w:rPr>
      <w:t>Приложение № 2</w:t>
    </w:r>
  </w:p>
  <w:p>
    <w:pPr>
      <w:pStyle w:val="Header"/>
      <w:rPr/>
    </w:pPr>
    <w:r>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uiPriority="10" w:semiHidden="0" w:unhideWhenUsed="0" w:qFormat="1"/>
    <w:lsdException w:name="Default Paragraph Font" w:uiPriority="1"/>
    <w:lsdException w:name="Body Text Inden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9259c"/>
    <w:pPr>
      <w:widowControl/>
      <w:suppressAutoHyphens w:val="true"/>
      <w:bidi w:val="0"/>
      <w:spacing w:lineRule="auto" w:line="276" w:before="0" w:after="20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Heading3">
    <w:name w:val="Heading 3"/>
    <w:basedOn w:val="Normal"/>
    <w:next w:val="Normal"/>
    <w:link w:val="3"/>
    <w:unhideWhenUsed/>
    <w:qFormat/>
    <w:rsid w:val="00445c0a"/>
    <w:pPr>
      <w:keepNext w:val="true"/>
      <w:spacing w:before="240" w:after="60"/>
      <w:outlineLvl w:val="2"/>
    </w:pPr>
    <w:rPr>
      <w:rFonts w:ascii="Cambria" w:hAnsi="Cambria" w:eastAsia="Times New Roman"/>
      <w:b/>
      <w:bCs/>
      <w:sz w:val="26"/>
      <w:szCs w:val="26"/>
    </w:rPr>
  </w:style>
  <w:style w:type="character" w:styleId="DefaultParagraphFont" w:default="1">
    <w:name w:val="Default Paragraph Font"/>
    <w:uiPriority w:val="1"/>
    <w:semiHidden/>
    <w:unhideWhenUsed/>
    <w:qFormat/>
    <w:rPr/>
  </w:style>
  <w:style w:type="character" w:styleId="Style13" w:customStyle="1">
    <w:name w:val="Основной текст с отступом Знак"/>
    <w:basedOn w:val="DefaultParagraphFont"/>
    <w:qFormat/>
    <w:rsid w:val="0099259c"/>
    <w:rPr>
      <w:rFonts w:ascii="Times New Roman" w:hAnsi="Times New Roman" w:eastAsia="Times New Roman" w:cs="Times New Roman"/>
      <w:sz w:val="24"/>
      <w:szCs w:val="24"/>
      <w:lang w:eastAsia="ru-RU"/>
    </w:rPr>
  </w:style>
  <w:style w:type="character" w:styleId="Style14" w:customStyle="1">
    <w:name w:val="Текст выноски Знак"/>
    <w:basedOn w:val="DefaultParagraphFont"/>
    <w:link w:val="BalloonText"/>
    <w:uiPriority w:val="99"/>
    <w:semiHidden/>
    <w:qFormat/>
    <w:rsid w:val="009d2a49"/>
    <w:rPr>
      <w:rFonts w:ascii="Tahoma" w:hAnsi="Tahoma" w:eastAsia="Calibri" w:cs="Tahoma"/>
      <w:sz w:val="16"/>
      <w:szCs w:val="16"/>
    </w:rPr>
  </w:style>
  <w:style w:type="character" w:styleId="44" w:customStyle="1">
    <w:name w:val="Основной текст44"/>
    <w:basedOn w:val="DefaultParagraphFont"/>
    <w:qFormat/>
    <w:rsid w:val="006f0840"/>
    <w:rPr>
      <w:lang w:bidi="ar-SA"/>
    </w:rPr>
  </w:style>
  <w:style w:type="character" w:styleId="45" w:customStyle="1">
    <w:name w:val="Основной текст45"/>
    <w:basedOn w:val="DefaultParagraphFont"/>
    <w:qFormat/>
    <w:rsid w:val="006f0840"/>
    <w:rPr>
      <w:lang w:bidi="ar-SA"/>
    </w:rPr>
  </w:style>
  <w:style w:type="character" w:styleId="Hyperlink">
    <w:name w:val="Hyperlink"/>
    <w:basedOn w:val="DefaultParagraphFont"/>
    <w:uiPriority w:val="99"/>
    <w:unhideWhenUsed/>
    <w:rsid w:val="00df364b"/>
    <w:rPr>
      <w:color w:themeColor="hyperlink" w:val="0000FF"/>
      <w:u w:val="single"/>
    </w:rPr>
  </w:style>
  <w:style w:type="character" w:styleId="Apple-converted-space" w:customStyle="1">
    <w:name w:val="apple-converted-space"/>
    <w:basedOn w:val="DefaultParagraphFont"/>
    <w:qFormat/>
    <w:rsid w:val="0022274a"/>
    <w:rPr/>
  </w:style>
  <w:style w:type="character" w:styleId="82" w:customStyle="1">
    <w:name w:val="Основной текст82"/>
    <w:basedOn w:val="DefaultParagraphFont"/>
    <w:qFormat/>
    <w:rsid w:val="00ce7f24"/>
    <w:rPr>
      <w:rFonts w:ascii="Times New Roman" w:hAnsi="Times New Roman" w:eastAsia="Times New Roman" w:cs="Times New Roman"/>
      <w:b w:val="false"/>
      <w:bCs w:val="false"/>
      <w:i w:val="false"/>
      <w:iCs w:val="false"/>
      <w:caps w:val="false"/>
      <w:smallCaps w:val="false"/>
      <w:strike w:val="false"/>
      <w:dstrike w:val="false"/>
      <w:spacing w:val="0"/>
      <w:sz w:val="20"/>
      <w:szCs w:val="20"/>
      <w:lang w:bidi="ar-SA"/>
    </w:rPr>
  </w:style>
  <w:style w:type="character" w:styleId="3" w:customStyle="1">
    <w:name w:val="Заголовок 3 Знак"/>
    <w:basedOn w:val="DefaultParagraphFont"/>
    <w:qFormat/>
    <w:rsid w:val="00445c0a"/>
    <w:rPr>
      <w:rFonts w:ascii="Cambria" w:hAnsi="Cambria" w:eastAsia="Times New Roman" w:cs="Times New Roman"/>
      <w:b/>
      <w:bCs/>
      <w:sz w:val="26"/>
      <w:szCs w:val="26"/>
    </w:rPr>
  </w:style>
  <w:style w:type="character" w:styleId="Style15" w:customStyle="1">
    <w:name w:val="Верхний колонтитул Знак"/>
    <w:basedOn w:val="DefaultParagraphFont"/>
    <w:uiPriority w:val="99"/>
    <w:qFormat/>
    <w:rsid w:val="000f545b"/>
    <w:rPr>
      <w:rFonts w:ascii="Times New Roman" w:hAnsi="Times New Roman" w:eastAsia="Times New Roman" w:cs="Times New Roman"/>
      <w:sz w:val="24"/>
      <w:szCs w:val="24"/>
    </w:rPr>
  </w:style>
  <w:style w:type="character" w:styleId="Pagenumber">
    <w:name w:val="page number"/>
    <w:basedOn w:val="DefaultParagraphFont"/>
    <w:qFormat/>
    <w:rsid w:val="000f545b"/>
    <w:rPr/>
  </w:style>
  <w:style w:type="character" w:styleId="Style16" w:customStyle="1">
    <w:name w:val="Нижний колонтитул Знак"/>
    <w:basedOn w:val="DefaultParagraphFont"/>
    <w:uiPriority w:val="99"/>
    <w:qFormat/>
    <w:rsid w:val="000f545b"/>
    <w:rPr>
      <w:rFonts w:ascii="Times New Roman" w:hAnsi="Times New Roman" w:eastAsia="Times New Roman" w:cs="Times New Roman"/>
      <w:sz w:val="24"/>
      <w:szCs w:val="24"/>
    </w:rPr>
  </w:style>
  <w:style w:type="paragraph" w:styleId="Style17">
    <w:name w:val="Заголовок"/>
    <w:basedOn w:val="Normal"/>
    <w:next w:val="BodyText"/>
    <w:qFormat/>
    <w:pPr>
      <w:keepNext w:val="true"/>
      <w:spacing w:before="240" w:after="120"/>
    </w:pPr>
    <w:rPr>
      <w:rFonts w:ascii="Open Sans" w:hAnsi="Open Sans" w:eastAsia="WenQuanYi Micro Hei"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8">
    <w:name w:val="Указатель"/>
    <w:basedOn w:val="Normal"/>
    <w:qFormat/>
    <w:pPr>
      <w:suppressLineNumbers/>
    </w:pPr>
    <w:rPr>
      <w:rFonts w:cs="Lohit Devanagari"/>
    </w:rPr>
  </w:style>
  <w:style w:type="paragraph" w:styleId="ConsPlusNormal" w:customStyle="1">
    <w:name w:val="ConsPlusNormal"/>
    <w:qFormat/>
    <w:rsid w:val="0099259c"/>
    <w:pPr>
      <w:widowControl w:val="false"/>
      <w:suppressAutoHyphens w:val="true"/>
      <w:bidi w:val="0"/>
      <w:spacing w:lineRule="auto" w:line="240" w:before="0" w:after="0"/>
      <w:jc w:val="left"/>
    </w:pPr>
    <w:rPr>
      <w:rFonts w:ascii="Arial" w:hAnsi="Arial" w:eastAsia="Times New Roman" w:cs="Arial"/>
      <w:color w:val="auto"/>
      <w:kern w:val="0"/>
      <w:sz w:val="20"/>
      <w:szCs w:val="20"/>
      <w:lang w:val="ru-RU" w:eastAsia="ru-RU" w:bidi="ar-SA"/>
    </w:rPr>
  </w:style>
  <w:style w:type="paragraph" w:styleId="Iacaaiea" w:customStyle="1">
    <w:name w:val="Iacaaiea"/>
    <w:basedOn w:val="Normal"/>
    <w:qFormat/>
    <w:rsid w:val="0099259c"/>
    <w:pPr>
      <w:tabs>
        <w:tab w:val="clear" w:pos="708"/>
        <w:tab w:val="left" w:pos="426" w:leader="none"/>
      </w:tabs>
      <w:spacing w:lineRule="atLeast" w:line="360" w:before="120" w:after="0"/>
      <w:jc w:val="center"/>
    </w:pPr>
    <w:rPr>
      <w:rFonts w:ascii="Times New Roman" w:hAnsi="Times New Roman" w:eastAsia="Times New Roman"/>
      <w:b/>
      <w:bCs/>
      <w:lang w:eastAsia="ru-RU"/>
    </w:rPr>
  </w:style>
  <w:style w:type="paragraph" w:styleId="ConsNormal" w:customStyle="1">
    <w:name w:val="ConsNormal"/>
    <w:qFormat/>
    <w:rsid w:val="0099259c"/>
    <w:pPr>
      <w:widowControl w:val="false"/>
      <w:suppressAutoHyphens w:val="true"/>
      <w:bidi w:val="0"/>
      <w:spacing w:lineRule="auto" w:line="240" w:before="0" w:after="0"/>
      <w:ind w:firstLine="720" w:right="19772"/>
      <w:jc w:val="left"/>
    </w:pPr>
    <w:rPr>
      <w:rFonts w:ascii="Times New Roman" w:hAnsi="Times New Roman" w:eastAsia="Times New Roman" w:cs="Times New Roman"/>
      <w:color w:val="auto"/>
      <w:kern w:val="0"/>
      <w:sz w:val="20"/>
      <w:szCs w:val="20"/>
      <w:lang w:val="ru-RU" w:eastAsia="ru-RU" w:bidi="ar-SA"/>
    </w:rPr>
  </w:style>
  <w:style w:type="paragraph" w:styleId="BodyTextIndent">
    <w:name w:val="Body Text Indent"/>
    <w:basedOn w:val="Normal"/>
    <w:link w:val="Style13"/>
    <w:rsid w:val="0099259c"/>
    <w:pPr>
      <w:spacing w:lineRule="auto" w:line="240" w:before="0" w:after="120"/>
      <w:ind w:left="283"/>
    </w:pPr>
    <w:rPr>
      <w:rFonts w:ascii="Times New Roman" w:hAnsi="Times New Roman" w:eastAsia="Times New Roman"/>
      <w:sz w:val="24"/>
      <w:szCs w:val="24"/>
      <w:lang w:eastAsia="ru-RU"/>
    </w:rPr>
  </w:style>
  <w:style w:type="paragraph" w:styleId="BalloonText">
    <w:name w:val="Balloon Text"/>
    <w:basedOn w:val="Normal"/>
    <w:link w:val="Style14"/>
    <w:uiPriority w:val="99"/>
    <w:semiHidden/>
    <w:unhideWhenUsed/>
    <w:qFormat/>
    <w:rsid w:val="009d2a49"/>
    <w:pPr>
      <w:spacing w:lineRule="auto" w:line="240" w:before="0" w:after="0"/>
    </w:pPr>
    <w:rPr>
      <w:rFonts w:ascii="Tahoma" w:hAnsi="Tahoma" w:cs="Tahoma"/>
      <w:sz w:val="16"/>
      <w:szCs w:val="16"/>
    </w:rPr>
  </w:style>
  <w:style w:type="paragraph" w:styleId="NormalWeb">
    <w:name w:val="Normal (Web)"/>
    <w:basedOn w:val="Normal"/>
    <w:uiPriority w:val="99"/>
    <w:semiHidden/>
    <w:unhideWhenUsed/>
    <w:qFormat/>
    <w:rsid w:val="00f95e66"/>
    <w:pPr>
      <w:spacing w:lineRule="auto" w:line="240" w:beforeAutospacing="1" w:afterAutospacing="1"/>
    </w:pPr>
    <w:rPr>
      <w:rFonts w:ascii="Times New Roman" w:hAnsi="Times New Roman" w:eastAsia="Times New Roman"/>
      <w:sz w:val="24"/>
      <w:szCs w:val="24"/>
      <w:lang w:eastAsia="ru-RU"/>
    </w:rPr>
  </w:style>
  <w:style w:type="paragraph" w:styleId="Rmcyayhs" w:customStyle="1">
    <w:name w:val="rmcyayhs"/>
    <w:basedOn w:val="Normal"/>
    <w:uiPriority w:val="99"/>
    <w:semiHidden/>
    <w:qFormat/>
    <w:rsid w:val="00f95e66"/>
    <w:pPr>
      <w:spacing w:lineRule="auto" w:line="240" w:beforeAutospacing="1" w:afterAutospacing="1"/>
    </w:pPr>
    <w:rPr>
      <w:rFonts w:ascii="Times New Roman" w:hAnsi="Times New Roman" w:eastAsia="Times New Roman"/>
      <w:sz w:val="24"/>
      <w:szCs w:val="24"/>
      <w:lang w:eastAsia="ru-RU"/>
    </w:rPr>
  </w:style>
  <w:style w:type="paragraph" w:styleId="Rmcwskcc" w:customStyle="1">
    <w:name w:val="rmcwskcc"/>
    <w:basedOn w:val="Normal"/>
    <w:uiPriority w:val="99"/>
    <w:semiHidden/>
    <w:qFormat/>
    <w:rsid w:val="00fd264a"/>
    <w:pPr>
      <w:spacing w:lineRule="auto" w:line="240" w:beforeAutospacing="1" w:afterAutospacing="1"/>
    </w:pPr>
    <w:rPr>
      <w:rFonts w:ascii="Times New Roman" w:hAnsi="Times New Roman" w:eastAsia="Times New Roman"/>
      <w:sz w:val="24"/>
      <w:szCs w:val="24"/>
      <w:lang w:eastAsia="ru-RU"/>
    </w:rPr>
  </w:style>
  <w:style w:type="paragraph" w:styleId="1" w:customStyle="1">
    <w:name w:val="Без интервала1"/>
    <w:qFormat/>
    <w:rsid w:val="00841324"/>
    <w:pPr>
      <w:widowControl/>
      <w:suppressAutoHyphens w:val="true"/>
      <w:bidi w:val="0"/>
      <w:spacing w:lineRule="auto" w:line="240" w:before="0" w:after="0"/>
      <w:jc w:val="left"/>
    </w:pPr>
    <w:rPr>
      <w:rFonts w:ascii="Calibri" w:hAnsi="Calibri" w:eastAsia="Times New Roman" w:cs="Calibri" w:asciiTheme="minorHAnsi" w:hAnsiTheme="minorHAnsi"/>
      <w:color w:val="auto"/>
      <w:kern w:val="0"/>
      <w:sz w:val="22"/>
      <w:szCs w:val="22"/>
      <w:lang w:val="ru-RU" w:eastAsia="ru-RU" w:bidi="ar-SA"/>
    </w:rPr>
  </w:style>
  <w:style w:type="paragraph" w:styleId="Style19">
    <w:name w:val="Колонтитул"/>
    <w:basedOn w:val="Normal"/>
    <w:qFormat/>
    <w:pPr/>
    <w:rPr/>
  </w:style>
  <w:style w:type="paragraph" w:styleId="Header">
    <w:name w:val="Header"/>
    <w:basedOn w:val="Normal"/>
    <w:link w:val="Style15"/>
    <w:uiPriority w:val="99"/>
    <w:rsid w:val="000f545b"/>
    <w:pPr>
      <w:tabs>
        <w:tab w:val="clear" w:pos="708"/>
        <w:tab w:val="center" w:pos="4677" w:leader="none"/>
        <w:tab w:val="right" w:pos="9355" w:leader="none"/>
      </w:tabs>
      <w:spacing w:lineRule="auto" w:line="240" w:before="0" w:after="0"/>
    </w:pPr>
    <w:rPr>
      <w:rFonts w:ascii="Times New Roman" w:hAnsi="Times New Roman" w:eastAsia="Times New Roman"/>
      <w:sz w:val="24"/>
      <w:szCs w:val="24"/>
    </w:rPr>
  </w:style>
  <w:style w:type="paragraph" w:styleId="Footer">
    <w:name w:val="Footer"/>
    <w:basedOn w:val="Normal"/>
    <w:link w:val="Style16"/>
    <w:uiPriority w:val="99"/>
    <w:rsid w:val="000f545b"/>
    <w:pPr>
      <w:tabs>
        <w:tab w:val="clear" w:pos="708"/>
        <w:tab w:val="center" w:pos="4677" w:leader="none"/>
        <w:tab w:val="right" w:pos="9355" w:leader="none"/>
      </w:tabs>
      <w:spacing w:lineRule="auto" w:line="240" w:before="0" w:after="0"/>
    </w:pPr>
    <w:rPr>
      <w:rFonts w:ascii="Times New Roman" w:hAnsi="Times New Roman" w:eastAsia="Times New Roman"/>
      <w:sz w:val="24"/>
      <w:szCs w:val="24"/>
    </w:rPr>
  </w:style>
  <w:style w:type="paragraph" w:styleId="ListParagraph">
    <w:name w:val="List Paragraph"/>
    <w:basedOn w:val="Normal"/>
    <w:uiPriority w:val="34"/>
    <w:qFormat/>
    <w:rsid w:val="000e1b20"/>
    <w:pPr>
      <w:spacing w:before="0" w:after="200"/>
      <w:ind w:left="720"/>
      <w:contextualSpacing/>
    </w:pPr>
    <w:rPr/>
  </w:style>
  <w:style w:type="paragraph" w:styleId="Style20">
    <w:name w:val="Содержимое врезки"/>
    <w:basedOn w:val="Normal"/>
    <w:qFormat/>
    <w:pPr/>
    <w:rPr/>
  </w:style>
  <w:style w:type="paragraph" w:styleId="Style21">
    <w:name w:val="Содержимое таблицы"/>
    <w:basedOn w:val="Normal"/>
    <w:qFormat/>
    <w:pPr>
      <w:suppressLineNumbers/>
    </w:pPr>
    <w:rPr/>
  </w:style>
  <w:style w:type="paragraph" w:styleId="Style22">
    <w:name w:val="Обычный (веб)"/>
    <w:basedOn w:val="Normal"/>
    <w:qFormat/>
    <w:pPr>
      <w:spacing w:before="280" w:after="280"/>
    </w:pPr>
    <w:rPr>
      <w:rFonts w:ascii="Tahoma" w:hAnsi="Tahoma" w:cs="Tahoma"/>
      <w:sz w:val="16"/>
      <w:szCs w:val="16"/>
    </w:rPr>
  </w:style>
  <w:style w:type="numbering" w:styleId="NoList" w:default="1">
    <w:name w:val="No List"/>
    <w:uiPriority w:val="99"/>
    <w:semiHidden/>
    <w:unhideWhenUsed/>
    <w:qFormat/>
  </w:style>
  <w:style w:type="numbering" w:styleId="WW8Num2">
    <w:name w:val="WW8Num2"/>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6BCB15-9480-43E6-9149-A07F19143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Application>LibreOffice/7.6.7.2$Linux_X86_64 LibreOffice_project/60$Build-2</Application>
  <AppVersion>15.0000</AppVersion>
  <Pages>6</Pages>
  <Words>1730</Words>
  <Characters>12418</Characters>
  <CharactersWithSpaces>14096</CharactersWithSpaces>
  <Paragraphs>113</Paragraphs>
  <Company>OEM</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2023-03-02T06:29:00Z</dcterms:created>
  <dc:creator>user</dc:creator>
  <dc:description/>
  <dc:language>ru-RU</dc:language>
  <cp:lastModifiedBy/>
  <cp:lastPrinted>2024-01-18T11:53:00Z</cp:lastPrinted>
  <dcterms:modified xsi:type="dcterms:W3CDTF">2026-08-28T10:04:21Z</dcterms:modified>
  <cp:revision>35</cp:revision>
  <dc:subject/>
  <dc:title/>
</cp:coreProperties>
</file>

<file path=docProps/custom.xml><?xml version="1.0" encoding="utf-8"?>
<Properties xmlns="http://schemas.openxmlformats.org/officeDocument/2006/custom-properties" xmlns:vt="http://schemas.openxmlformats.org/officeDocument/2006/docPropsVTypes"/>
</file>