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4"/>
          <w:szCs w:val="18"/>
        </w:rPr>
      </w:pPr>
      <w:r>
        <w:rPr>
          <w:rFonts w:cs="Times New Roman" w:ascii="Times New Roman" w:hAnsi="Times New Roman"/>
          <w:b/>
          <w:bCs/>
          <w:sz w:val="14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ДОГОВОР № 349-26-МЗ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На передачу оборудования, блоков, устройств, систем и средств для </w:t>
      </w:r>
      <w:r>
        <w:rPr>
          <w:rFonts w:cs="Times New Roman" w:ascii="Times New Roman" w:hAnsi="Times New Roman"/>
          <w:b/>
          <w:sz w:val="18"/>
          <w:szCs w:val="18"/>
        </w:rPr>
        <w:t>подготовки к обработке, утилизации, обезвреживанию.</w:t>
      </w:r>
    </w:p>
    <w:p>
      <w:pPr>
        <w:pStyle w:val="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г. Обнинск</w:t>
        <w:tab/>
        <w:tab/>
        <w:tab/>
        <w:tab/>
        <w:tab/>
        <w:tab/>
        <w:tab/>
        <w:tab/>
        <w:tab/>
        <w:tab/>
        <w:tab/>
        <w:t>«__» _____________ 2026 г.</w:t>
      </w:r>
    </w:p>
    <w:p>
      <w:pPr>
        <w:pStyle w:val="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____________, именуемая в дальнейшем «Исполнитель», в лице __________, действующего на основании _____, а также Лицензии на осуществление деятельности по сбору, транспортированию, обработке, утилизации, обезвреживанию, размещению отходов I-IV классов опасности №_________, Лицензии на осуществление заготовки, хранения, переработки и реализации лома черных металлов, цветных металлов серии _____________, Уведомления о постановке на специальный учёт юридического лица или индивидуального предпринимателя, осуществляющего операции с драгоценными металлами и драгоценными камнями, выданного __________ №_____________, и </w:t>
      </w:r>
    </w:p>
    <w:p>
      <w:pPr>
        <w:pStyle w:val="Normal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</w:t>
      </w:r>
      <w:r>
        <w:rPr>
          <w:rFonts w:cs="Times New Roman" w:ascii="Times New Roman" w:hAnsi="Times New Roman"/>
          <w:sz w:val="18"/>
          <w:szCs w:val="18"/>
        </w:rPr>
        <w:t xml:space="preserve">, именуемое в дальнейшем «Заказчик»,  в лице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ru-RU" w:eastAsia="ru-RU"/>
        </w:rPr>
        <w:t>главного врача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zxx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Курдяева Сергея Михайловича</w:t>
      </w:r>
      <w:r>
        <w:rPr>
          <w:rFonts w:cs="Times New Roman" w:ascii="Times New Roman" w:hAnsi="Times New Roman"/>
          <w:sz w:val="18"/>
          <w:szCs w:val="18"/>
        </w:rPr>
        <w:t xml:space="preserve">, действующего на основании </w:t>
      </w:r>
      <w:r>
        <w:rPr>
          <w:rFonts w:cs="Times New Roman" w:ascii="Times New Roman" w:hAnsi="Times New Roman"/>
          <w:sz w:val="18"/>
          <w:szCs w:val="18"/>
          <w:lang w:val="zxx"/>
        </w:rPr>
        <w:t xml:space="preserve">Устава и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zxx"/>
        </w:rPr>
        <w:t xml:space="preserve">Приказа №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ru-RU"/>
        </w:rPr>
        <w:t>304Л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zxx"/>
        </w:rPr>
        <w:t xml:space="preserve"> от «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u w:val="none"/>
          <w:lang w:val="ru-RU"/>
        </w:rPr>
        <w:t>27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zxx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ru-RU"/>
        </w:rPr>
        <w:t>мая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lang w:val="zxx"/>
        </w:rPr>
        <w:t xml:space="preserve"> 2025 года</w:t>
      </w:r>
      <w:r>
        <w:rPr>
          <w:rFonts w:cs="Times New Roman" w:ascii="Times New Roman" w:hAnsi="Times New Roman"/>
          <w:sz w:val="18"/>
          <w:szCs w:val="18"/>
        </w:rPr>
        <w:t xml:space="preserve">, именуемые в дальнейшем </w:t>
      </w:r>
      <w:r>
        <w:rPr>
          <w:rFonts w:cs="Times New Roman" w:ascii="Times New Roman" w:hAnsi="Times New Roman"/>
          <w:b/>
          <w:bCs/>
          <w:sz w:val="18"/>
          <w:szCs w:val="18"/>
        </w:rPr>
        <w:t>«Стороны»,</w:t>
      </w:r>
      <w:r>
        <w:rPr>
          <w:rFonts w:cs="Times New Roman" w:ascii="Times New Roman" w:hAnsi="Times New Roman"/>
          <w:sz w:val="18"/>
          <w:szCs w:val="18"/>
        </w:rPr>
        <w:t xml:space="preserve"> заключили настоящий Договор о нижеследующем: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1. ПРЕДМЕТ ДОГОВОРА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0"/>
          <w:numId w:val="5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По настоящему договору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обязуется передать </w:t>
      </w:r>
      <w:r>
        <w:rPr>
          <w:rFonts w:cs="Times New Roman" w:ascii="Times New Roman" w:hAnsi="Times New Roman"/>
          <w:b/>
          <w:sz w:val="18"/>
          <w:szCs w:val="18"/>
        </w:rPr>
        <w:t>Исполнителю</w:t>
      </w:r>
      <w:r>
        <w:rPr>
          <w:rFonts w:cs="Times New Roman" w:ascii="Times New Roman" w:hAnsi="Times New Roman"/>
          <w:sz w:val="18"/>
          <w:szCs w:val="18"/>
        </w:rPr>
        <w:t xml:space="preserve"> для дальнейшей подготовки к обработке, утилизации, обезвреживанию оборудования утратившего потребительские свойства, черный и цветной лом, металлов от телекоммуникационного, промышленного, медицинского, химического, военного оборудования и автотранспортных средств, потерявших свои потребительские свойства, не соприкасавшиеся с биологическими жидкостями, способными переносить инфекцию,  а так же оргтехнику, блоки, системы, устройства, платы и иные материальные средства различных классов опасности для окружающей природной среды,  в дальнейшем «Оборудование» (</w:t>
      </w:r>
      <w:r>
        <w:rPr>
          <w:rFonts w:cs="Times New Roman" w:ascii="Times New Roman" w:hAnsi="Times New Roman"/>
          <w:b/>
          <w:sz w:val="18"/>
          <w:szCs w:val="18"/>
        </w:rPr>
        <w:t xml:space="preserve">Приложение №2 </w:t>
      </w:r>
      <w:r>
        <w:rPr>
          <w:rFonts w:cs="Times New Roman" w:ascii="Times New Roman" w:hAnsi="Times New Roman"/>
          <w:sz w:val="18"/>
          <w:szCs w:val="18"/>
        </w:rPr>
        <w:t xml:space="preserve">Перечень оборудования для сбора, транспортирования,  подготовке к обработке, утилизации, обезвреживанию), содержащие драгоценные металлы, а также оплатить услуги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Исполнителя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numPr>
          <w:ilvl w:val="0"/>
          <w:numId w:val="55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обязуется принять Оборудование от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и провести дальнейшую подготовку к обработке, утилизации, обезвреживанию.</w:t>
      </w:r>
    </w:p>
    <w:p>
      <w:pPr>
        <w:pStyle w:val="Normal"/>
        <w:numPr>
          <w:ilvl w:val="0"/>
          <w:numId w:val="56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обязуется предоставить «</w:t>
      </w:r>
      <w:r>
        <w:rPr>
          <w:rFonts w:cs="Times New Roman" w:ascii="Times New Roman" w:hAnsi="Times New Roman"/>
          <w:b/>
          <w:sz w:val="18"/>
          <w:szCs w:val="18"/>
        </w:rPr>
        <w:t>Полный пакет документов»</w:t>
      </w:r>
      <w:r>
        <w:rPr>
          <w:rFonts w:cs="Times New Roman" w:ascii="Times New Roman" w:hAnsi="Times New Roman"/>
          <w:sz w:val="18"/>
          <w:szCs w:val="18"/>
        </w:rPr>
        <w:t xml:space="preserve"> в состав которого входит: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Договор;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Счет на оплату;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УПД;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Акт приёма-передачи оборудования;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Акт утилизации;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Акт оказанных услуг;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Паспорт-расчет (по выявленным Драгоценным металлам)</w:t>
      </w:r>
    </w:p>
    <w:p>
      <w:pPr>
        <w:pStyle w:val="Normal"/>
        <w:numPr>
          <w:ilvl w:val="0"/>
          <w:numId w:val="57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по письменному требованию </w:t>
      </w:r>
      <w:r>
        <w:rPr>
          <w:rFonts w:cs="Times New Roman" w:ascii="Times New Roman" w:hAnsi="Times New Roman"/>
          <w:b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обязуется предоставить копии </w:t>
      </w:r>
      <w:r>
        <w:rPr>
          <w:rFonts w:cs="Times New Roman" w:ascii="Times New Roman" w:hAnsi="Times New Roman"/>
          <w:b/>
          <w:sz w:val="18"/>
          <w:szCs w:val="18"/>
        </w:rPr>
        <w:t>разрешительных документов,</w:t>
      </w:r>
      <w:r>
        <w:rPr>
          <w:rFonts w:cs="Times New Roman" w:ascii="Times New Roman" w:hAnsi="Times New Roman"/>
          <w:sz w:val="18"/>
          <w:szCs w:val="18"/>
        </w:rPr>
        <w:t xml:space="preserve"> заверенные </w:t>
      </w:r>
      <w:r>
        <w:rPr>
          <w:rFonts w:cs="Times New Roman" w:ascii="Times New Roman" w:hAnsi="Times New Roman"/>
          <w:b/>
          <w:sz w:val="18"/>
          <w:szCs w:val="18"/>
        </w:rPr>
        <w:t>Исполнителем</w:t>
      </w:r>
      <w:r>
        <w:rPr>
          <w:rFonts w:cs="Times New Roman" w:ascii="Times New Roman" w:hAnsi="Times New Roman"/>
          <w:sz w:val="18"/>
          <w:szCs w:val="18"/>
        </w:rPr>
        <w:t>, в состав которых входит: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Свидетельство ОГРН;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Свидетельство о постановке в налоговом органе;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Лицензия на осуществление деятельности по сбору, транспортированию, обработке, утилизации, обезвреживанию, размещению отходов I-IV классов опасности №__________;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Лицензия на осуществление заготовки, хранения, переработки и реализации лома черных металлов, цветных металлов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серии __________________.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Уведомление о постановке на специальный учёт юридического лица или индивидуального предпринимателя, осуществляющего операции с драгоценными металлами и драгоценными камнями в ____________ №___________.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Санитарно-эпидемиологическое заключение о соответствии санитарным правилам и нормативам №66.01.31.000.М.002513.10.19 от 01.10.2019 г.;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Санитарно-эпидемиологическое заключение о соответствии санитарным правилам и нормативам №82.01.01.000.М.000926.05.18 от 29.05.2018 г. </w:t>
      </w:r>
    </w:p>
    <w:p>
      <w:pPr>
        <w:pStyle w:val="Normal"/>
        <w:numPr>
          <w:ilvl w:val="0"/>
          <w:numId w:val="58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На каждую последующую партию передаваемого Оборудования составляется приложение к договору с указанием перечня передаваемого Оборудования, которое является его неотъемлемой частью.</w:t>
      </w:r>
    </w:p>
    <w:p>
      <w:pPr>
        <w:pStyle w:val="Normal"/>
        <w:numPr>
          <w:ilvl w:val="0"/>
          <w:numId w:val="59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Процесс подготовки, обработки, утилизации, обезвреживания описан в Приложении №1 сроки и принципы данного процесса регламентируются внутренними актами и техническими процессами Исполнителя и ФЗ №89.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2. КАЧЕСТВО И БЕЗОПАСНОСТЬ ОБОРУДОВАНИЯ И ПРОДУКЦИИ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0"/>
          <w:numId w:val="60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гарантирует, что предоставляемое для сбора, транспортирования, обработки, утилизации, обезвреживания. оборудование является собственностью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numPr>
          <w:ilvl w:val="0"/>
          <w:numId w:val="61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bCs/>
          <w:sz w:val="18"/>
          <w:szCs w:val="18"/>
        </w:rPr>
        <w:t xml:space="preserve"> подтверждает, что передаваемое Оборудование не соприкасалось с 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источников радиоактивного и ионизирующего излучения,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транспортировке.</w:t>
      </w:r>
    </w:p>
    <w:p>
      <w:pPr>
        <w:pStyle w:val="Normal"/>
        <w:numPr>
          <w:ilvl w:val="0"/>
          <w:numId w:val="6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подтверждает, что в передаваемом Заказчиком Оборудовании отсутствуют носители информации (жесткие диски, флэш-накопители и т.п.) или на данных носителях информации отсутствует конфиденциальная информация, персональные данные и иная секретная информация.</w:t>
      </w:r>
    </w:p>
    <w:p>
      <w:pPr>
        <w:pStyle w:val="Normal"/>
        <w:numPr>
          <w:ilvl w:val="0"/>
          <w:numId w:val="63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Исполнитель </w:t>
      </w:r>
      <w:r>
        <w:rPr>
          <w:rFonts w:cs="Times New Roman" w:ascii="Times New Roman" w:hAnsi="Times New Roman"/>
          <w:sz w:val="18"/>
          <w:szCs w:val="18"/>
        </w:rPr>
        <w:t>не несет ответственности за утрату, хищение и иное раскрытие информации, находящейся в передаваемом Заказчиком Оборудовании.</w:t>
      </w:r>
    </w:p>
    <w:p>
      <w:pPr>
        <w:pStyle w:val="Normal"/>
        <w:numPr>
          <w:ilvl w:val="0"/>
          <w:numId w:val="6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Передаваемое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 xml:space="preserve"> Оборудование должно быть упаковано в тару, обеспечивающую сохранность оборудования при транспортировке.</w:t>
      </w:r>
    </w:p>
    <w:p>
      <w:pPr>
        <w:pStyle w:val="Normal"/>
        <w:ind w:firstLine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ind w:firstLine="360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3. ПОРЯДОК ПОСТАВКИ</w:t>
      </w:r>
    </w:p>
    <w:p>
      <w:pPr>
        <w:pStyle w:val="Normal"/>
        <w:ind w:firstLine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1"/>
          <w:numId w:val="65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Транспортировка Оборудования производится силами и средствами </w:t>
      </w:r>
      <w:r>
        <w:rPr>
          <w:rFonts w:cs="Times New Roman" w:ascii="Times New Roman" w:hAnsi="Times New Roman"/>
          <w:b/>
          <w:sz w:val="18"/>
          <w:szCs w:val="18"/>
        </w:rPr>
        <w:t>Исполнителя</w:t>
      </w:r>
      <w:r>
        <w:rPr>
          <w:rFonts w:cs="Times New Roman" w:ascii="Times New Roman" w:hAnsi="Times New Roman"/>
          <w:sz w:val="18"/>
          <w:szCs w:val="18"/>
        </w:rPr>
        <w:t xml:space="preserve">, если стоимость транспортировки заложена в счет, иначе транспортировка осуществляется </w:t>
      </w:r>
      <w:r>
        <w:rPr>
          <w:rFonts w:cs="Times New Roman" w:ascii="Times New Roman" w:hAnsi="Times New Roman"/>
          <w:b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 xml:space="preserve">. Поставка осуществляется любым транспортом оговоренными партиями. </w:t>
      </w:r>
    </w:p>
    <w:p>
      <w:pPr>
        <w:pStyle w:val="Normal"/>
        <w:numPr>
          <w:ilvl w:val="1"/>
          <w:numId w:val="66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Погрузка Оборудования производится Заказчиком, разгрузку в производственном цехе осуществляет </w:t>
      </w:r>
      <w:r>
        <w:rPr>
          <w:rFonts w:cs="Times New Roman" w:ascii="Times New Roman" w:hAnsi="Times New Roman"/>
          <w:b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numPr>
          <w:ilvl w:val="1"/>
          <w:numId w:val="67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Оборудование поставляется партиями. </w:t>
      </w:r>
      <w:r>
        <w:rPr>
          <w:rFonts w:cs="Times New Roman" w:ascii="Times New Roman" w:hAnsi="Times New Roman"/>
          <w:b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обязуется оформить, заполнить и предоставить Товарно-транспортную накладную (</w:t>
      </w:r>
      <w:r>
        <w:rPr>
          <w:rFonts w:cs="Times New Roman" w:ascii="Times New Roman" w:hAnsi="Times New Roman"/>
          <w:b/>
          <w:sz w:val="18"/>
          <w:szCs w:val="18"/>
        </w:rPr>
        <w:t>Приложение №4</w:t>
      </w:r>
      <w:r>
        <w:rPr>
          <w:rFonts w:cs="Times New Roman" w:ascii="Times New Roman" w:hAnsi="Times New Roman"/>
          <w:sz w:val="18"/>
          <w:szCs w:val="18"/>
        </w:rPr>
        <w:t xml:space="preserve">, образец ТТН) на каждую партию оборудования. Партией считается количество Оборудования единовременной поставки, принятой от одного </w:t>
      </w:r>
      <w:r>
        <w:rPr>
          <w:rFonts w:cs="Times New Roman" w:ascii="Times New Roman" w:hAnsi="Times New Roman"/>
          <w:b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, упакованное и сопровождаемое Товарно-транспортной накладной, составленной </w:t>
      </w:r>
      <w:r>
        <w:rPr>
          <w:rFonts w:cs="Times New Roman" w:ascii="Times New Roman" w:hAnsi="Times New Roman"/>
          <w:b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numPr>
          <w:ilvl w:val="1"/>
          <w:numId w:val="68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«Полный пакет документов» изначально подписанный</w:t>
      </w:r>
      <w:r>
        <w:rPr>
          <w:rFonts w:cs="Times New Roman" w:ascii="Times New Roman" w:hAnsi="Times New Roman"/>
          <w:b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b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направляется на почтовый адрес</w:t>
      </w:r>
      <w:r>
        <w:rPr>
          <w:rFonts w:cs="Times New Roman" w:ascii="Times New Roman" w:hAnsi="Times New Roman"/>
          <w:b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 1</w:t>
      </w:r>
      <w:r>
        <w:rPr>
          <w:rFonts w:cs="Times New Roman" w:ascii="Times New Roman" w:hAnsi="Times New Roman"/>
          <w:bCs/>
          <w:sz w:val="18"/>
          <w:szCs w:val="18"/>
        </w:rPr>
        <w:t xml:space="preserve">-м классом Почтой России или Экспресс почтой, </w:t>
      </w:r>
      <w:r>
        <w:rPr>
          <w:rFonts w:cs="Times New Roman" w:ascii="Times New Roman" w:hAnsi="Times New Roman"/>
          <w:sz w:val="18"/>
          <w:szCs w:val="18"/>
        </w:rPr>
        <w:t>до момента фактической передачи оборудования.</w:t>
      </w:r>
    </w:p>
    <w:p>
      <w:pPr>
        <w:pStyle w:val="Normal"/>
        <w:numPr>
          <w:ilvl w:val="1"/>
          <w:numId w:val="69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«</w:t>
      </w:r>
      <w:r>
        <w:rPr>
          <w:rFonts w:cs="Times New Roman" w:ascii="Times New Roman" w:hAnsi="Times New Roman"/>
          <w:b/>
          <w:sz w:val="18"/>
          <w:szCs w:val="18"/>
        </w:rPr>
        <w:t xml:space="preserve">Полный пакет документов» </w:t>
      </w:r>
      <w:r>
        <w:rPr>
          <w:rFonts w:cs="Times New Roman" w:ascii="Times New Roman" w:hAnsi="Times New Roman"/>
          <w:sz w:val="18"/>
          <w:szCs w:val="18"/>
        </w:rPr>
        <w:t xml:space="preserve">составляется в 2 (двух) экземплярах. Первый – по факту получения, остается у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, второй после подписания </w:t>
      </w:r>
      <w:r>
        <w:rPr>
          <w:rFonts w:cs="Times New Roman" w:ascii="Times New Roman" w:hAnsi="Times New Roman"/>
          <w:b/>
          <w:sz w:val="18"/>
          <w:szCs w:val="18"/>
        </w:rPr>
        <w:t xml:space="preserve">Заказчиком </w:t>
      </w:r>
      <w:r>
        <w:rPr>
          <w:rFonts w:cs="Times New Roman" w:ascii="Times New Roman" w:hAnsi="Times New Roman"/>
          <w:sz w:val="18"/>
          <w:szCs w:val="18"/>
        </w:rPr>
        <w:t xml:space="preserve">возвращается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Исполнителю</w:t>
      </w:r>
      <w:r>
        <w:rPr>
          <w:rFonts w:cs="Times New Roman" w:ascii="Times New Roman" w:hAnsi="Times New Roman"/>
          <w:b/>
          <w:sz w:val="18"/>
          <w:szCs w:val="18"/>
        </w:rPr>
        <w:t xml:space="preserve"> </w:t>
      </w:r>
      <w:r>
        <w:rPr>
          <w:rFonts w:cs="Times New Roman" w:ascii="Times New Roman" w:hAnsi="Times New Roman"/>
          <w:bCs/>
          <w:sz w:val="18"/>
          <w:szCs w:val="18"/>
        </w:rPr>
        <w:t>1-м классом Почтой России или Экспресс почтой</w:t>
      </w:r>
      <w:r>
        <w:rPr>
          <w:rFonts w:cs="Times New Roman" w:ascii="Times New Roman" w:hAnsi="Times New Roman"/>
          <w:b/>
          <w:bCs/>
          <w:sz w:val="18"/>
          <w:szCs w:val="18"/>
        </w:rPr>
        <w:t>.</w:t>
      </w:r>
    </w:p>
    <w:p>
      <w:pPr>
        <w:pStyle w:val="Normal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ind w:firstLine="360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4. ПОРЯДОК ПРИЕМКИ ОБОРУДОВАНИЯ</w:t>
      </w:r>
    </w:p>
    <w:p>
      <w:pPr>
        <w:pStyle w:val="Normal"/>
        <w:ind w:firstLine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0"/>
          <w:numId w:val="70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Приемка Оборудования по грузовым местам осуществляется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sz w:val="18"/>
          <w:szCs w:val="18"/>
        </w:rPr>
        <w:t xml:space="preserve"> и оформляется документом согласно п. 3.3.</w:t>
      </w:r>
    </w:p>
    <w:p>
      <w:pPr>
        <w:pStyle w:val="Normal"/>
        <w:numPr>
          <w:ilvl w:val="0"/>
          <w:numId w:val="71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 нарушения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 xml:space="preserve"> п.п. 2.2. настоящего договора, приемка Оборудования по грузовым местам не производится.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этом случае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имеет право предъявить Заказчику затраты по приемке Оборудования.</w:t>
      </w:r>
    </w:p>
    <w:p>
      <w:pPr>
        <w:pStyle w:val="Normal"/>
        <w:numPr>
          <w:ilvl w:val="0"/>
          <w:numId w:val="72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Акт приема-передачи составляется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sz w:val="18"/>
          <w:szCs w:val="18"/>
        </w:rPr>
        <w:t xml:space="preserve"> в двух экземплярах и оформляется отдельно на каждую партию.</w:t>
      </w:r>
    </w:p>
    <w:p>
      <w:pPr>
        <w:pStyle w:val="Normal"/>
        <w:numPr>
          <w:ilvl w:val="0"/>
          <w:numId w:val="73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Право собственности на Оборудования утратившего потребительские свойства переходит к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Исполнителю</w:t>
      </w:r>
      <w:r>
        <w:rPr>
          <w:rFonts w:cs="Times New Roman" w:ascii="Times New Roman" w:hAnsi="Times New Roman"/>
          <w:sz w:val="18"/>
          <w:szCs w:val="18"/>
        </w:rPr>
        <w:t xml:space="preserve"> от </w:t>
      </w:r>
      <w:r>
        <w:rPr>
          <w:rFonts w:cs="Times New Roman" w:ascii="Times New Roman" w:hAnsi="Times New Roman"/>
          <w:b/>
          <w:sz w:val="18"/>
          <w:szCs w:val="18"/>
        </w:rPr>
        <w:t>З</w:t>
      </w:r>
      <w:r>
        <w:rPr>
          <w:rFonts w:cs="Times New Roman" w:ascii="Times New Roman" w:hAnsi="Times New Roman"/>
          <w:b/>
          <w:bCs/>
          <w:sz w:val="18"/>
          <w:szCs w:val="18"/>
        </w:rPr>
        <w:t>аказчика</w:t>
      </w:r>
      <w:r>
        <w:rPr>
          <w:rFonts w:cs="Times New Roman" w:ascii="Times New Roman" w:hAnsi="Times New Roman"/>
          <w:sz w:val="18"/>
          <w:szCs w:val="18"/>
        </w:rPr>
        <w:t xml:space="preserve"> с даты подписания Акта Приема-Передачи оборудования З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аказчиком. </w:t>
      </w:r>
      <w:r>
        <w:rPr>
          <w:rFonts w:cs="Times New Roman" w:ascii="Times New Roman" w:hAnsi="Times New Roman"/>
          <w:sz w:val="18"/>
          <w:szCs w:val="18"/>
        </w:rPr>
        <w:t xml:space="preserve"> Исполнитель оставляет за собой право провести обработку, утилизацию, обезвреживание в сроки установленные 89 ФЗ. и техническими процессами Исполнителя</w:t>
      </w:r>
    </w:p>
    <w:p>
      <w:pPr>
        <w:pStyle w:val="Normal"/>
        <w:numPr>
          <w:ilvl w:val="0"/>
          <w:numId w:val="74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не несет ответственности ни перед </w:t>
      </w:r>
      <w:r>
        <w:rPr>
          <w:rFonts w:cs="Times New Roman" w:ascii="Times New Roman" w:hAnsi="Times New Roman"/>
          <w:b/>
          <w:sz w:val="18"/>
          <w:szCs w:val="18"/>
        </w:rPr>
        <w:t>Заказчиком,</w:t>
      </w:r>
      <w:r>
        <w:rPr>
          <w:rFonts w:cs="Times New Roman" w:ascii="Times New Roman" w:hAnsi="Times New Roman"/>
          <w:sz w:val="18"/>
          <w:szCs w:val="18"/>
        </w:rPr>
        <w:t xml:space="preserve"> ни перед третьими лицами, в случае если </w:t>
      </w:r>
      <w:r>
        <w:rPr>
          <w:rFonts w:cs="Times New Roman" w:ascii="Times New Roman" w:hAnsi="Times New Roman"/>
          <w:b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не передал оборудование или его часть на сбор, транспортирование, обработку, утилизацию, обезвреживание.</w:t>
      </w:r>
    </w:p>
    <w:p>
      <w:pPr>
        <w:pStyle w:val="Normal"/>
        <w:numPr>
          <w:ilvl w:val="0"/>
          <w:numId w:val="75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предоставляет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Заказчику</w:t>
      </w:r>
      <w:r>
        <w:rPr>
          <w:rFonts w:cs="Times New Roman" w:ascii="Times New Roman" w:hAnsi="Times New Roman"/>
          <w:sz w:val="18"/>
          <w:szCs w:val="18"/>
        </w:rPr>
        <w:t xml:space="preserve"> Паспорт-расчет о содержании драгоценных металлов в переданном Оборудовании.</w:t>
      </w:r>
    </w:p>
    <w:p>
      <w:pPr>
        <w:pStyle w:val="Normal"/>
        <w:numPr>
          <w:ilvl w:val="0"/>
          <w:numId w:val="76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bCs/>
          <w:sz w:val="18"/>
          <w:szCs w:val="18"/>
        </w:rPr>
        <w:t xml:space="preserve"> в течение 90 (девяносто) дней со дня оформления Акта приема-передачи оборудования на сбор, транспортирование, обработку, утилизацию, обезвреживание составляется Паспорт-расчет. Паспорт-расчет содержит данные по количеству драгоценных металлов в передаваемом Оборудовании и является основанием для проведения взаиморасчетов между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bCs/>
          <w:sz w:val="18"/>
          <w:szCs w:val="18"/>
        </w:rPr>
        <w:t xml:space="preserve"> и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Заказчиком</w:t>
      </w:r>
      <w:r>
        <w:rPr>
          <w:rFonts w:cs="Times New Roman" w:ascii="Times New Roman" w:hAnsi="Times New Roman"/>
          <w:bCs/>
          <w:sz w:val="18"/>
          <w:szCs w:val="18"/>
        </w:rPr>
        <w:t>.</w:t>
      </w:r>
    </w:p>
    <w:p>
      <w:pPr>
        <w:pStyle w:val="Normal"/>
        <w:numPr>
          <w:ilvl w:val="0"/>
          <w:numId w:val="77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  <w:u w:val="single"/>
        </w:rPr>
        <w:t xml:space="preserve">Паспорт-расчет формируется расчетным методом и предоставляется сразу вместе с Полным пакетом документов, 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и направляется </w:t>
      </w:r>
      <w:r>
        <w:rPr>
          <w:rFonts w:cs="Times New Roman" w:ascii="Times New Roman" w:hAnsi="Times New Roman"/>
          <w:b/>
          <w:bCs/>
          <w:sz w:val="18"/>
          <w:szCs w:val="18"/>
          <w:u w:val="single"/>
        </w:rPr>
        <w:t>Заказчику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почтовым отправлением по адресу, указанному в договоре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numPr>
          <w:ilvl w:val="0"/>
          <w:numId w:val="78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Заказчик </w:t>
      </w:r>
      <w:r>
        <w:rPr>
          <w:rFonts w:cs="Times New Roman" w:ascii="Times New Roman" w:hAnsi="Times New Roman"/>
          <w:sz w:val="18"/>
          <w:szCs w:val="18"/>
        </w:rPr>
        <w:t xml:space="preserve">обязуется предоставить </w:t>
      </w:r>
      <w:r>
        <w:rPr>
          <w:rFonts w:cs="Times New Roman" w:ascii="Times New Roman" w:hAnsi="Times New Roman"/>
          <w:b/>
          <w:sz w:val="18"/>
          <w:szCs w:val="18"/>
        </w:rPr>
        <w:t xml:space="preserve">Исполнителю, </w:t>
      </w:r>
      <w:r>
        <w:rPr>
          <w:rFonts w:cs="Times New Roman" w:ascii="Times New Roman" w:hAnsi="Times New Roman"/>
          <w:sz w:val="18"/>
          <w:szCs w:val="18"/>
        </w:rPr>
        <w:t>при их наличии,  копии материалов отнесения отходов к классам опасности для среды обитания и здоровья человека (СП 2.1.7.1386-03), копии паспортов опасных отходов для окружающей природной среды и перечень отходов 5 класса опасности, на основании которых будет составлен Акт утилизации в соответствии с Федеральным классификационным каталогом отходов. В случае отсутствия у Заказчика паспортов опасных отходов для окружающей природной среды, Заказчик обязан предоставить перечень передаваемых отходов, с указанием наименования каждого отхода и кода отхода в соответствии с Федеральным классификационным каталогом отходов. В случае не предоставления вышеуказанных документов (паспортов опасных отходов для ОПС или перечня отходов) ООО «Ведущая Утилизирующая Компания» оставляет за собой право самостоятельно определить наименование и код отхода по ФККО.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5. ЦЕНА И ПОРЯДОК РАСЧЕТОВ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0"/>
          <w:numId w:val="79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Оплата оказанных услуг производится </w:t>
      </w:r>
      <w:r>
        <w:rPr>
          <w:rFonts w:cs="Times New Roman" w:ascii="Times New Roman" w:hAnsi="Times New Roman"/>
          <w:b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 xml:space="preserve"> на основании выставленных </w:t>
      </w:r>
      <w:r>
        <w:rPr>
          <w:rFonts w:cs="Times New Roman" w:ascii="Times New Roman" w:hAnsi="Times New Roman"/>
          <w:b/>
          <w:sz w:val="18"/>
          <w:szCs w:val="18"/>
        </w:rPr>
        <w:t>Исполнителем</w:t>
      </w:r>
      <w:r>
        <w:rPr>
          <w:rFonts w:cs="Times New Roman" w:ascii="Times New Roman" w:hAnsi="Times New Roman"/>
          <w:sz w:val="18"/>
          <w:szCs w:val="18"/>
        </w:rPr>
        <w:t xml:space="preserve"> счетов. В цену договора включена плата за негативное воздействие на окружающую природную среду, в соответствии со ст. 23 Федерального закона «Об отходах производства и потребления» № 89 ФЗ от 24.06.1998 г. и Федерального закона от 21.07.2014 N 219-ФЗ "О внесении изменений в Федеральный закон "Об охране окружающей среды" и отдельные законодательные акты Российской Федерации». Сумма договора составляет </w:t>
      </w:r>
      <w:r>
        <w:rPr>
          <w:rFonts w:cs="Times New Roman" w:ascii="Times New Roman" w:hAnsi="Times New Roman"/>
          <w:b/>
          <w:bCs/>
          <w:sz w:val="18"/>
          <w:szCs w:val="18"/>
        </w:rPr>
        <w:t>549 715,00 (Пятьсот сорок девять тысяч семьсот пятнадцать рублей 00 копеек) рублей</w:t>
      </w:r>
      <w:r>
        <w:rPr>
          <w:rFonts w:cs="Times New Roman" w:ascii="Times New Roman" w:hAnsi="Times New Roman"/>
          <w:sz w:val="18"/>
          <w:szCs w:val="18"/>
        </w:rPr>
        <w:t xml:space="preserve">, </w:t>
      </w:r>
      <w:bookmarkStart w:id="0" w:name="_Hlk189045150"/>
      <w:r>
        <w:rPr>
          <w:rFonts w:cs="Times New Roman" w:ascii="Times New Roman" w:hAnsi="Times New Roman"/>
          <w:sz w:val="18"/>
          <w:szCs w:val="18"/>
        </w:rPr>
        <w:t>в том числе НДС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/ </w:t>
      </w:r>
      <w:r>
        <w:rPr>
          <w:rFonts w:cs="Times New Roman" w:ascii="Times New Roman" w:hAnsi="Times New Roman"/>
          <w:sz w:val="18"/>
          <w:szCs w:val="18"/>
        </w:rPr>
        <w:t>без ндс</w:t>
      </w:r>
    </w:p>
    <w:p>
      <w:pPr>
        <w:pStyle w:val="Normal"/>
        <w:numPr>
          <w:ilvl w:val="0"/>
          <w:numId w:val="80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Расчет за оказанные услуги производится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 xml:space="preserve"> в полном объеме в течение 10 (десяти) рабочих дней с даты подписания документов о приемке путем перечисления денежных средств на расчетный счет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Исполнителя.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numPr>
          <w:ilvl w:val="0"/>
          <w:numId w:val="81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после получения от </w:t>
      </w:r>
      <w:r>
        <w:rPr>
          <w:rFonts w:cs="Times New Roman" w:ascii="Times New Roman" w:hAnsi="Times New Roman"/>
          <w:b/>
          <w:sz w:val="18"/>
          <w:szCs w:val="18"/>
        </w:rPr>
        <w:t>Исполнителя,</w:t>
      </w:r>
      <w:r>
        <w:rPr>
          <w:rFonts w:cs="Times New Roman" w:ascii="Times New Roman" w:hAnsi="Times New Roman"/>
          <w:sz w:val="18"/>
          <w:szCs w:val="18"/>
        </w:rPr>
        <w:t xml:space="preserve"> подписанного с его стороны Акта оказанных услуг в двух экземплярах в течение 5 (пяти) рабочих дней направляет </w:t>
      </w:r>
      <w:r>
        <w:rPr>
          <w:rFonts w:cs="Times New Roman" w:ascii="Times New Roman" w:hAnsi="Times New Roman"/>
          <w:b/>
          <w:sz w:val="18"/>
          <w:szCs w:val="18"/>
        </w:rPr>
        <w:t>Исполнителю</w:t>
      </w:r>
      <w:r>
        <w:rPr>
          <w:rFonts w:cs="Times New Roman" w:ascii="Times New Roman" w:hAnsi="Times New Roman"/>
          <w:sz w:val="18"/>
          <w:szCs w:val="18"/>
        </w:rPr>
        <w:t xml:space="preserve"> подписанный со своей стороны Акт оказанных услуг или мотивированный отказ с указанием замечаний, недостатков и сроками их устранения. В случае отсутствия мотивированного отказа в течение 5 (пяти) рабочих дней, Акт оказанных услуг считается подписанным.</w:t>
      </w:r>
    </w:p>
    <w:p>
      <w:pPr>
        <w:pStyle w:val="Normal"/>
        <w:numPr>
          <w:ilvl w:val="0"/>
          <w:numId w:val="82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Все расчеты между </w:t>
      </w:r>
      <w:r>
        <w:rPr>
          <w:rFonts w:cs="Times New Roman" w:ascii="Times New Roman" w:hAnsi="Times New Roman"/>
          <w:b/>
          <w:bCs/>
          <w:sz w:val="18"/>
          <w:szCs w:val="18"/>
        </w:rPr>
        <w:t>Сторонами</w:t>
      </w:r>
      <w:r>
        <w:rPr>
          <w:rFonts w:cs="Times New Roman" w:ascii="Times New Roman" w:hAnsi="Times New Roman"/>
          <w:sz w:val="18"/>
          <w:szCs w:val="18"/>
        </w:rPr>
        <w:t xml:space="preserve"> производятся путем перечисления денежных средств на соответствующие расчетные счета Сторон. Проведение зачета взаимных требований в порядке ст.410 ГК РФ не допускается.</w:t>
      </w:r>
    </w:p>
    <w:p>
      <w:pPr>
        <w:pStyle w:val="Normal"/>
        <w:numPr>
          <w:ilvl w:val="0"/>
          <w:numId w:val="83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 возникновения по вине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у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Исполнителя</w:t>
      </w:r>
      <w:r>
        <w:rPr>
          <w:rFonts w:cs="Times New Roman" w:ascii="Times New Roman" w:hAnsi="Times New Roman"/>
          <w:sz w:val="18"/>
          <w:szCs w:val="18"/>
        </w:rPr>
        <w:t xml:space="preserve"> расходов, связанных с приемкой Оборудования, а именно, простой транспортного средства при погрузке Оборудования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Заказчиком</w:t>
      </w:r>
      <w:r>
        <w:rPr>
          <w:rFonts w:cs="Times New Roman" w:ascii="Times New Roman" w:hAnsi="Times New Roman"/>
          <w:sz w:val="18"/>
          <w:szCs w:val="18"/>
        </w:rPr>
        <w:t xml:space="preserve"> более 2-х часов,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оплачивает дополнительные расходы за простой транспортного средства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Исполнителю</w:t>
      </w:r>
      <w:r>
        <w:rPr>
          <w:rFonts w:cs="Times New Roman" w:ascii="Times New Roman" w:hAnsi="Times New Roman"/>
          <w:sz w:val="18"/>
          <w:szCs w:val="18"/>
        </w:rPr>
        <w:t xml:space="preserve"> на основании отдельно выставленного счета и предоставленных документов.</w:t>
      </w:r>
    </w:p>
    <w:p>
      <w:pPr>
        <w:pStyle w:val="Normal"/>
        <w:widowControl/>
        <w:numPr>
          <w:ilvl w:val="0"/>
          <w:numId w:val="84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 наличия у </w:t>
      </w:r>
      <w:r>
        <w:rPr>
          <w:rFonts w:cs="Times New Roman" w:ascii="Times New Roman" w:hAnsi="Times New Roman"/>
          <w:b/>
          <w:sz w:val="18"/>
          <w:szCs w:val="18"/>
        </w:rPr>
        <w:t>Заказчика,</w:t>
      </w:r>
      <w:r>
        <w:rPr>
          <w:rFonts w:cs="Times New Roman" w:ascii="Times New Roman" w:hAnsi="Times New Roman"/>
          <w:sz w:val="18"/>
          <w:szCs w:val="18"/>
        </w:rPr>
        <w:t xml:space="preserve"> Паспортов завода производителя или балансовой ведомости предприятия, подтверждающих количество драгоценных металлов, содержащихся в передаваемом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Заказчиком</w:t>
      </w:r>
      <w:r>
        <w:rPr>
          <w:rFonts w:cs="Times New Roman" w:ascii="Times New Roman" w:hAnsi="Times New Roman"/>
          <w:sz w:val="18"/>
          <w:szCs w:val="18"/>
        </w:rPr>
        <w:t xml:space="preserve"> Оборудовании,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обязан приложить их к настоящему договору. На основании этих документов,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Cs/>
          <w:sz w:val="18"/>
          <w:szCs w:val="18"/>
        </w:rPr>
        <w:t xml:space="preserve">составляется </w:t>
      </w:r>
      <w:r>
        <w:rPr>
          <w:rFonts w:cs="Times New Roman" w:ascii="Times New Roman" w:hAnsi="Times New Roman"/>
          <w:sz w:val="18"/>
          <w:szCs w:val="18"/>
        </w:rPr>
        <w:t xml:space="preserve">Паспорт-расчет содержания драгоценных металлов, предоставляемый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Заказчику</w:t>
      </w:r>
      <w:r>
        <w:rPr>
          <w:rFonts w:cs="Times New Roman" w:ascii="Times New Roman" w:hAnsi="Times New Roman"/>
          <w:sz w:val="18"/>
          <w:szCs w:val="18"/>
        </w:rPr>
        <w:t xml:space="preserve">. В случаях, когда у </w:t>
      </w:r>
      <w:r>
        <w:rPr>
          <w:rFonts w:cs="Times New Roman" w:ascii="Times New Roman" w:hAnsi="Times New Roman"/>
          <w:b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отсутствуют эти документы или об их наличии заявлено после подписания акта приема передачи, в Паспорта-расчеты заносятся данные полученные расчетным методом (согласно Инструкции по заполнению формы федерального государственного статистического наблюдения за остатками, поступлением и расходом драгоценных металлов и их солей, полученных для выполнения давальческих заказов и централизованных поставок, утв. РОСКОМДРАГМЕТОМ 04.07.1996 N 15-051-181/17 и п. 2.2.2 Методики проведения работ по комплексной утилизации вторичных драгоценных металлов из отработанных средств вычислительной техники).</w:t>
      </w:r>
    </w:p>
    <w:p>
      <w:pPr>
        <w:pStyle w:val="Normal"/>
        <w:numPr>
          <w:ilvl w:val="0"/>
          <w:numId w:val="85"/>
        </w:numPr>
        <w:tabs>
          <w:tab w:val="clear" w:pos="708"/>
          <w:tab w:val="left" w:pos="567" w:leader="none"/>
          <w:tab w:val="left" w:pos="994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Расчеты за драгоценные металлы производятся в порядке, установленном Министерством Финансов РФ и Постановлениями Правительства РФ.</w:t>
      </w:r>
    </w:p>
    <w:p>
      <w:pPr>
        <w:pStyle w:val="Normal"/>
        <w:numPr>
          <w:ilvl w:val="0"/>
          <w:numId w:val="86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 xml:space="preserve">Сумма возврата за драгоценные металлы, содержащиеся в Оборудовании, передаваемом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Заказчиком</w:t>
      </w:r>
      <w:r>
        <w:rPr>
          <w:rFonts w:cs="Times New Roman" w:ascii="Times New Roman" w:hAnsi="Times New Roman"/>
          <w:bCs/>
          <w:sz w:val="18"/>
          <w:szCs w:val="18"/>
        </w:rPr>
        <w:t>, рассчитывается исходя из процента взаиморасчетов, оговоренного в Таблице № 1, умноженному на цену химически чистого металла по ценам на драгоценные металлы Центробанка России на день, предшествующий дню составления Паспорта-расчета.</w:t>
      </w:r>
    </w:p>
    <w:p>
      <w:pPr>
        <w:pStyle w:val="Normal"/>
        <w:numPr>
          <w:ilvl w:val="0"/>
          <w:numId w:val="87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 xml:space="preserve">В случае обнаружения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bCs/>
          <w:sz w:val="18"/>
          <w:szCs w:val="18"/>
        </w:rPr>
        <w:t xml:space="preserve"> количества драгметаллов достаточного для возврата денежных средств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Заказчику</w:t>
      </w:r>
      <w:r>
        <w:rPr>
          <w:rFonts w:cs="Times New Roman" w:ascii="Times New Roman" w:hAnsi="Times New Roman"/>
          <w:bCs/>
          <w:sz w:val="18"/>
          <w:szCs w:val="18"/>
        </w:rPr>
        <w:t xml:space="preserve">, оговоренного в Таблице № 2, на основании полученного Паспорта-расчета,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bCs/>
          <w:sz w:val="18"/>
          <w:szCs w:val="18"/>
        </w:rPr>
        <w:t xml:space="preserve"> перечисляет денежные средства на расчетный счет, указанный заказчиком, после получения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</w:t>
      </w:r>
      <w:r>
        <w:rPr>
          <w:rFonts w:cs="Times New Roman" w:ascii="Times New Roman" w:hAnsi="Times New Roman"/>
          <w:bCs/>
          <w:sz w:val="18"/>
          <w:szCs w:val="18"/>
        </w:rPr>
        <w:t xml:space="preserve"> подписанного со стороны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bCs/>
          <w:sz w:val="18"/>
          <w:szCs w:val="18"/>
        </w:rPr>
        <w:t xml:space="preserve"> полного пакетом документов.</w:t>
      </w:r>
    </w:p>
    <w:p>
      <w:pPr>
        <w:pStyle w:val="Normal"/>
        <w:numPr>
          <w:ilvl w:val="0"/>
          <w:numId w:val="88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 xml:space="preserve">После получения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Исполнителем </w:t>
      </w:r>
      <w:r>
        <w:rPr>
          <w:rFonts w:cs="Times New Roman" w:ascii="Times New Roman" w:hAnsi="Times New Roman"/>
          <w:bCs/>
          <w:sz w:val="18"/>
          <w:szCs w:val="18"/>
        </w:rPr>
        <w:t xml:space="preserve">второго комплекта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Полного пакета документов, </w:t>
      </w:r>
      <w:r>
        <w:rPr>
          <w:rFonts w:cs="Times New Roman" w:ascii="Times New Roman" w:hAnsi="Times New Roman"/>
          <w:bCs/>
          <w:sz w:val="18"/>
          <w:szCs w:val="18"/>
        </w:rPr>
        <w:t>подписанного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Заказчиком, 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производит расчеты с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Заказчиком, </w:t>
      </w:r>
      <w:r>
        <w:rPr>
          <w:rFonts w:cs="Times New Roman" w:ascii="Times New Roman" w:hAnsi="Times New Roman"/>
          <w:sz w:val="18"/>
          <w:szCs w:val="18"/>
        </w:rPr>
        <w:t>согласно срокам окончательного расчета, оговоренным в Таблице № 1.</w:t>
      </w:r>
    </w:p>
    <w:p>
      <w:pPr>
        <w:pStyle w:val="Normal"/>
        <w:ind w:left="36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ind w:left="360"/>
        <w:jc w:val="right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Таблица № 1</w:t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  <w:u w:val="single"/>
        </w:rPr>
        <w:t>Прейскурант оплаты стоимости 1(одного) грамма золота, серебра, платины и палладия, содержащихся в ломе и отходах, принимаемых Исполнителем</w:t>
      </w:r>
    </w:p>
    <w:tbl>
      <w:tblPr>
        <w:tblpPr w:vertAnchor="text" w:horzAnchor="margin" w:tblpXSpec="center" w:bottomFromText="200" w:leftFromText="180" w:rightFromText="180" w:tblpY="133"/>
        <w:tblW w:w="100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195"/>
        <w:gridCol w:w="2881"/>
        <w:gridCol w:w="3690"/>
        <w:gridCol w:w="2238"/>
      </w:tblGrid>
      <w:tr>
        <w:trPr/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Позиция.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Металл, содержание %.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Стоимость возврата в % от цены 1 гр. хим. чистого металла, установленного ЦБ РФ на день предшествующий оплате.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Срок окончательного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расчета, дни.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Лом и отходы драгоценных металлов (золотосодержащие)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Au</w:t>
            </w: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0,01% </w:t>
            </w: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и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более.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90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Лом и отходы драгоценных металлов (серебросодержащие)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Ag –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0,03% </w:t>
            </w: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и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более.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90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Лом и отходы драгоценных металлов (платиносодержащие)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Pt –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0,01% </w:t>
            </w: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и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более.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90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Лом и отходы драгоценных металлов (палладийсодержащие)</w:t>
            </w:r>
          </w:p>
        </w:tc>
      </w:tr>
      <w:tr>
        <w:trPr>
          <w:trHeight w:val="207" w:hRule="atLeast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Pd</w:t>
            </w:r>
            <w:r>
              <w:rPr>
                <w:rFonts w:cs="Times New Roman" w:ascii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–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0,01% </w:t>
            </w: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и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более.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90</w:t>
            </w:r>
          </w:p>
        </w:tc>
      </w:tr>
    </w:tbl>
    <w:p>
      <w:pPr>
        <w:pStyle w:val="Normal"/>
        <w:ind w:left="85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numPr>
          <w:ilvl w:val="0"/>
          <w:numId w:val="89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В случае если в поставленных ломах и отходах по позициям описи, содержание одного из драгметаллов: золота, серебра, платины, палладия или количество в партии одного из перечисленных металлов будет ниже норм, указанных в Таблице №2, то данные драгметаллы не оплачиваются. Основанием для расчетов является Паспорт-расчет, предоставленный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Исполнителем Заказчику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Таблица №2</w:t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Требования по содержанию и количеству драгоценных металлов в Оборудовании.</w:t>
      </w:r>
    </w:p>
    <w:tbl>
      <w:tblPr>
        <w:tblW w:w="6855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3635"/>
        <w:gridCol w:w="3219"/>
      </w:tblGrid>
      <w:tr>
        <w:trPr>
          <w:trHeight w:val="328" w:hRule="atLeast"/>
        </w:trPr>
        <w:tc>
          <w:tcPr>
            <w:tcW w:w="6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242" w:leader="none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Масса драгметаллов по позициям в партии не менее, г./тонну электронного лома.</w:t>
            </w:r>
          </w:p>
        </w:tc>
      </w:tr>
      <w:tr>
        <w:trPr>
          <w:trHeight w:val="277" w:hRule="exact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242" w:leader="none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US"/>
              </w:rPr>
              <w:t>Au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US"/>
              </w:rPr>
              <w:t>Pt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US"/>
              </w:rPr>
              <w:t>Pd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242" w:leader="none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US"/>
              </w:rPr>
              <w:t>Ag</w:t>
            </w:r>
          </w:p>
        </w:tc>
      </w:tr>
      <w:tr>
        <w:trPr>
          <w:trHeight w:val="280" w:hRule="exact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242" w:leader="none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242" w:leader="none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874" w:leader="none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6.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>ОБЩИЕ ПОЛОЖЕНИЯ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0"/>
          <w:numId w:val="90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Настоящий договор составлен на русском языке в двух экземплярах, имеющих одинаковую юридическую силу.</w:t>
      </w:r>
    </w:p>
    <w:p>
      <w:pPr>
        <w:pStyle w:val="Normal"/>
        <w:numPr>
          <w:ilvl w:val="0"/>
          <w:numId w:val="91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Все Приложения к данному Договору являются его неотъемлемой частью с даты их подписания уполномоченными представителями Сторон.</w:t>
      </w:r>
    </w:p>
    <w:p>
      <w:pPr>
        <w:pStyle w:val="Normal"/>
        <w:numPr>
          <w:ilvl w:val="0"/>
          <w:numId w:val="92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Все документы, перечисленные в пункте 1.3 настоящего договора, являются коммерческой тайной (</w:t>
      </w:r>
      <w:r>
        <w:rPr>
          <w:rFonts w:cs="Times New Roman" w:ascii="Times New Roman" w:hAnsi="Times New Roman"/>
          <w:b/>
          <w:sz w:val="18"/>
          <w:szCs w:val="18"/>
        </w:rPr>
        <w:t>Федеральный закон "О коммерческой тайне" от 29.07.2004 N 98-ФЗ)</w:t>
      </w:r>
      <w:r>
        <w:rPr>
          <w:rFonts w:cs="Times New Roman" w:ascii="Times New Roman" w:hAnsi="Times New Roman"/>
          <w:sz w:val="18"/>
          <w:szCs w:val="18"/>
        </w:rPr>
        <w:t xml:space="preserve">, разглашение которой запрещается без письменного разрешения </w:t>
      </w:r>
      <w:r>
        <w:rPr>
          <w:rFonts w:cs="Times New Roman" w:ascii="Times New Roman" w:hAnsi="Times New Roman"/>
          <w:b/>
          <w:sz w:val="18"/>
          <w:szCs w:val="18"/>
        </w:rPr>
        <w:t>Исполнителя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numPr>
          <w:ilvl w:val="0"/>
          <w:numId w:val="93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Ответственность сторон определяется в соответствии с действующим законодательством РФ.</w:t>
      </w:r>
    </w:p>
    <w:p>
      <w:pPr>
        <w:pStyle w:val="Normal"/>
        <w:numPr>
          <w:ilvl w:val="0"/>
          <w:numId w:val="94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 При невозможности разрешить разногласия путем переговоров, спор рассматривается в арбитражном суде по месту нахождения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Исполнителя</w:t>
      </w:r>
      <w:r>
        <w:rPr>
          <w:rFonts w:cs="Times New Roman" w:ascii="Times New Roman" w:hAnsi="Times New Roman"/>
          <w:sz w:val="18"/>
          <w:szCs w:val="18"/>
        </w:rPr>
        <w:t>. По спорам, возникающим при исполнении договора, обязателен претензионный порядок урегулирования споров. Претензии рассматриваются сторонами в двадцатидневный срок.</w:t>
      </w:r>
    </w:p>
    <w:p>
      <w:pPr>
        <w:pStyle w:val="Normal"/>
        <w:numPr>
          <w:ilvl w:val="0"/>
          <w:numId w:val="95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Изменение условий настоящего договора производится в письменном виде при наличии согласия всех сторон.</w:t>
      </w:r>
    </w:p>
    <w:p>
      <w:pPr>
        <w:pStyle w:val="Normal"/>
        <w:numPr>
          <w:ilvl w:val="0"/>
          <w:numId w:val="96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Расторжение и изменение настоящего договора после подписания Акта приема-передачи невозможно.</w:t>
      </w:r>
    </w:p>
    <w:p>
      <w:pPr>
        <w:pStyle w:val="Normal"/>
        <w:numPr>
          <w:ilvl w:val="0"/>
          <w:numId w:val="97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Стороны по настоящему договору обязаны уведомлять друг друга об изменении реквизитов, реорганизации, ликвидации предприятия. В случае не уведомления виновная сторона возмещает причиненные в связи с этим убытки в полном размере.</w:t>
      </w:r>
    </w:p>
    <w:p>
      <w:pPr>
        <w:pStyle w:val="Normal"/>
        <w:numPr>
          <w:ilvl w:val="0"/>
          <w:numId w:val="98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 отсутствия у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претензий по качеству оказанных услуг, что подтверждается подписанием Акта оказанных услуг,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Исполнитель</w:t>
      </w:r>
      <w:r>
        <w:rPr>
          <w:rFonts w:cs="Times New Roman" w:ascii="Times New Roman" w:hAnsi="Times New Roman"/>
          <w:sz w:val="18"/>
          <w:szCs w:val="18"/>
        </w:rPr>
        <w:t xml:space="preserve"> имеет право поместить наименование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у себя на сайте в списке клиентов.</w:t>
      </w:r>
    </w:p>
    <w:p>
      <w:pPr>
        <w:pStyle w:val="Normal"/>
        <w:numPr>
          <w:ilvl w:val="0"/>
          <w:numId w:val="99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По просьбе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Исполнителя</w:t>
      </w:r>
      <w:r>
        <w:rPr>
          <w:rFonts w:cs="Times New Roman" w:ascii="Times New Roman" w:hAnsi="Times New Roman"/>
          <w:sz w:val="18"/>
          <w:szCs w:val="18"/>
        </w:rPr>
        <w:t xml:space="preserve"> и желанию </w:t>
      </w:r>
      <w:r>
        <w:rPr>
          <w:rFonts w:cs="Times New Roman" w:ascii="Times New Roman" w:hAnsi="Times New Roman"/>
          <w:b/>
          <w:bCs/>
          <w:sz w:val="18"/>
          <w:szCs w:val="18"/>
        </w:rPr>
        <w:t>Заказчика</w:t>
      </w:r>
      <w:r>
        <w:rPr>
          <w:rFonts w:cs="Times New Roman" w:ascii="Times New Roman" w:hAnsi="Times New Roman"/>
          <w:sz w:val="18"/>
          <w:szCs w:val="18"/>
        </w:rPr>
        <w:t xml:space="preserve"> оформляется «письмо», характеризующее качество предоставленных услуг, подшиваемое к договору.</w:t>
      </w:r>
    </w:p>
    <w:p>
      <w:pPr>
        <w:pStyle w:val="Normal"/>
        <w:numPr>
          <w:ilvl w:val="0"/>
          <w:numId w:val="100"/>
        </w:numPr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Оригиналы документов, подписанные и с печатью, обязаны вернуть в течение 10 (десяти) рабочих дней с даты их получения.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7. ТЕРМИНЫ И ФОРМУЛИРОВКИ ИСПОЛЬЗУЕМЫЕ В ДОГОВОРЕ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ind w:firstLine="567"/>
        <w:rPr/>
      </w:pPr>
      <w:r>
        <w:rPr>
          <w:rStyle w:val="Strong"/>
          <w:rFonts w:cs="Times New Roman" w:ascii="Times New Roman" w:hAnsi="Times New Roman"/>
          <w:color w:val="000000"/>
          <w:sz w:val="18"/>
          <w:szCs w:val="18"/>
          <w:shd w:fill="FFFFFF" w:val="clear"/>
        </w:rPr>
        <w:t>Грузовое место (грузовая единица)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> – это физически неделимый груз, который состоит из одного либо нескольких предметов, соединенных средствами пакетирования, имеющий определенные линейные размеры и форму и подготовленный к загрузке, </w:t>
      </w:r>
      <w:r>
        <w:rPr>
          <w:rFonts w:cs="Times New Roman" w:ascii="Times New Roman" w:hAnsi="Times New Roman"/>
          <w:sz w:val="18"/>
          <w:szCs w:val="18"/>
        </w:rPr>
        <w:t>транспортировке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>, хранению и выгрузке.</w:t>
      </w:r>
    </w:p>
    <w:p>
      <w:pPr>
        <w:pStyle w:val="Normal"/>
        <w:ind w:firstLine="567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Обезвреживание отходов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уменьшение массы отходов, изменение их состава, физических и химических свойств (включая сжигание, за исключением сжигания, связанного с использованием твердых коммунальных отходов в качестве возобновляемого источника энергии (вторичных энергетических ресурсов), и (или) обеззараживание на специализированных установках) в целях снижения негативного воздействия отходов на здоровье человека и окружающую среду</w:t>
      </w:r>
    </w:p>
    <w:p>
      <w:pPr>
        <w:pStyle w:val="Normal"/>
        <w:ind w:firstLine="567"/>
        <w:rPr/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Утилизация отходов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(рециклинг), их возврат в производственный цикл после соответствующей подготовки (регенерация), извлечение полезных компонентов для их повторного применения (рекуперация), а также использование твердых коммунальных отходов в качестве возобновляемого источника энергии (вторичных энергетических ресурсов) после извлечения из них полезных компонентов на объектах обработки, соответствующих требованиям, предусмотренным </w:t>
      </w:r>
      <w:r>
        <w:fldChar w:fldCharType="begin"/>
      </w:r>
      <w:r>
        <w:rPr>
          <w:rStyle w:val="Hyperlink"/>
          <w:sz w:val="18"/>
          <w:shd w:fill="FFFFFF" w:val="clear"/>
          <w:szCs w:val="18"/>
          <w:rFonts w:ascii="Times New Roman" w:hAnsi="Times New Roman"/>
          <w:color w:val="1A0DAB"/>
        </w:rPr>
        <w:instrText xml:space="preserve"> HYPERLINK "https://www.consultant.ru/document/cons_doc_LAW_422266/7ae88db39fceaa2912d42448d6b52fdb5b9d4493/" \l "dst655"</w:instrText>
      </w:r>
      <w:r>
        <w:rPr>
          <w:rStyle w:val="Hyperlink"/>
          <w:sz w:val="18"/>
          <w:shd w:fill="FFFFFF" w:val="clear"/>
          <w:szCs w:val="18"/>
          <w:rFonts w:ascii="Times New Roman" w:hAnsi="Times New Roman"/>
          <w:color w:val="1A0DAB"/>
        </w:rPr>
        <w:fldChar w:fldCharType="separate"/>
      </w:r>
      <w:r>
        <w:rPr>
          <w:rStyle w:val="Hyperlink"/>
          <w:rFonts w:ascii="Times New Roman" w:hAnsi="Times New Roman"/>
          <w:color w:val="1A0DAB"/>
          <w:sz w:val="18"/>
          <w:szCs w:val="18"/>
          <w:shd w:fill="FFFFFF" w:val="clear"/>
        </w:rPr>
        <w:t>пунктом 3 статьи 10</w:t>
      </w:r>
      <w:r>
        <w:rPr>
          <w:rStyle w:val="Hyperlink"/>
          <w:sz w:val="18"/>
          <w:shd w:fill="FFFFFF" w:val="clear"/>
          <w:szCs w:val="18"/>
          <w:rFonts w:ascii="Times New Roman" w:hAnsi="Times New Roman"/>
          <w:color w:val="1A0DAB"/>
        </w:rPr>
        <w:fldChar w:fldCharType="end"/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> настоящего Федерального закона (энергетическая утилизация)</w:t>
      </w:r>
    </w:p>
    <w:p>
      <w:pPr>
        <w:pStyle w:val="Normal"/>
        <w:ind w:firstLine="567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Обращение с отходами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деятельность по сбору, накоплению, транспортированию, обработке, утилизации, обезвреживанию, размещению отходов</w:t>
      </w:r>
    </w:p>
    <w:p>
      <w:pPr>
        <w:pStyle w:val="Normal"/>
        <w:ind w:firstLine="567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Паспорт отходов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документ, удостоверяющий принадлежность отходов к отходам соответствующего вида и класса опасности, содержащий сведения об их составе</w:t>
      </w:r>
    </w:p>
    <w:p>
      <w:pPr>
        <w:pStyle w:val="Normal"/>
        <w:ind w:firstLine="567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Вид отходов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совокупность отходов, которые имеют общие признаки в соответствии с системой классификации отходов</w:t>
      </w:r>
    </w:p>
    <w:p>
      <w:pPr>
        <w:pStyle w:val="Normal"/>
        <w:ind w:firstLine="567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Сбор отходов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прием отходов в целях их дальнейших обработки, утилизации, обезвреживания, размещения;</w:t>
      </w:r>
    </w:p>
    <w:p>
      <w:pPr>
        <w:pStyle w:val="Normal"/>
        <w:ind w:firstLine="567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color w:val="000000"/>
          <w:sz w:val="18"/>
          <w:szCs w:val="18"/>
          <w:shd w:fill="FFFFFF" w:val="clear"/>
        </w:rPr>
        <w:t>Обработка отходов</w:t>
      </w:r>
      <w:r>
        <w:rPr>
          <w:rFonts w:cs="Times New Roman" w:ascii="Times New Roman" w:hAnsi="Times New Roman"/>
          <w:color w:val="000000"/>
          <w:sz w:val="18"/>
          <w:szCs w:val="18"/>
          <w:shd w:fill="FFFFFF" w:val="clear"/>
        </w:rPr>
        <w:t xml:space="preserve"> - предварительная подготовка отходов к дальнейшей утилизации, включая их сортировку, разборку, очистку;</w:t>
      </w:r>
    </w:p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8. ФОРС-МАЖОР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8.1.</w:t>
        <w:tab/>
        <w:t>Стороны не несут ответственности за неисполнение обязательств по данному договору при наступлении форс-мажорных обстоятельств, определяемых законодательством РФ, либо при издании законодательных актов и постановлений Федеральных и Региональных Правительств, препятствующих выполнению договорных обязательств.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8.2.</w:t>
        <w:tab/>
        <w:t>Сторона, не исполняющая обязательств по настоящему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9. СРОК ДЕЙСТВИЯ ДОГОВОРА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Договор вступает в силу с момента подписания и действует по </w:t>
      </w:r>
      <w:r>
        <w:rPr>
          <w:rFonts w:cs="Times New Roman" w:ascii="Times New Roman" w:hAnsi="Times New Roman"/>
          <w:b/>
          <w:bCs/>
          <w:sz w:val="18"/>
          <w:szCs w:val="18"/>
        </w:rPr>
        <w:t>31 декабря 2026 г.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10. ЮРИДИЧЕСКИЕ АДРЕСА И ПОДПИСИ СТОРОН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ind w:firstLine="36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Стороны обязаны в десятидневный срок сообщать в письменном виде новые реквизиты в случае их изменения.</w:t>
      </w:r>
    </w:p>
    <w:p>
      <w:pPr>
        <w:pStyle w:val="Normal"/>
        <w:tabs>
          <w:tab w:val="clear" w:pos="708"/>
          <w:tab w:val="left" w:pos="9614" w:leader="underscore"/>
        </w:tabs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08"/>
          <w:tab w:val="left" w:pos="9614" w:leader="underscor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pacing w:val="-3"/>
          <w:sz w:val="18"/>
          <w:szCs w:val="18"/>
        </w:rPr>
        <w:t xml:space="preserve">ЗАКАЗЧИК: Федеральное государственное бюджетное </w:t>
      </w:r>
      <w:r>
        <w:rPr>
          <w:rFonts w:cs="Times New Roman" w:ascii="Times New Roman" w:hAnsi="Times New Roman"/>
          <w:b/>
          <w:sz w:val="18"/>
          <w:szCs w:val="18"/>
        </w:rPr>
        <w:t>учреждение здравоохранения «Клиническая больница № 8 Федерального медико-биологического агентства»</w:t>
      </w:r>
    </w:p>
    <w:p>
      <w:pPr>
        <w:pStyle w:val="Normal"/>
        <w:tabs>
          <w:tab w:val="clear" w:pos="708"/>
          <w:tab w:val="left" w:pos="9614" w:leader="underscore"/>
        </w:tabs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bCs/>
          <w:spacing w:val="-3"/>
          <w:sz w:val="18"/>
          <w:szCs w:val="18"/>
        </w:rPr>
        <w:t xml:space="preserve">ФГБУЗ  КБ № 8 ФМБА  России 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Юридический адрес: 249030, Россия, Калужская область, г. Обнинск, пр. Ленина, д. 85</w:t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ИНН 4025002173 КПП 402501001 ОГРН 1024000940919 ОКТМО 29 715 000 ОКПО </w:t>
      </w:r>
      <w:r>
        <w:rPr>
          <w:rFonts w:cs="Times New Roman" w:ascii="Times New Roman" w:hAnsi="Times New Roman"/>
          <w:color w:val="000000"/>
          <w:sz w:val="18"/>
          <w:szCs w:val="18"/>
        </w:rPr>
        <w:t>35315763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Казначейский счет 03214643000000013700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ОКЦ №9 ГУ Банка России по ЦФО //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УФК по Калужской области г. Калуга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(ФГБУЗ КБ № 8 ФМБА России)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л/с 20376У24990, 22376У24990, 21376У24990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БИК ТОФК 012908002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Единый казначейский счет 40102810045370000030</w:t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Тел</w:t>
      </w:r>
      <w:r>
        <w:rPr>
          <w:rFonts w:cs="Times New Roman" w:ascii="Times New Roman" w:hAnsi="Times New Roman"/>
          <w:sz w:val="18"/>
          <w:szCs w:val="18"/>
          <w:lang w:val="de-DE"/>
        </w:rPr>
        <w:t xml:space="preserve">. (48439) 6-85-85, </w:t>
      </w:r>
      <w:r>
        <w:rPr>
          <w:rFonts w:cs="Times New Roman" w:ascii="Times New Roman" w:hAnsi="Times New Roman"/>
          <w:sz w:val="18"/>
          <w:szCs w:val="18"/>
        </w:rPr>
        <w:t>факс</w:t>
      </w:r>
      <w:r>
        <w:rPr>
          <w:rFonts w:cs="Times New Roman" w:ascii="Times New Roman" w:hAnsi="Times New Roman"/>
          <w:sz w:val="18"/>
          <w:szCs w:val="18"/>
          <w:lang w:val="de-DE"/>
        </w:rPr>
        <w:t xml:space="preserve"> (48439) 6-17-05</w:t>
      </w:r>
    </w:p>
    <w:p>
      <w:pPr>
        <w:pStyle w:val="Normal"/>
        <w:rPr/>
      </w:pPr>
      <w:r>
        <w:rPr>
          <w:rFonts w:cs="Times New Roman" w:ascii="Times New Roman" w:hAnsi="Times New Roman"/>
          <w:sz w:val="18"/>
          <w:szCs w:val="18"/>
          <w:lang w:val="de-DE"/>
        </w:rPr>
        <w:t xml:space="preserve">e-mail: </w:t>
      </w:r>
      <w:r>
        <w:rPr>
          <w:rStyle w:val="Hyperlink"/>
          <w:rFonts w:cs="Times New Roman" w:ascii="Times New Roman" w:hAnsi="Times New Roman"/>
          <w:color w:val="000000"/>
          <w:sz w:val="18"/>
          <w:szCs w:val="18"/>
          <w:u w:val="none"/>
          <w:lang w:val="en-US"/>
        </w:rPr>
        <w:t>kb8@fmbamail.ru</w:t>
      </w:r>
      <w:r>
        <w:rPr>
          <w:rFonts w:cs="Times New Roman" w:ascii="Times New Roman" w:hAnsi="Times New Roman"/>
          <w:color w:val="000000"/>
          <w:sz w:val="18"/>
          <w:szCs w:val="18"/>
          <w:u w:val="none"/>
          <w:lang w:val="en-US"/>
        </w:rPr>
        <w:t>,</w:t>
      </w:r>
      <w:r>
        <w:rPr>
          <w:rFonts w:cs="Times New Roman" w:ascii="Times New Roman" w:hAnsi="Times New Roman"/>
          <w:sz w:val="18"/>
          <w:szCs w:val="18"/>
          <w:lang w:val="en-US"/>
        </w:rPr>
        <w:t xml:space="preserve"> </w:t>
      </w:r>
      <w:r>
        <w:rPr>
          <w:rFonts w:cs="Times New Roman" w:ascii="Times New Roman" w:hAnsi="Times New Roman"/>
          <w:sz w:val="18"/>
          <w:szCs w:val="18"/>
          <w:lang w:val="de-DE"/>
        </w:rPr>
        <w:t>kb8.obninsk@gmail.com</w:t>
      </w:r>
    </w:p>
    <w:p>
      <w:pPr>
        <w:pStyle w:val="Normal"/>
        <w:keepNext w:val="true"/>
        <w:keepLines/>
        <w:snapToGrid w:val="false"/>
        <w:ind w:left="-114" w:right="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18"/>
          <w:szCs w:val="18"/>
          <w:lang w:val="de-DE"/>
        </w:rPr>
        <w:t xml:space="preserve">  </w:t>
      </w:r>
      <w:r>
        <w:rPr>
          <w:rFonts w:cs="Times New Roman" w:ascii="Times New Roman" w:hAnsi="Times New Roman"/>
          <w:b w:val="false"/>
          <w:bCs w:val="false"/>
          <w:color w:val="000000"/>
          <w:sz w:val="18"/>
          <w:szCs w:val="18"/>
          <w:lang w:val="de-DE"/>
        </w:rPr>
        <w:t xml:space="preserve">e-mail: kb8.ks@mail.ru </w:t>
      </w:r>
    </w:p>
    <w:p>
      <w:pPr>
        <w:pStyle w:val="Normal"/>
        <w:widowControl w:val="false"/>
        <w:snapToGrid w:val="false"/>
        <w:spacing w:before="0" w:after="60"/>
        <w:ind w:left="-114" w:right="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ascii="Times New Roman" w:hAnsi="Times New Roman"/>
          <w:b w:val="false"/>
          <w:bCs w:val="false"/>
          <w:color w:val="000000"/>
          <w:spacing w:val="-3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18"/>
          <w:szCs w:val="18"/>
          <w:lang w:val="de-DE"/>
        </w:rPr>
        <w:t>e-mail:</w:t>
      </w:r>
      <w:r>
        <w:rPr>
          <w:rFonts w:ascii="Times New Roman" w:hAnsi="Times New Roman"/>
          <w:b w:val="false"/>
          <w:bCs w:val="false"/>
          <w:color w:val="000000"/>
          <w:spacing w:val="-3"/>
          <w:sz w:val="18"/>
          <w:szCs w:val="18"/>
          <w:lang w:val="en-US"/>
        </w:rPr>
        <w:t xml:space="preserve"> kb8buh@yandex.ru</w:t>
      </w:r>
    </w:p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ИСПОЛНИТЕЛЬ:</w:t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05"/>
        <w:gridCol w:w="5936"/>
      </w:tblGrid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Исполнитель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Заказчик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ФГБУЗ КБ № 8 ФМБА  России</w:t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Главный врач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936" w:type="dxa"/>
            <w:tcBorders/>
          </w:tcPr>
          <w:p>
            <w:pPr>
              <w:pStyle w:val="Normal"/>
              <w:tabs>
                <w:tab w:val="clear" w:pos="708"/>
                <w:tab w:val="left" w:pos="9614" w:leader="underscor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______________________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С.М. Курдяев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Приложение № 1</w:t>
      </w:r>
    </w:p>
    <w:p>
      <w:pPr>
        <w:pStyle w:val="Normal"/>
        <w:tabs>
          <w:tab w:val="clear" w:pos="708"/>
          <w:tab w:val="left" w:pos="1860" w:leader="underscore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pacing w:val="-4"/>
          <w:sz w:val="18"/>
          <w:szCs w:val="18"/>
        </w:rPr>
        <w:t xml:space="preserve">к договору № </w:t>
      </w:r>
      <w:r>
        <w:rPr>
          <w:rFonts w:cs="Times New Roman" w:ascii="Times New Roman" w:hAnsi="Times New Roman"/>
          <w:b w:val="false"/>
          <w:bCs w:val="false"/>
          <w:spacing w:val="-4"/>
          <w:sz w:val="18"/>
          <w:szCs w:val="18"/>
        </w:rPr>
        <w:t>349-26-МЗ</w:t>
      </w:r>
    </w:p>
    <w:p>
      <w:pPr>
        <w:pStyle w:val="Normal"/>
        <w:jc w:val="right"/>
        <w:rPr>
          <w:rFonts w:ascii="Times New Roman" w:hAnsi="Times New Roman" w:cs="Times New Roman"/>
          <w:spacing w:val="37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 ____.____.2026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Процесс </w:t>
      </w:r>
      <w:r>
        <w:rPr>
          <w:rFonts w:cs="Times New Roman" w:ascii="Times New Roman" w:hAnsi="Times New Roman"/>
          <w:b/>
          <w:sz w:val="18"/>
          <w:szCs w:val="18"/>
        </w:rPr>
        <w:t>подготовки к обработке, утилизации, обезвреживанию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оргтехники и электронного оборудования.</w:t>
      </w:r>
    </w:p>
    <w:p>
      <w:pPr>
        <w:pStyle w:val="Normal"/>
        <w:widowControl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Исполнитель осуществляет: </w:t>
      </w:r>
    </w:p>
    <w:p>
      <w:pPr>
        <w:pStyle w:val="Normal"/>
        <w:widowControl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- полный 100% цикл разборки, переработки всего оборудования во вторсырьё и новую продукцию без образования опасных отходов,</w:t>
      </w:r>
    </w:p>
    <w:p>
      <w:pPr>
        <w:pStyle w:val="Normal"/>
        <w:widowControl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- сбор, транспортировку, разборку и подготовку для дальнейшей, обработки, утилизации, обезвреживания оборудования.</w:t>
      </w:r>
    </w:p>
    <w:p>
      <w:pPr>
        <w:pStyle w:val="Normal"/>
        <w:widowControl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После переработки обработки, утилизации, обезвреживания оборудования образовываются (согласно компонентному составу): </w:t>
      </w:r>
    </w:p>
    <w:p>
      <w:pPr>
        <w:pStyle w:val="Normal"/>
        <w:widowControl/>
        <w:numPr>
          <w:ilvl w:val="0"/>
          <w:numId w:val="1"/>
        </w:numPr>
        <w:ind w:firstLine="426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Лом черных и цветных металлов, как Сырье идет на переработку и возврат в производство. </w:t>
      </w:r>
    </w:p>
    <w:p>
      <w:pPr>
        <w:pStyle w:val="Normal"/>
        <w:widowControl/>
        <w:numPr>
          <w:ilvl w:val="0"/>
          <w:numId w:val="1"/>
        </w:numPr>
        <w:ind w:firstLine="426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Пластик, образовавшийся после разборки, сортируется по видам (АБС, PS, ПВХ, ПЭНД, ПЭВД и др.) и цветам (Белый, Серый Черный, Прозрачный, Красный, Зеленый, Синий, Желтый и др.). Затем проходит дробление до требуемой фракции, агломерация и гранулирование. После упаковки в мешки направляется вторсырьем на производство пластиковых изделий (горшков, труб, рамок, авто тюнинга, контейнеров, листов и т.п.) Потребителям Продукции (лома, дроблёнки и гранулы), а так же может использоваться Исполнителем для собственного производства продукции: Трубы пластиковые 63-1200 мм., плиты пластмассовые дорожные. </w:t>
      </w:r>
    </w:p>
    <w:p>
      <w:pPr>
        <w:pStyle w:val="Normal"/>
        <w:widowControl/>
        <w:numPr>
          <w:ilvl w:val="0"/>
          <w:numId w:val="1"/>
        </w:numPr>
        <w:ind w:firstLine="426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Макулатура используется для изготовления утеплителя «Эко Вата»</w:t>
      </w:r>
    </w:p>
    <w:p>
      <w:pPr>
        <w:pStyle w:val="Normal"/>
        <w:widowControl/>
        <w:numPr>
          <w:ilvl w:val="0"/>
          <w:numId w:val="1"/>
        </w:numPr>
        <w:ind w:firstLine="426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Древесина в зависимости от парод и загрязнённости используется для изготовления древесных пеллет или бобышек для поддонов.</w:t>
      </w:r>
    </w:p>
    <w:p>
      <w:pPr>
        <w:pStyle w:val="Normal"/>
        <w:widowControl/>
        <w:numPr>
          <w:ilvl w:val="0"/>
          <w:numId w:val="1"/>
        </w:numPr>
        <w:ind w:firstLine="426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Ветошь для производства ветоши обтирочной, нетканого полотна и наполнителя. </w:t>
      </w:r>
    </w:p>
    <w:p>
      <w:pPr>
        <w:pStyle w:val="Normal"/>
        <w:widowControl/>
        <w:numPr>
          <w:ilvl w:val="0"/>
          <w:numId w:val="1"/>
        </w:numPr>
        <w:ind w:firstLine="426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Стекло служит как добавка в бетонную смесь при производстве парковочных сфер.</w:t>
      </w:r>
    </w:p>
    <w:p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Электронный лом, содержащий драг металлы, передаётся подрядным организациям для сбора, транспортирования, обработке, утилизации, обезвреживания. и извлечения драг металлов с последующей передачей их в Государственный фонд РФ. 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>
        <w:rPr>
          <w:rStyle w:val="Strong"/>
          <w:rFonts w:cs="Times New Roman" w:ascii="Times New Roman" w:hAnsi="Times New Roman"/>
          <w:color w:val="000000"/>
          <w:sz w:val="18"/>
          <w:szCs w:val="18"/>
        </w:rPr>
        <w:t>Законодательство, регулирующее вопросы сбора, транспортирования, обработке, утилизации, обезвреживания оргтехники и извлечения драгоценных металлов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Autospacing="1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8"/>
          <w:szCs w:val="18"/>
          <w:u w:val="single"/>
        </w:rPr>
        <w:t>Федеральный закон № 41-ФЗ от 26.03.1998</w:t>
      </w:r>
      <w:r>
        <w:rPr>
          <w:rFonts w:cs="Times New Roman" w:ascii="Times New Roman" w:hAnsi="Times New Roman"/>
          <w:color w:val="000000"/>
          <w:sz w:val="18"/>
          <w:szCs w:val="18"/>
        </w:rPr>
        <w:t> «О драгоценных металлах и драгоценных камнях» (п.2 ст.20);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8"/>
          <w:szCs w:val="18"/>
          <w:u w:val="single"/>
        </w:rPr>
        <w:t>Федеральный закон № 89 ФЗ от 24.06.1998 </w:t>
      </w:r>
      <w:r>
        <w:rPr>
          <w:rFonts w:cs="Times New Roman" w:ascii="Times New Roman" w:hAnsi="Times New Roman"/>
          <w:color w:val="000000"/>
          <w:sz w:val="18"/>
          <w:szCs w:val="18"/>
        </w:rPr>
        <w:t>«Об отходах производства и потребления».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8"/>
          <w:szCs w:val="18"/>
          <w:u w:val="single"/>
        </w:rPr>
        <w:t>Федеральный закон №7 ФЗ от 10.01.2002 </w:t>
      </w:r>
      <w:r>
        <w:rPr>
          <w:rFonts w:cs="Times New Roman" w:ascii="Times New Roman" w:hAnsi="Times New Roman"/>
          <w:color w:val="000000"/>
          <w:sz w:val="18"/>
          <w:szCs w:val="18"/>
        </w:rPr>
        <w:t>«Об охране окружающей среды».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hyperlink r:id="rId2" w:tgtFrame="_blank">
        <w:r>
          <w:rPr>
            <w:rStyle w:val="Hyperlink"/>
            <w:rFonts w:ascii="Times New Roman" w:hAnsi="Times New Roman"/>
            <w:color w:val="000000"/>
            <w:sz w:val="18"/>
            <w:szCs w:val="18"/>
          </w:rPr>
          <w:t>Постановление Правительства РФ N 731от 28.09.2000г.</w:t>
        </w:r>
      </w:hyperlink>
      <w:r>
        <w:rPr>
          <w:rFonts w:cs="Times New Roman" w:ascii="Times New Roman" w:hAnsi="Times New Roman"/>
          <w:color w:val="000000"/>
          <w:sz w:val="18"/>
          <w:szCs w:val="18"/>
        </w:rPr>
        <w:t> Об утверждении правил учета и хранения драгоценных металлов, драгоценных камней и продукции из них, а также ведения соответствующей отчетности».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8"/>
          <w:szCs w:val="18"/>
          <w:u w:val="single"/>
        </w:rPr>
        <w:t>Инструкция</w:t>
      </w:r>
      <w:r>
        <w:rPr>
          <w:rFonts w:cs="Times New Roman" w:ascii="Times New Roman" w:hAnsi="Times New Roman"/>
          <w:color w:val="000000"/>
          <w:sz w:val="18"/>
          <w:szCs w:val="18"/>
        </w:rPr>
        <w:t> 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(утв. приказом Минфина России от 9 декабря 2016 г. N 231н)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hyperlink r:id="rId3" w:tgtFrame="_blank">
        <w:r>
          <w:rPr>
            <w:rStyle w:val="Hyperlink"/>
            <w:rFonts w:ascii="Times New Roman" w:hAnsi="Times New Roman"/>
            <w:color w:val="000000"/>
            <w:sz w:val="18"/>
            <w:szCs w:val="18"/>
          </w:rPr>
          <w:t>Уголовный кодекс Российской Федерации Статья 191</w:t>
        </w:r>
      </w:hyperlink>
      <w:r>
        <w:rPr>
          <w:rFonts w:cs="Times New Roman" w:ascii="Times New Roman" w:hAnsi="Times New Roman"/>
          <w:color w:val="000000"/>
          <w:sz w:val="18"/>
          <w:szCs w:val="18"/>
        </w:rPr>
        <w:t> «Незаконный оборот янтаря, нефрита или иных полудрагоценных камней, драгоценных металлов, драгоценных камней либо жемчуга».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hyperlink r:id="rId4" w:tgtFrame="_blank">
        <w:r>
          <w:rPr>
            <w:rStyle w:val="Hyperlink"/>
            <w:rFonts w:ascii="Times New Roman" w:hAnsi="Times New Roman"/>
            <w:color w:val="000000"/>
            <w:sz w:val="18"/>
            <w:szCs w:val="18"/>
          </w:rPr>
          <w:t>Уголовный кодекс РФ Статья 192</w:t>
        </w:r>
      </w:hyperlink>
      <w:r>
        <w:rPr>
          <w:rFonts w:cs="Times New Roman" w:ascii="Times New Roman" w:hAnsi="Times New Roman"/>
          <w:color w:val="000000"/>
        </w:rPr>
        <w:t> </w:t>
      </w:r>
      <w:r>
        <w:rPr>
          <w:rFonts w:cs="Times New Roman" w:ascii="Times New Roman" w:hAnsi="Times New Roman"/>
          <w:color w:val="000000"/>
          <w:sz w:val="18"/>
          <w:szCs w:val="18"/>
        </w:rPr>
        <w:t>«Нарушение правил сдачи государству драгоценных металлов и драгоценных камней.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8"/>
          <w:szCs w:val="18"/>
          <w:u w:val="single"/>
        </w:rPr>
        <w:t>КоАП РФ Статья 15.43</w:t>
      </w:r>
      <w:r>
        <w:rPr>
          <w:rFonts w:cs="Times New Roman" w:ascii="Times New Roman" w:hAnsi="Times New Roman"/>
          <w:color w:val="000000"/>
          <w:sz w:val="18"/>
          <w:szCs w:val="18"/>
        </w:rPr>
        <w:t>. Ведение деятельности, связанной с осуществлением операций с драгоценными металлами и (или) драгоценными камнями, без постановки на специальный учет либо несвоевременное представление заявления о внесении изменений в карту специального учета.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18"/>
          <w:szCs w:val="18"/>
          <w:u w:val="single"/>
        </w:rPr>
        <w:t>КоАП РФ Статья 15.44</w:t>
      </w:r>
      <w:r>
        <w:rPr>
          <w:rFonts w:cs="Times New Roman" w:ascii="Times New Roman" w:hAnsi="Times New Roman"/>
          <w:color w:val="000000"/>
          <w:sz w:val="18"/>
          <w:szCs w:val="18"/>
        </w:rPr>
        <w:t>. Незаконная добыча драгоценных металлов и (или) драгоценных камней либо последующее совершение операций с незаконно добытыми драгоценными металлами и (или) драгоценными камнями.</w:t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05"/>
        <w:gridCol w:w="5936"/>
      </w:tblGrid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Исполнитель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Заказчик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ФГБУЗ КБ № 8 ФМБА  России</w:t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Главный врач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936" w:type="dxa"/>
            <w:tcBorders/>
          </w:tcPr>
          <w:p>
            <w:pPr>
              <w:pStyle w:val="Normal"/>
              <w:tabs>
                <w:tab w:val="clear" w:pos="708"/>
                <w:tab w:val="left" w:pos="9614" w:leader="underscor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______________________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С.М. Курдяев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Приложение № 2</w:t>
      </w:r>
    </w:p>
    <w:p>
      <w:pPr>
        <w:pStyle w:val="Normal"/>
        <w:tabs>
          <w:tab w:val="clear" w:pos="708"/>
          <w:tab w:val="left" w:pos="1860" w:leader="underscore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pacing w:val="-4"/>
          <w:sz w:val="18"/>
          <w:szCs w:val="18"/>
        </w:rPr>
        <w:t xml:space="preserve">к договору № </w:t>
      </w:r>
      <w:r>
        <w:rPr>
          <w:rFonts w:cs="Times New Roman" w:ascii="Times New Roman" w:hAnsi="Times New Roman"/>
          <w:b w:val="false"/>
          <w:bCs w:val="false"/>
          <w:spacing w:val="-4"/>
          <w:sz w:val="18"/>
          <w:szCs w:val="18"/>
        </w:rPr>
        <w:t>349-26-МЗ</w:t>
      </w:r>
    </w:p>
    <w:p>
      <w:pPr>
        <w:pStyle w:val="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 __.__.2026</w:t>
      </w:r>
    </w:p>
    <w:p>
      <w:pPr>
        <w:pStyle w:val="Normal"/>
        <w:jc w:val="right"/>
        <w:rPr>
          <w:rFonts w:ascii="Times New Roman" w:hAnsi="Times New Roman" w:cs="Times New Roman"/>
          <w:spacing w:val="37"/>
          <w:sz w:val="18"/>
          <w:szCs w:val="18"/>
        </w:rPr>
      </w:pPr>
      <w:r>
        <w:rPr>
          <w:rFonts w:cs="Times New Roman" w:ascii="Times New Roman" w:hAnsi="Times New Roman"/>
          <w:spacing w:val="37"/>
          <w:sz w:val="18"/>
          <w:szCs w:val="18"/>
        </w:rPr>
      </w:r>
    </w:p>
    <w:p>
      <w:pPr>
        <w:pStyle w:val="Normal"/>
        <w:widowControl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ПЕРЕЧЕНЬ</w:t>
      </w:r>
    </w:p>
    <w:p>
      <w:pPr>
        <w:pStyle w:val="Normal"/>
        <w:widowControl/>
        <w:jc w:val="center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передаваемого на сбор, транспортирование, подготовке к обработке, утилизации, обезвреживанию оборудования</w:t>
      </w:r>
    </w:p>
    <w:p>
      <w:pPr>
        <w:pStyle w:val="Normal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W w:w="5000" w:type="pct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3648"/>
        <w:gridCol w:w="2548"/>
        <w:gridCol w:w="1273"/>
        <w:gridCol w:w="1300"/>
        <w:gridCol w:w="1456"/>
      </w:tblGrid>
      <w:tr>
        <w:trPr>
          <w:trHeight w:val="300" w:hRule="atLeast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Кол-во, шт.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медицинский бактерицидный "Азов" ОБРН-2х15</w:t>
            </w:r>
          </w:p>
        </w:tc>
        <w:tc>
          <w:tcPr>
            <w:tcW w:w="254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87875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медицинский бактерицидный "Азов" ОБН-150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84238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для УВЧ-терапии УВЧ-30М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000000080257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48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Нагреватели керамические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000000084638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Нагреватели керамические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000000084639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Нагреватели керамические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000000084640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Medisana инфракрасный FTN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Экспресс-анализатор мочи АМ 2100 (BEE-SURE-S)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Алкометр ALert Э4х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Алкометр LION SD 400P в компл.с принтером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Алкометр LION SD 400P в компл.с принтером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000000076951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"Энтранс-3"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"Трансаир"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психометрический ВИТ-2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88856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психометрический ВИТ-2 (15-40С)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86316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манометр мембранный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"Электросон-4"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ОБП-300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000000071943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ОБП-300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в комплекте с фонендоскопом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86768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Стетоскоп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82585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"ЗИЛ"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000000072539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Телевизор"Шарп"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000000072713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"Смоленск"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000000072703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"Бирюса"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000000075849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"Днепр"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000000072674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Бюгель двухкюветный винтовой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86881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Бюгель однокюветный винтовой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Коронкосниматель КСр-01 с тремя съемниками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Окклюдатор Атлас_Апекс 89х127х38мм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2 550,00р.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Оклюдатор малый для коронок, мостов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Палитра Stain-Mix зуботехн.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85287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Детектор ППН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79872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Окклюдатор Атлас_Апекс 89х127х38мм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77762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Комплекс инструментов Делюкс для любых работ "Ренферт"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000000086433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Комплекс инструментов Делюкс для любых работ "Ренферт"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000000086434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Кювета маленькая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000000080315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Кювета маленькая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000000080316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Кювета маленькая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000000080317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Мостосниматель микроматорный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000000076593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Печь лаб-ная для обжига металлокерамических масс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000000081463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Стоматологическая установка Premier 08 красная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000000078282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Установка для ортопедического кабинета PREMIER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000000081464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"Самсунг"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000000071483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Стол зуботехнический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000000085733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Детектор купюр PRO-1500 IRPM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000000077622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Алкотестер "Динго Е-010"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000000087918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Алкотестер "Динго Е-010"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000000087919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MD300М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MD300М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000000088581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MD300М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MD300М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000000088587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MD300М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MD300М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Лоток почкообразный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Измеритель артериального давления ИАД-01-1-"Адъютор"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90384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AND UA 100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87501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Littl Doctor LD51S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88759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LD-71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85412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Компьютер в сборе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"ТЕХНО"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"ТЕХНО"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000000077729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Телевизор"LG"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"Ока"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000000071889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"Памир"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000000071917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Камин эл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Радиотелефон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82429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Чайник электрический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130879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Аквадистилятор АЭ-10МО со сборником для очищеной воды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000000077657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Аквадистилятор электрический АЭ-10 МО в комплекте со сборником для хран.воды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000000085257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Гемоглобинатор фотометрический портативный АГФ-03/540 "Минигем" Модерниз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000000085225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Гемоглобинатор фотометрический портативный АГФ-03/540 "Минигем" Модерниз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000000085226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медицинский МИКМЕД-5СД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000000085091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медицинский МИКМЕД-5СД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000000085099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медицинский МИКМЕД-5СД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000000085103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медицинский МИКМЕД-5СД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000000085104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Счетчик медицинский лейко-цитарной формулы крови СЭЛ-3Д Модерн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000000085123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Счетчик медицинский лейко-цитарной формулы крови СЭЛ-3Д Модерн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000000085124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Центрифуга медицинская СМ-6МТ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000000085080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Центрифуга медицинская СМ-6МТ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000000085083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Аквадистилятор электрический ДЭ-25-"Спб"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000000086553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STAT FAX- 2100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биохимический STAT-FAX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биохимический"Stat-Fas"1904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000000074002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гемоглобина HemoCue Hb 201+ с принадлежностями и стартовым комплектом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000000079069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гемоглобина HemoCue Hb 201+ с принадлежностями и стартовым комплектом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000000079070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мочи CL-500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000000078900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мочи CL-500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000000078899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"Биолом 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"Биолом-15"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000000074088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"Биолом-15"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"Биолом-15"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"Микмед-1"с осветителем ОИ 32СД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Микмед-1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Микроскоп"Микмед"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EPSON LX-300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000000077838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к анализатору-коагулометру DPU414-30В-Е-1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000000079325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Турбидиметрический гемокоагулометр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Турбидиметрический гемокоагулометр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"Микромед-2 вар.2-20"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000000077621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Система водоочистки для C.Integra 400-700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000000086618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Микроскоп"Микмед"-1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Микроскоп"Микмед"-1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Биолам микроскоп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000000074101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Колориметр КФК-2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000000074036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000000074043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Центрифуга лабораторная медицинская настольная с ротором на 10 пробирок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000000079548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Центрифуга лабораторная медицинская настольная с ротором на 10 пробирок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000000079549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NycoCard Reader II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000000080040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Печатающее устройство для гематологического анализатора Epson LX-300+II матричны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000000084978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Epson LX 300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000000076778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Счетчик формулы крови СЭЛ-3ДП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000000078874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Осветитель микроскопный ПО-01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83221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Аквадистиллятор Д-10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биологический -12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Микроскоп биологический "Биолом" Р-13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000000074075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Шкаф сушильный ШСС-80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000000074067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Экспресс-анализатор биохимический портативный "Аккутренд Плюс"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87004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 ОБН-150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82916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Экспресс-измер.конц.глюкозы в крови Сателлит Плюс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83072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Сейф СИ-12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000000070747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FORMOZA в сборе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000000078196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Устройство переговорное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82292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стиральная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000000070780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Индезит ST145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000000081677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"Деутек"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000000072368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АТЛАНТ 2808-90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000000079633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Ресивер эфирный Rexant 35-001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85372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Вентилятор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без аккумулятора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швейная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Компьютер Хеон 2.6.Монитор "Самсунг"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000000075288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HP-LJ 1200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000000075257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HP-LJ 1200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000000075259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лазерный Samsung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000000075236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KLONDIKE PМ Р4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000000077289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Рабочее место №1(51439h .Системный блок:Intel Core i5-3330/ 4Gb PC3-12800 /HDD 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Лазерное МФУ Canon IR 1020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000000081680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 xml:space="preserve"> hp Laserjet Pro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>1217 nfw &lt;CE844A#ACB&gt;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000000086008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Samsung ML-1641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000000081305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с кадриджем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000000075230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Радиоприемник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82571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Samsung ML-1641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Принтсервер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79902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Сканер Canon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111423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19 LG Flatron ж/к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111503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20" Viewsonic ж/к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114457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19 TFT SAMSUNG E1920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113804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22 ЖК Philips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114062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21,5 ЖК Philips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115458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21,5" LG 22М37D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115910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LD-71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85412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электронный для проведения управляемой искусственной вентиляции лекгих 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000000088082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000000074385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Держатель разовых лезвий ножа микротома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000000083419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Держатель разовых лезвий ножа микротома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000000083420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Осветитель к микроскопу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82977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Тележка со съемными носилками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82128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АТ-10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82214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Микротом санный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000000074355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Комплекс аппаратно-програмный"Валента"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000000074510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Компьютер персоналный Монитор,процессор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000000074511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Комплекс сут.мониторирования ЭКГ МИОКАРД-ХОЛТЕР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000000081240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Ноутбук Tosh L 300 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000000080149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Sempron 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НР Laser Jet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000000074509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Регистратор амбулаторный индивидуальный трехканальный МАХАОН-03 в комплекте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000000085351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Регистратор амбулаторный индивидуальный трехканальный МАХАОН-03 в комплекте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000000085352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Электрокардиограф SHILLER CARDIOVIT АТ-2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Электрокардиограф SHILLER CARDIOVIT АТ-2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Электрокардиограф двенадцатиканальный для регистрации ЭКГ в ручном и автоматичес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000000087898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Samsung 795DF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 ОБН-150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000000076849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Гастровидеоскоп GIF-Q150 производства Olimpus Medical System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000000085183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Фибробронхоскоп BF-30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000000074280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Сканер ультразвуковой Acu Vista 880i в комплекте: 1.Конвексный датчик 2-5 Мнz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000000086539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Эндовидиокамера "TELECAM" ОХ 964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000000072435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Дефибриллятор монитор Dixion HD-1 с принадлежностями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 ОБН-150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82916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медицинский бактерицидный "Азов" ОБРН-2х15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87876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3 900,00р.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Кресло гинекологическое без привода для обследований КГ-1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000000080473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"Электронож ЭН-57"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000000070467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"Электронож ЭН-57м"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000000070398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"Свияга"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000000074403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Камин эл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Камин эл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"Ока"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000000073898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"Океан"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000000074417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"Полюс"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000000073997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"Снайга"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"Снайга"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000000074406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Электроплита"Лысьва"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000000082420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Видеопринтер цветной Sony UP-21 MD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Видеопринтер ч/б Sony UP-897 MD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ПД без аккумулятора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бесперибойного питания UPS 1000VA Smart APC &lt;SUA1000I&gt; USB без аккумулятора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000000084607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Электрокардиограф SHILLER CARDIOVIT АТ-2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Комплекс мониторинга электрокардиосигналов и артериального давления, КАРДИОСЕНС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000000088570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Апекс-локатор ОВК 3.0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Апекс-локатор ОВК 3.0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Апекс-локатор ОВК 3.0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Апекс-локатор ОВК 3.0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Определитель состояния пульпы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000000077921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Определитель состояния пульпы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000000083446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пластиковая рентгенографическая ЭУ-В2 30х40 с усил.экраном "Ренекс КРП"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пластиковая рентгенографическая ЭУ-В2 30х40 с усил.экраном "Ренекс КРП"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пластиковая рентгенографическая ЭУ-В2 30х40 с усил.экраном "Ренекс КРП"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18х24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18х24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18х24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24х30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24х30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24х30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000000087681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000000087702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Аудиометр поликлинический AD 226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000000085108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Отоскоп ВЕТА 200F с принадлежностями в наборе И-141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000000085408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Ингалятор Туман 1.1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000000078734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2, терминал, монитор ,МФУ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000000085316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000000074855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"Полюс 101"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000000070983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Стерилизатор ГП-20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000000071059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Велотренажер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000000070883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Велотренажер"Здоровье"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000000070903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Велоэргомер "Бодрость"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000000070901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Велоэргомер "Бодрость"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000000070908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Весы медицинские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000000071022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000000071040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2х ств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000000070868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000000070860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000000070866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000000070951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ТС-80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"Атлант" 2808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000000081225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Стиральная машина"ZANUSSI"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000000072653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Кресло гинекологическое КГ-06.02-"Горское"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Вышка-тура Мега1 Н-3,8м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000000087315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Насос WEDA10N PUMP-230V-1-50HZ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000000086159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(Комбайн лазерное МФУ) Canon iR-1133 &lt;4840В001&gt; двусторонняя печать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000000087012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блок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 xml:space="preserve"> CPU Intel Core i3-4130 3.4 GHz/2core/SVGA HD Graphlcs 4400/0.5+3M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000000087007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Компьютер (процессор,монитор)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000000080961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Заземление переносное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000000080620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Заземление переносное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000000082458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Мегаомметр ЭС 0202/2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000000080618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Печь СВЧ LG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000000081664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Печь СВЧ LG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000000083084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Пресс ручной гидравлический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000000080619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измерительный UT-526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000000081251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Электродрель с перфоратором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000000081547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Газонокосилка электр. ELM HUTEK 1800Вт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Детектор РМD 10 Bosch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000000087129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 MAKITA HR 2450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000000085885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 MAKITA HR 2450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000000086131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Пирометр инфракрасный ADA TemPro 700 (от-50гр.С до 700гр.С)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000000087259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Станок сверлильный 2901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000000086130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Шлифовальная угловая машина 9558HN MAKITA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000000085879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Вышка-тура Алюмет Серия Техно 4207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000000088940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Коллектор манометрический цифровой для фреона при заправке хладагента Hti HT-750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000000089407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Компрессор поршневой масляный КМ 50-260 Quattro Element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000000089404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Стремянка диэлектрическая 1,8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000000088972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Дальномер лазерный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000000080909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Леса строительные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000000079068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Люксометр MS6610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000000081107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648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"Смоленск-414"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000000076978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 аккум. Интерскол ДА-13/18ВК 18ВК кейс 2 аккум. заярядн. Устройство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000000090369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 аккум.Интерскол ДА-13/18ВК бесщеточная 18В 2*2Ач Li-in 0-400/1400об/мин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000000090408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Завеса тепловая Bally BHC-CE-3T HC-1109499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000000090370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 BOSCH GBH7-46DE1350Вт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000000080233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Пила бензиновая STIHL MS 170 с шиной 35см (14") 1300 Вт/1.8 л.с. оранжевый/черны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000000089401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Сверильно-токарный станок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000000075714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Станок УРМ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000000075750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УШМ Интерскол УШМ-125/18В без аккумулятора и зарадного устройства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000000090409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AMD SEMPRON-64/DVD ROM/клавиатура/м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000000077448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Факс Panasonic KX-FC243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000000077348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Фотокамера CANON ФБ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000000078860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000000070225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000000073910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Электроперфоратор MAKITA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000000079390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HP LJ 1010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000000075279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Принтер-ксерокс лазерный, МФУ Canon i-Sensys **ФБ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000000081790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Бензоножницы Champion HT726R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000000089335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Вышка Тура разборная, 5м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Дрель-шуруповерт ударная аккумуляторная Вихрь ДА-24Л-2ку 72/14/19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000000089227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Дрель-шуруповерт ударная аккумуляторная Вихрь ДА-24Л-2ку 72/14/19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000000089228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углошлифовальная PATRIOT AG 125Li UES, Диск 125мм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000000089336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 xml:space="preserve"> BOSCH SDS-plus GBH 2-28 F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000000089334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 АЕG KH 24 IE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000000089229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Пылесос строительный FUBAG WD 6SP 60л, 1,4кВт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000000089231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Триммер бензиновый 7Huter0/2/14 GGT-2500Т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000000089333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Триммер бензиновый Huter 70/2/14 GGT-2500Т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000000089332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Шлифмашина угловая AEG WS 22-230 DMS 4935431730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000000089331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Штроборез ЗУБР Мастер 3Ш-30-1200 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000000089230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Компрессор поршневой масляный КМ 50-260 Quattro Element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000000076269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шлифовальная угловая УШМ 150/1300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 эл. п 26/800ЭР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000000087099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Перфоратор эл. п 26/800ЭР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Тример КАРВЕРТ GИС-043 М (2,3л.с леска+нож)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000000087027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Шуруповерт Да 18 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Шуруповерт Да 18 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Шуруповерт Да 18 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Шуруповерт Да 18 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Электродрель ударная Makita НР1620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Электропила дисковая Дп 190/1600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Электрорубанок Hitachi P-20ST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Дрель-шуруповерт ударная аккумуляторная Вихрь ДА-24Л-2ку 72/14/19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000000089226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Мойка для внутренних и внешних блоков с парогенератором и ионизатором WIPCOOL C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000000089530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Сварочный инвертор СВАРОГ REAL ARC 220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87296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Удлинитель на катушке 50м 4гн. IP-44 ПВС 3х1,5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87473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Конвектор Ресанта ОК-1500 67/4/23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90599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Краскопульт пневматический НР форсунка 1,5мм бачок 600мл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89528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Сварочный инвентор РЕСАНТА САИ 220 в кейсе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89526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Тепловая завеса 3кВт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90742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 электрическая Bort BWS-900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87586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Анемометр Benetech GM816 цифровой/Измеритель скорости ветра для вентиляции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89690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Весы электронные DSZH RCS-7040В, до 100кг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90185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 AEG уд.SBE 705 RE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89606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Дрель-шуруповерт аккум. МТХ MCDL-18-02 LI-lon 18В, 3 акк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90774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Клещи токовые UNI-T UT202+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90145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шлифовальная ИНТЕРСКОЛ ЗШМ 125/2703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89763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Насос вакуумный одноступенчатый Value VE135N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90194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Пушка тепловая BALLU ВКХ-3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89743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Вышка Тура алюминиевая Техно 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86961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Дрель-шуруповер аккумуляторная Makita DF457DWE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87103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шлифовальная угловая УШМ Макита 9565 РZ 110Вт 1100 об/мин 125мм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87379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Насос погружной для чистой воды ЗУБР 750 Вт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89022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Обогреватель инфракрасный электрич. 0,6кВт 220В BIH-APL-0.6 Ballu HC-1098365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проводной Ritmix RT-007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86774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Угло-шлифовал.машина УШМ-125-800 М3 Мастер, 800 Вт, d125мм, 11000 об/мин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Углошлифовальная машина АЕG WS 8-125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Фен технический ВГВ-2000Е, 2000Вт, ДИОЛД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Фонарь Экотон 1 без зарадного устройства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87048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Электротриммер HUTER GET-1700B 1,7 кВт леска/диск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88262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 Panasonic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Детектор автоматических выключателей/тестер розеток MS-5902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85276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Детектор цифровой BOSCH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80342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 ударная ДУ-13/780ЭР, 780 Вт, ИНТЕРСКОЛ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85730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Лобзик MAKITA 4327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84607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Пылесос Самсунг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81452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Радиостанция Voxtel MR160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81825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Эл.дрель "Интерскол" ДУ-13/780ЭР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84050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 LG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Радиостанция OPTIMA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81254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Электроточило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80959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Краскопульт эл. STURM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86092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Электродрель ударная Ду1,3/780ЭР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86094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Стеклодомкрат пластмассовый Master MAXLift, одинарный, 40кг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90103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Углошлифовальная машина АЕG WS 8-125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Печь СВЧ LG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000000083083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лазерный/копир Canon i-SENSYS MF4018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000000079116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Аппараты рентгеновские переносные DIG-360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000000084956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Аппараты рентгеновские переносные DIG-360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Комплекс рентгеновский диагностический "КРД-"ПРОТОН"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000000081762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45 000,00р.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17" LG Flatron ж/к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114194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18.5" PHILIPS ж/к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114456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21,5 ЖК Philips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115458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Ж/К SAMSUNG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111380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Строп канатный петлевой опрессовка оСКП-1,6/1,0м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116941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Строп канатный петлевой СКП1 УСК1 1,6т 1м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116942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Строп текстильный петлевой STP-3/3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111433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Таль ручная шестеренная стационарная ТВ-1.5тн, 12.0м ТРШ 1,5/12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116940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комнатный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214879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Течеискатель электронный 55100 Mastercool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116733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Трансформатор электр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210800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5 700,00р.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Устройство зарядное ПАРМА-Электрон УЗ-30 7 для ДГУ-100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214944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мед.Armed YX302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000000087066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Пульсоксиметр мед.Armed YX302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000000087068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000000088843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электронный для контроля холодовой цепи "Термометр"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000000088852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Электрокардиограф SHILLER CARDIOVIT АТ 102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психрометрический ВИТ-2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90449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Глюкометр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 xml:space="preserve"> One Touch Select Plus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87111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Емкость контейнер полимерный ЕДПО 1л. ОМС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Измеритель артериального давления ИАД-01-1-"Адъютор"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90385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Стетофонендоскоп CS Medikca CS-417, комплектация 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87502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AND UA 100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87501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LD-71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85412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Контейнер (емкость) КДС-3"-КРОНТ" 3 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манометр мембранный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Емкость контейнер полимерный ЕДПО 3л. ОМС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Емкость контейнер полимерный ЕДПО 5л. ОМС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Термоиндикатор электронный для контроля холодовой цепи "Термотест Прима"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88745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LD-71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87113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Емкость для сбора колюче-режущих медицинских отходов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90308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электронный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82642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Термоконтейнер ТМ-5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83366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 для мойки и дезинфекции G7892 с принадлежностями: верхняя корзина,нижняя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000000085017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Комплект эндоскопического хирургического оборудования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000000077874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Со/2 инсуфлятор к гинекологическому кабинету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000000073832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Плита электрическая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000000073028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Радиотелефон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000000083451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JVC 1401 АЕ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000000080910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TOSHIBA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000000076774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РНIL 15РТ1727 4360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000000077000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ВВК 2485 FD TG в комплекте с кронштейном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000000086494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"Атлант" 2808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000000072984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Атлант 2808-90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000000076734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Магнитола PHIL-5150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79760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Утюг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83077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1, терминал,монитор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000000085301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2, терминал, монитор ,МФУ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000000085314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АРМ в сборе (Корпус Minitower DeskTop, монитор ж/к PHILIPS 21,5")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000000087348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АМD Athlon-64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000000079456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HP LJ Р1005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HP LJ Р1005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000000079465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Ж/К SAMSUNG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111380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копировальный CANON-128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000000077866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АМD Athlon-64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АМD Athlon-64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АТС Panasonic ТЕМ 824 /усилитель РУШ-2шт,микрофон настольн.-2шт,рупорн.громкогов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000000078868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Телефакс Brother ПД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000000082947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Автотестор К-484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000000075340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Дрель BOSCH GSB 20-ZRE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000000077703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Болгарка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000000083233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Болгарка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000000083234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Лобзик MAKITA 4327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000000080174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Тахограф DТСО 3283 (24 вольт) с блоком СКЗИ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000000087291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Видеорегистратор Техеt DVR-500HD S/N 130371424 в комплекте с картой памяти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000000085738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Косилка роторная навесная правосторонняя с нижним приводом КРН-1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000000088079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шлифовальная угловая DWE4151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Электроножницы НРЕН-520-2.8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000000087109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Аудиометр поликлинический AD 226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000000081662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'Самсунг"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000000073193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"Донбас 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000000073216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открытый ТЭН, объем 10л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Диктофон Panasonic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81205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Утюг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82677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Самсунг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000000073228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для маммографии с экранами-И3/Г3 18х24 с окном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000000085621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000000085730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13х18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000000085731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000000085569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мед. Kodak Medical X-Ray с экранами-И3/Г3 18х24 (два замка)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000000085579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18х24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18х24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18х24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000000087419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000000087429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000000087432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000000087696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000000087697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35х35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000000087698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Экран усиливающий медицинский ЭУ-И3 24х30 "Ренекс"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000000087561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Экран усиливающий медицинский ЭУ-И3 24х30 "Ренекс"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Экран усиливающий медицинский ЭУ-И3 24х30 "Ренекс"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000000087563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Экран усиливающий медицинский ЭУ-И3 24х30 "Ренекс"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000000087475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20х40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000000087476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000000087481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Рамка для крепеления рентгенпленки 30х40 (фиксатор-кнопка)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000000087484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радиографическая КРП с ЭУ-ИЗ/ГЗ 35 х 53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000000087911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Кассета радиографическая КРП с ЭУ-ИЗ/ГЗ 35 х 53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000000087912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Осветитель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000000070576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пациента МЕС-1000 с датчиком темп.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000000081607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пациента МЕС-1000 с датчиком темп.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000000081608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Электрокардиограф CARDIOVIT AT-2 Standart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000000077623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Ридер Anthos 2020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000000077496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 Panasonic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Приставка ТV DTV-2 Lumax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86372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Ritmix RT-100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Холодильник"DAEWOO"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000000072508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Холодильник"Смоленск"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000000072499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Весы медицинские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000000077042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Acrylmat для холодной полимеризации, 4 литра, Sculer Dental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000000087565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учета холодной воды( водомерный узел холодного водоснабжения)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000000087758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цветной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000000073124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Ресивер эфирный Rexant 35-001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85372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Магнитола Vitek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78839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LD-71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85412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манометр мембранный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учета холодной воды( водомерный узел холодного водоснабжения)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АМD Athlon-64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в сборе i3 9100 (сист.блок, монитор 21.5" BenQ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000000088695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3, терминал, монитор, прин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000000085334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/процессор,клавиатура,мышь/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000000080131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М-260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000000072170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Холодильник-256 Стинол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000000072171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"Снайга"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000000072154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EXQISIT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000000076795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Диктофон Sony ICD BX112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83228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 для расфосовки творога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"Ока"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000000071641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Магнитофон "Маяк-205"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000000071597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Морозильник "Минск"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000000071617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Прилавок охладительный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000000074816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"ЗИЛ"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000000071518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"ЗИЛ"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000000071618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"Минск"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000000071642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"Памир"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000000071600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"Свияга"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000000071596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Саратов 264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000000079485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Холодильник"Минск"-Атлант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000000071647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 для фасовки кефира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000000077385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Yealink SIP-T30 (SIP-телефон)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"Свияга"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000000071852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"Смоленск-414"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000000076594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"Смоленск-414"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000000076979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Щит рекламный 0,9*2,0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000000086387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Щит рекламный 0,9*2,0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000000086388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Щит рекламный 0,9*2,0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000000086389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 Panasonic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UPS 400VA PowerMAN Black Star 400 Plus без аккумулятора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84108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"Саратов"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000000071853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Гарнитура (наушники) Panasonic RР-TСА400Е-К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85672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Panasonic KX-TS2388 Rub (черный)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85671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Весы Tefal PP1212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85713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Yealink SIP-T30 (SIP-телефон)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Тревожная кнопка ТК 2GSM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87123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мобильный Vertex С305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 LG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без аккумулятора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Камин эл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Калькулятор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Калькулятор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82710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Лампа настольная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Плита элетрич бытовая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83027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3 750,00р.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Плитка электрич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82914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Утюг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83074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Утюг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82674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Центрифуга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76060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Вентилятор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Калькулятор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Плитка электрическая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82912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швейная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Прибор учета тепловой энергии и теплоуселителя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000000087724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АТ-10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82514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психометрический ВИТ-2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88860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медицинский бактерицидный "Азов" ОБН-150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84238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инфракрасный лобный 92 в 1) Ramili ЕТ3050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87090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3 900,00р.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LD-71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85412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механический детский Адьютор ИДД-01-1 с тремя манжетами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87504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медицинский бесконтактный инфракрасный, F01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Комплект мониторов компьютеризированных носимых одно-,двух-,трехсуточного монито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000000084999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Система водоподготовки для гемодиализа CWP-60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000000081014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Устройство приготовления концентратов диализ. растворов УПК/500-Автомат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000000081020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автомат. для определения гликозилированного гемоглобина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81030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Биопсен C-Line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Биопсен C-Line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85237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Биопсен C-Line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крови автоматический MD7600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крови автоматический MD7600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Анализатор крови автоматический MD7600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85232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Персональный компьютер АМD Ryzen X4 R5-3400G/A320/8Gb RAM/256Gb SSD (монитор, си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88771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Персональный компьютер АМD Ryzen X4 R5-3400G/A320/8Gb RAM/256Gb SSD (монитор, си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88772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Ксерокс Canon MF-4018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80148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Магритно световой стимул УМС-11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73189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Вентилятор напольный Polaris PSF 40G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84323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Компрессор BERKUT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80954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Компрессор BERKUT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79837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Пылесос а/м  Black Deckor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80947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Сканер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80854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Тепловентилятор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82662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Электроножницы ручные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79848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Компрессометр JONNESWAY AR020017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85138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Вентилятор CENTEK CT5006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88693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Тепловентилятор Электролюкс 750/1500W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87382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Пистолет подкачки в комплекте с двумя пневмошлангами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88950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Терминал ГЛОНАСС/GPS "Сигнал S-2551"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87271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87799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87889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87890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Спутниковая система мониторинга транспорта ГЛОНАСС/GPS в комплекте с громкой свя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87893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Рабочая станция в сборе: CPU AMD Phenom II X4 945, корпус Minitower ,клавиатура,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1 025,00р.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1 025,00р.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МФУ Canon MF-4018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80541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Canon LBP-3010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80540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79717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82418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Компьютер FORMOZA в сборе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78806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Системный блок /процессор,клавиатура,мышь/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80135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копировальный CANON FC -128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78816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Samsung ML-1641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80146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НР М402dne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87984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Факс Panasonic KX-FT984RU-B" Biack 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84717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Факс Panasonic KX-FР228 RU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78784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Вентилятор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82836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Вентилятор на прищепке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83417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Камин эл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Детектор купюр PRO COBRA-1300 IR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80948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Обогреватель керамический BORK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84784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Пылесос ЕIO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80888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Термос-чайник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81300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Негатоскоп четырёхкадровый "Гамма"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81177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Принтер HP LaserJet Pro 400 М401&lt;CF270A&gt;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86005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Шкаф сушильный для рентгенпленок ШСРМ-1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80457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Шкаф сушильный 2ц-1193ренг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Негатоскоп четырёхкадровый "Гамма"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74188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Шкаф для сушки рентгеновских снимков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74231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Телефон мобильный Vertex С305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Коммутатор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79025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Система безопасности СКУД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Система безопасности СКУД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CANDY CDD 250 SL с верхней морозилкой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79574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Samsung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79576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Утюг   Б/В 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78994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Пылесос Самсунг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76838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82391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Пылесос Самсунг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79892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Эл. плита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73999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Термометр медицинский цифровой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88153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Аквадистилятор электрический ДЭ-10 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87321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пишущая "Даутек"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83334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Телевизор"LG CF-20D-79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72579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Телевизор"Паносоник"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72582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ВВК 2485 FD TG в комплекте с кронштейном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86492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Диктофон Olympus *** ПД 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83135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Калькулятор CITIZEN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84743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Установка для кондиционирования воздуха "сплит-система" Daikin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88039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Чайник Бош  электр.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81594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односторонни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74437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Шкаф ШСС-80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74448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Стерилизатор паровой ГК-100-3М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86874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2, терминал, монитор ,МФУ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85315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2, терминал, монитор ,МФУ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85321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Автоматизированное рабочее место для врача АРМ МР тип 3, терминал, монитор, прин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85335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Швейная машина "Ягуар"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72936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Электроплита "Мечта"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81457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телефонный Panasonic  Аренда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83644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Утюг Филипс 2907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87877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Кондиционер LG S07LHPn41(LSNH0764DM1)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89494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Кондиционер Panasonic CU/CS-A18GKD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89489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рециркулятор СН 311-115 М/1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88347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рециркулятор СН 311-115 М/1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88348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рециркулятор СН 311-115 М/1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88349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ОБН-450 П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82475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медицинский бактерицидный "Азов" ОБН-150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84238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рециркулятор СН 311-115 М/1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88367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рециркулятор СН 311-115 М/1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88368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Облучатель бактерицидный рециркулятор СН 311-115 М/1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88380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Кондиционер Balu Vision Pro BSVP/in-12HN1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89491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психометрический ВИТ-2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88860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"ЗИЛ"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70206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70224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70226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70227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Холодильник "Юрюзань"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70228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Телевизор PHILIPS25PV815/EE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77616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Телефакс SHARP ПД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80364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Факс Panasonic KX-FT984RU-B BIack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85470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385,00р.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Гарнитура (наушники) Panasonic RР-TСА430Е-S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85502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82414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UPS   Модерниз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83885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 УПС  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82721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4 000,00р.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питания/УПС  (без аккумуляторов)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82720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Лампа настольная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82875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Гарнитура проводная Yealink YHS34 Dual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89577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Контрольно пусковой блок для С2000-СП2 пожарной сигнализации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87587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Машина стиральная "Samsung" мод.WW70R421XTWDLD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88441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автоматический B.Well WA-33 New  с адаптером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87294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автоматический B.Well WA-33 New  с адаптером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87295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автоматический B.Well WA-33 New  с адаптером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87297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автоматический B.Well WA-33 New  с адаптером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87298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автоматический B.Well WA-33 New  с адаптером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87301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автоматический B.Well WA-33 New  с адаптером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87303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Кольпоскоп бинокулярный MODEL ID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77062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Монитор фетальный для двуплодной беременности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81213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Фетальный монитор (кардиотограф) Sonicaid TEAM DUO CARE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78249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Аудиометр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73261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Набор инструментов для типопластики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73251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Набор ларингоскопов типа 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81685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Отоскоп в к-те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73263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Рукоятка универсальная перезарежаемая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73265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"Лор-Дон" для хирургии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73247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"Эзофагоскоп ЭЗС-1"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73262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Аудиометр МА-31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73257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Ультрозвуковой ЛОР-ДОН Синускан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73246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Кресло коляска инвалид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73266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Аденотом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80029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"Звукореактор-тест ЭРГ"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73259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Ап-т бронхоэзофагоскоп "Мезрина"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Выкусыватель гортанный д/взрослых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Выкусыватель гортанный д/детей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80031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Кресло для исслед ушн лабиринта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76008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Кюретка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80030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Отоскоп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80032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Отоскоп в чехле PEN-SCOPE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79733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Петли для тонзилотома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85905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Петля полипная носовая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85936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Скальпингоманипулятор оптический ушной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73250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Тонометр электронный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82633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Фонарик диагностический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78937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Экспресс-измер.конц.глюкозы в крови Сателлит Плюс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83072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психометрический ВИТ-2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88860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психрометрический ВИТ-2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90448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Термостат электрический суховоздушный односторонни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74438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1 100,00р.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Датчик ТОКО (для фетального монитора G6А, G6В)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900653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809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Датчик ЧСС 1 Мгц. (для фетального монитора G6А, G6В)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900652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Отметчик шевеления плода к  фетальным мониторам G6А, G6В)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900654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3648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Гигрометр психометрический ВИТ-2</w:t>
            </w:r>
          </w:p>
        </w:tc>
        <w:tc>
          <w:tcPr>
            <w:tcW w:w="2548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88860</w:t>
            </w:r>
          </w:p>
        </w:tc>
        <w:tc>
          <w:tcPr>
            <w:tcW w:w="1273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100,00р.</w:t>
            </w:r>
          </w:p>
        </w:tc>
        <w:tc>
          <w:tcPr>
            <w:tcW w:w="145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Плита газовая GEFEST ПГ 3200-08 К86, газовая духовка, без крышки, сталь, коричне</w:t>
            </w: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89232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36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Аппарат ультразвуковой SA 6000C с цветным монитором</w:t>
            </w:r>
          </w:p>
        </w:tc>
        <w:tc>
          <w:tcPr>
            <w:tcW w:w="254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75963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1 250,00р.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769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549 715,00р.</w:t>
            </w:r>
          </w:p>
        </w:tc>
      </w:tr>
    </w:tbl>
    <w:p>
      <w:pPr>
        <w:pStyle w:val="Normal"/>
        <w:ind w:firstLine="45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ind w:firstLine="45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гарантирует что оборудование, передаваемое на сбор, транспортирование, подготовке к обработке, утилизации, обезвреживанию, не содержит частей, блоков и устройств, соприкасавшихся с биологическими жидкостями, источников радиоактивного излучения и технических жидкостей, порошков, газов и опасных медицинских отходов классов Б,Д.</w:t>
      </w:r>
    </w:p>
    <w:p>
      <w:pPr>
        <w:pStyle w:val="Normal"/>
        <w:widowControl/>
        <w:ind w:firstLine="36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подтверждает отсутствие у него паспортов завода производителя с указанием количества Драгоценных металлов на Сырье передаваемое </w:t>
      </w:r>
      <w:r>
        <w:rPr>
          <w:rFonts w:cs="Times New Roman" w:ascii="Times New Roman" w:hAnsi="Times New Roman"/>
          <w:b/>
          <w:bCs/>
          <w:sz w:val="18"/>
          <w:szCs w:val="18"/>
        </w:rPr>
        <w:t>Исполнителю</w:t>
      </w:r>
      <w:r>
        <w:rPr>
          <w:rFonts w:cs="Times New Roman" w:ascii="Times New Roman" w:hAnsi="Times New Roman"/>
          <w:sz w:val="18"/>
          <w:szCs w:val="18"/>
        </w:rPr>
        <w:t xml:space="preserve"> по настоящему договору. </w:t>
      </w:r>
    </w:p>
    <w:p>
      <w:pPr>
        <w:pStyle w:val="Normal"/>
        <w:widowControl/>
        <w:ind w:firstLine="360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Заказчик</w:t>
      </w:r>
      <w:r>
        <w:rPr>
          <w:rFonts w:cs="Times New Roman" w:ascii="Times New Roman" w:hAnsi="Times New Roman"/>
          <w:sz w:val="18"/>
          <w:szCs w:val="18"/>
        </w:rPr>
        <w:t xml:space="preserve"> подтверждает, что на его балансе отсутствуют драгоценные металлы, входящие в состав передаваемого Сырья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Исполнителю</w:t>
      </w:r>
      <w:r>
        <w:rPr>
          <w:rFonts w:cs="Times New Roman" w:ascii="Times New Roman" w:hAnsi="Times New Roman"/>
          <w:sz w:val="18"/>
          <w:szCs w:val="18"/>
        </w:rPr>
        <w:t xml:space="preserve"> по настоящему договору. </w:t>
      </w:r>
    </w:p>
    <w:p>
      <w:pPr>
        <w:pStyle w:val="Normal"/>
        <w:widowControl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05"/>
        <w:gridCol w:w="5936"/>
      </w:tblGrid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Исполнитель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Заказчик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ФГБУЗ КБ № 8 ФМБА  России</w:t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Главный врач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936" w:type="dxa"/>
            <w:tcBorders/>
          </w:tcPr>
          <w:p>
            <w:pPr>
              <w:pStyle w:val="Normal"/>
              <w:tabs>
                <w:tab w:val="clear" w:pos="708"/>
                <w:tab w:val="left" w:pos="9614" w:leader="underscor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______________________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С.М. Курдяев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widowControl/>
        <w:spacing w:before="0" w:after="0"/>
        <w:jc w:val="center"/>
        <w:rPr>
          <w:rFonts w:ascii="Times New Roman" w:hAnsi="Times New Roman" w:cs="Times New Roman"/>
          <w:b/>
          <w:bCs/>
          <w:sz w:val="17"/>
          <w:szCs w:val="17"/>
          <w:u w:val="single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-5080</wp:posOffset>
            </wp:positionH>
            <wp:positionV relativeFrom="paragraph">
              <wp:posOffset>8890</wp:posOffset>
            </wp:positionV>
            <wp:extent cx="6810375" cy="6896100"/>
            <wp:effectExtent l="0" t="0" r="0" b="0"/>
            <wp:wrapNone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17"/>
          <w:szCs w:val="17"/>
          <w:u w:val="single"/>
        </w:rPr>
        <w:t xml:space="preserve">АКТ ПРИЕМА-ПЕРЕДАЧИ ОБОРУДОВАНИЯ </w:t>
      </w:r>
    </w:p>
    <w:p>
      <w:pPr>
        <w:pStyle w:val="Normal"/>
        <w:widowControl/>
        <w:ind w:right="-1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b/>
          <w:bCs/>
          <w:sz w:val="17"/>
          <w:szCs w:val="17"/>
        </w:rPr>
        <w:t>Акт № __________ от ___________ к договору № _________ от ________________</w:t>
      </w:r>
    </w:p>
    <w:p>
      <w:pPr>
        <w:pStyle w:val="Normal"/>
        <w:widowControl/>
        <w:ind w:firstLine="709" w:right="-1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widowControl/>
        <w:ind w:firstLine="709" w:right="-1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подписанием настоящего Акта подтверждают факт перехода права собственности на Оборудование:</w:t>
      </w:r>
    </w:p>
    <w:p>
      <w:pPr>
        <w:pStyle w:val="Normal"/>
        <w:widowControl/>
        <w:ind w:firstLine="709" w:right="-1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_____, передало Оборудование для дальнейшего сбора, транспортирования, </w:t>
      </w:r>
      <w:r>
        <w:rPr>
          <w:rFonts w:cs="Times New Roman" w:ascii="Times New Roman" w:hAnsi="Times New Roman"/>
          <w:sz w:val="16"/>
          <w:szCs w:val="16"/>
        </w:rPr>
        <w:t xml:space="preserve">подготовки к </w:t>
      </w:r>
      <w:r>
        <w:rPr>
          <w:rFonts w:cs="Times New Roman" w:ascii="Times New Roman" w:hAnsi="Times New Roman"/>
          <w:sz w:val="17"/>
          <w:szCs w:val="17"/>
        </w:rPr>
        <w:t>обработке, утилизации, обезвреживания..</w:t>
      </w:r>
    </w:p>
    <w:p>
      <w:pPr>
        <w:pStyle w:val="Normal"/>
        <w:widowControl/>
        <w:ind w:firstLine="709" w:right="-1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_________, именуемое в дальнейшем «Исполнитель»,  в лице ________ приняло его.</w:t>
      </w:r>
    </w:p>
    <w:tbl>
      <w:tblPr>
        <w:tblW w:w="94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490"/>
        <w:gridCol w:w="5816"/>
        <w:gridCol w:w="2174"/>
      </w:tblGrid>
      <w:tr>
        <w:trPr>
          <w:trHeight w:val="20" w:hRule="atLeast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п/п</w:t>
            </w:r>
          </w:p>
        </w:tc>
        <w:tc>
          <w:tcPr>
            <w:tcW w:w="5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Наименование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Кол-во, шт.</w:t>
            </w:r>
          </w:p>
        </w:tc>
      </w:tr>
      <w:tr>
        <w:trPr>
          <w:trHeight w:val="20" w:hRule="atLeast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5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Cs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bCs/>
          <w:sz w:val="17"/>
          <w:szCs w:val="17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b/>
          <w:bCs/>
          <w:sz w:val="17"/>
          <w:szCs w:val="17"/>
          <w:u w:val="single"/>
        </w:rPr>
        <w:t>АКТ утилизации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Мы, нижеподписавшиеся,  именуемое в дальнейшем «Заказчик», с одной стороны  и  _______, в лице _______, действующего на основании _____, именуемое в дальнейшем «Исполнитель», с другой стороны, составили настоящий АКТ о том</w:t>
      </w:r>
      <w:r>
        <w:rPr/>
        <w:t xml:space="preserve">, </w:t>
      </w:r>
      <w:r>
        <w:rPr>
          <w:rFonts w:cs="Times New Roman" w:ascii="Times New Roman" w:hAnsi="Times New Roman"/>
          <w:sz w:val="17"/>
          <w:szCs w:val="17"/>
        </w:rPr>
        <w:t xml:space="preserve">что </w:t>
      </w:r>
      <w:r>
        <w:rPr>
          <w:rFonts w:cs="Times New Roman" w:ascii="Times New Roman" w:hAnsi="Times New Roman"/>
          <w:bCs/>
          <w:sz w:val="17"/>
          <w:szCs w:val="17"/>
        </w:rPr>
        <w:t>в результате подготовки к обработке, утилизации, обезвреживанию полученного оборудования от Заказчика образовываются следующие виды отходов</w:t>
      </w:r>
      <w:r>
        <w:rPr>
          <w:sz w:val="17"/>
          <w:szCs w:val="17"/>
        </w:rPr>
        <w:t>:</w:t>
      </w:r>
    </w:p>
    <w:tbl>
      <w:tblPr>
        <w:tblW w:w="108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55"/>
        <w:gridCol w:w="2785"/>
        <w:gridCol w:w="2377"/>
        <w:gridCol w:w="1418"/>
        <w:gridCol w:w="1940"/>
        <w:gridCol w:w="1582"/>
      </w:tblGrid>
      <w:tr>
        <w:trPr>
          <w:trHeight w:val="147" w:hRule="atLeast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п\п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Наименование отхода по ФККО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Вид деятельности по обращению с отходами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Кол-во отхода, тонна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Код отхода по ФККО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b/>
                <w:bCs/>
                <w:sz w:val="17"/>
                <w:szCs w:val="17"/>
              </w:rPr>
              <w:t>Класс опасности</w:t>
            </w:r>
          </w:p>
        </w:tc>
      </w:tr>
      <w:tr>
        <w:trPr>
          <w:trHeight w:val="179" w:hRule="atLeast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</w:tr>
    </w:tbl>
    <w:p>
      <w:pPr>
        <w:pStyle w:val="PlainText"/>
        <w:spacing w:before="0" w:after="0"/>
        <w:ind w:firstLine="567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cs="Times New Roman" w:ascii="Times New Roman" w:hAnsi="Times New Roman"/>
          <w:sz w:val="17"/>
          <w:szCs w:val="17"/>
          <w:lang w:eastAsia="ru-RU"/>
        </w:rPr>
        <w:t>Подписание данного Акта утилизации Заказчик подтверждает переход права собственности на получаемые отходы Исполнителю.</w:t>
      </w:r>
    </w:p>
    <w:p>
      <w:pPr>
        <w:pStyle w:val="PlainText"/>
        <w:spacing w:before="0" w:after="0"/>
        <w:ind w:firstLine="567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cs="Times New Roman" w:ascii="Times New Roman" w:hAnsi="Times New Roman"/>
          <w:sz w:val="17"/>
          <w:szCs w:val="17"/>
          <w:lang w:eastAsia="ru-RU"/>
        </w:rPr>
        <w:t xml:space="preserve">Наименования и коды отходов соответствуют экологическим документам, предоставленным Заказчиком (паспортам опасных отходов, Инвентаризации отходов, ПНООЛР и др.) </w:t>
      </w:r>
    </w:p>
    <w:p>
      <w:pPr>
        <w:pStyle w:val="PlainText"/>
        <w:spacing w:before="0" w:after="0"/>
        <w:ind w:firstLine="567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cs="Times New Roman" w:ascii="Times New Roman" w:hAnsi="Times New Roman"/>
          <w:sz w:val="17"/>
          <w:szCs w:val="17"/>
          <w:lang w:eastAsia="ru-RU"/>
        </w:rPr>
        <w:t xml:space="preserve">Заказчик подтверждает и согласен с наименованиями, кодами и массами отходов в акте на те виды отходов, на которые у Заказчика отсутствуют экологические документы (паспортов опасных отходов, Инвентаризации отходов, ПНООЛР и др.) </w:t>
      </w:r>
    </w:p>
    <w:p>
      <w:pPr>
        <w:pStyle w:val="PlainText"/>
        <w:spacing w:before="0" w:after="0"/>
        <w:ind w:firstLine="567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cs="Times New Roman" w:ascii="Times New Roman" w:hAnsi="Times New Roman"/>
          <w:sz w:val="17"/>
          <w:szCs w:val="17"/>
        </w:rPr>
        <w:t xml:space="preserve"> </w:t>
      </w:r>
      <w:r>
        <w:rPr>
          <w:rFonts w:cs="Times New Roman" w:ascii="Times New Roman" w:hAnsi="Times New Roman"/>
          <w:sz w:val="17"/>
          <w:szCs w:val="17"/>
        </w:rPr>
        <w:t>Сроки и принципы обработки, утилизации, обезвреживания отходов регламентируются внутренними актами и техническими процессами Исполнителя и ФЗ №89.</w:t>
      </w:r>
    </w:p>
    <w:p>
      <w:pPr>
        <w:pStyle w:val="PlainText"/>
        <w:spacing w:before="0" w:after="0"/>
        <w:ind w:firstLine="567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cs="Times New Roman" w:ascii="Times New Roman" w:hAnsi="Times New Roman"/>
          <w:sz w:val="17"/>
          <w:szCs w:val="17"/>
          <w:lang w:eastAsia="ru-RU"/>
        </w:rPr>
        <w:t>Претензий со стороны Заказчика не имеется.</w:t>
      </w:r>
    </w:p>
    <w:p>
      <w:pPr>
        <w:pStyle w:val="Normal"/>
        <w:ind w:right="-144"/>
        <w:jc w:val="center"/>
        <w:rPr>
          <w:rFonts w:ascii="Times New Roman" w:hAnsi="Times New Roman" w:cs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Times New Roman" w:ascii="Times New Roman" w:hAnsi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ind w:right="-144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cs="Times New Roman" w:ascii="Times New Roman" w:hAnsi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АКТ </w:t>
      </w:r>
      <w:r>
        <w:rPr>
          <w:rFonts w:cs="Times New Roman" w:ascii="Times New Roman" w:hAnsi="Times New Roman"/>
          <w:b/>
          <w:bCs/>
          <w:cap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оказанных услуг</w:t>
      </w:r>
      <w:r>
        <w:rPr>
          <w:rFonts w:cs="Times New Roman" w:ascii="Times New Roman" w:hAnsi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cs="Times New Roman" w:ascii="Times New Roman" w:hAnsi="Times New Roman"/>
          <w:b/>
          <w:bCs/>
          <w:sz w:val="17"/>
          <w:szCs w:val="17"/>
        </w:rPr>
        <w:t>№ _____ от</w:t>
      </w:r>
      <w:r>
        <w:rPr>
          <w:rFonts w:cs="Times New Roman" w:ascii="Times New Roman" w:hAnsi="Times New Roman"/>
          <w:sz w:val="17"/>
          <w:szCs w:val="17"/>
        </w:rPr>
        <w:t xml:space="preserve"> </w:t>
      </w:r>
      <w:r>
        <w:rPr>
          <w:rFonts w:cs="Times New Roman" w:ascii="Times New Roman" w:hAnsi="Times New Roman"/>
          <w:b/>
          <w:bCs/>
          <w:sz w:val="17"/>
          <w:szCs w:val="17"/>
        </w:rPr>
        <w:t>______</w:t>
      </w:r>
    </w:p>
    <w:p>
      <w:pPr>
        <w:pStyle w:val="Normal"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cs="Times New Roman" w:ascii="Times New Roman" w:hAnsi="Times New Roman"/>
          <w:b/>
          <w:sz w:val="17"/>
          <w:szCs w:val="17"/>
        </w:rPr>
        <w:t>к договору № __________ от __.__.2026 г.</w:t>
      </w:r>
    </w:p>
    <w:p>
      <w:pPr>
        <w:pStyle w:val="Normal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ab/>
        <w:t>_______________________, именуемое в дальнейшем «Заказчик», в лице ____________________, действующего на основании ________________________,</w:t>
      </w:r>
      <w:r>
        <w:rPr>
          <w:rFonts w:cs="Times New Roman" w:ascii="Times New Roman" w:hAnsi="Times New Roman"/>
          <w:sz w:val="17"/>
          <w:szCs w:val="17"/>
          <w:highlight w:val="white"/>
        </w:rPr>
        <w:t xml:space="preserve"> с одной стороны, и</w:t>
      </w:r>
      <w:r>
        <w:rPr>
          <w:rFonts w:cs="Times New Roman" w:ascii="Times New Roman" w:hAnsi="Times New Roman"/>
          <w:sz w:val="17"/>
          <w:szCs w:val="17"/>
        </w:rPr>
        <w:t xml:space="preserve"> _______, именуемое в дальнейшем «Исполнитель», в лице ______, действующего на основании Устава, а также ______</w:t>
      </w:r>
      <w:r>
        <w:rPr>
          <w:rFonts w:cs="Times New Roman" w:ascii="Times New Roman" w:hAnsi="Times New Roman"/>
          <w:sz w:val="18"/>
          <w:szCs w:val="18"/>
        </w:rPr>
        <w:t>, именуемое в дальнейшем "Заказчик", в лице ________, действующего на основании _____</w:t>
      </w:r>
      <w:r>
        <w:rPr>
          <w:rFonts w:cs="Times New Roman" w:ascii="Times New Roman" w:hAnsi="Times New Roman"/>
          <w:sz w:val="17"/>
          <w:szCs w:val="17"/>
        </w:rPr>
        <w:t xml:space="preserve">, с другой стороны, составили настоящий Акт о нижеследующем: 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40" w:leader="none"/>
        </w:tabs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В соответствии с Договором № _____________  от __.__.2026 года Исполнитель оказал услуги в полном объеме, а именно: сбор, транспортирование, подготовка к обработке, утилизации, обезвреживанию оборудования утратившего потребительские свойства.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40" w:leader="none"/>
        </w:tabs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Фактическое качество оказанных услуг соответствует требованиям Договора:  </w:t>
      </w:r>
      <w:r>
        <w:rPr>
          <w:rFonts w:cs="Times New Roman" w:ascii="Times New Roman" w:hAnsi="Times New Roman"/>
          <w:sz w:val="17"/>
          <w:szCs w:val="17"/>
          <w:u w:val="single"/>
        </w:rPr>
        <w:t xml:space="preserve">соответствует  </w:t>
      </w:r>
      <w:r>
        <w:rPr>
          <w:rFonts w:cs="Times New Roman" w:ascii="Times New Roman" w:hAnsi="Times New Roman"/>
          <w:sz w:val="17"/>
          <w:szCs w:val="17"/>
        </w:rPr>
        <w:t xml:space="preserve"> 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40" w:leader="none"/>
        </w:tabs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Вышеуказанные услуги согласно Договору полностью в соответствии с условиями договора: </w:t>
      </w:r>
      <w:r>
        <w:rPr>
          <w:rFonts w:cs="Times New Roman" w:ascii="Times New Roman" w:hAnsi="Times New Roman"/>
          <w:sz w:val="17"/>
          <w:szCs w:val="17"/>
          <w:u w:val="single"/>
        </w:rPr>
        <w:t xml:space="preserve">соответствует  </w:t>
      </w:r>
      <w:bookmarkStart w:id="1" w:name="_heading=h.gjdgxs"/>
      <w:bookmarkEnd w:id="1"/>
    </w:p>
    <w:p>
      <w:pPr>
        <w:pStyle w:val="ListParagraph"/>
        <w:numPr>
          <w:ilvl w:val="0"/>
          <w:numId w:val="5"/>
        </w:numPr>
        <w:tabs>
          <w:tab w:val="clear" w:pos="708"/>
          <w:tab w:val="left" w:pos="1140" w:leader="none"/>
        </w:tabs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 </w:t>
      </w:r>
      <w:r>
        <w:rPr>
          <w:rFonts w:cs="Times New Roman" w:ascii="Times New Roman" w:hAnsi="Times New Roman"/>
          <w:sz w:val="17"/>
          <w:szCs w:val="17"/>
        </w:rPr>
        <w:t xml:space="preserve">Недостатки оказанных услуг выявлены /не выявлены: </w:t>
      </w:r>
      <w:r>
        <w:rPr>
          <w:rFonts w:cs="Times New Roman" w:ascii="Times New Roman" w:hAnsi="Times New Roman"/>
          <w:sz w:val="17"/>
          <w:szCs w:val="17"/>
          <w:u w:val="single"/>
        </w:rPr>
        <w:t>не выявлены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40" w:leader="none"/>
        </w:tabs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Сумма, подлежащая оплате Исполнителю в соответствии с условиями Договора, составляет ___________ (__________________) 00 копеек, в том числе НДС по ставке 5 %.</w:t>
      </w:r>
    </w:p>
    <w:p>
      <w:pPr>
        <w:pStyle w:val="Normal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Настоящий Акт составлен в двух экземплярах, по одному для каждой из Сторон</w:t>
      </w:r>
    </w:p>
    <w:p>
      <w:pPr>
        <w:pStyle w:val="Normal"/>
        <w:jc w:val="both"/>
        <w:rPr>
          <w:rFonts w:ascii="Times New Roman" w:hAnsi="Times New Roman" w:cs="Times New Roman"/>
          <w:sz w:val="17"/>
          <w:szCs w:val="17"/>
        </w:rPr>
      </w:pPr>
      <w:bookmarkStart w:id="2" w:name="_Hlk208831098"/>
      <w:r>
        <w:rPr>
          <w:rFonts w:cs="Times New Roman" w:ascii="Times New Roman" w:hAnsi="Times New Roman"/>
          <w:sz w:val="17"/>
          <w:szCs w:val="17"/>
        </w:rPr>
        <w:t xml:space="preserve">Настоящий Акт является основанием для проведения расчётов и платежей между  Заказчиком и Исполнителем. </w:t>
      </w:r>
      <w:bookmarkEnd w:id="2"/>
    </w:p>
    <w:p>
      <w:pPr>
        <w:pStyle w:val="Normal"/>
        <w:ind w:right="-144"/>
        <w:jc w:val="center"/>
        <w:rPr>
          <w:rFonts w:ascii="Times New Roman" w:hAnsi="Times New Roman" w:cs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Times New Roman" w:ascii="Times New Roman" w:hAnsi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ind w:right="-144"/>
        <w:jc w:val="center"/>
        <w:rPr>
          <w:rFonts w:ascii="Times New Roman" w:hAnsi="Times New Roman" w:cs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Times New Roman" w:ascii="Times New Roman" w:hAnsi="Times New Roman"/>
          <w:b/>
          <w:bCs/>
          <w:sz w:val="17"/>
          <w:szCs w:val="1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ПАСПОРТ-РАСЧЕТ № ___________ от __________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ab/>
        <w:t xml:space="preserve">к Акту приема-передачи оборудования № 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в количестве 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Акт оказанных услуг  №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УПД № 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по Договору № 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Количество электронного лома: </w:t>
      </w:r>
    </w:p>
    <w:p>
      <w:pPr>
        <w:pStyle w:val="Normal"/>
        <w:ind w:hanging="5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Вид сырья: Списанная техника организации, содержащая лом отходы драгоценных металлов.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20"/>
        <w:gridCol w:w="3197"/>
        <w:gridCol w:w="2649"/>
        <w:gridCol w:w="2167"/>
        <w:gridCol w:w="2217"/>
      </w:tblGrid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№</w:t>
            </w:r>
          </w:p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п/п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Содержание ДМ в электронном ломе, %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Содержание ДМ в электронном ломе, кг.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Стоимость к возврату, руб.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Срок окончательного расчета, дни.</w:t>
            </w:r>
          </w:p>
        </w:tc>
      </w:tr>
      <w:tr>
        <w:trPr>
          <w:trHeight w:val="20" w:hRule="atLeast"/>
          <w:cantSplit w:val="true"/>
        </w:trPr>
        <w:tc>
          <w:tcPr>
            <w:tcW w:w="10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Отходы радиоэлектронной и низковольтной аппаратуры: платы, разъемы, микросхемы, модули радиолампы, и др.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драгоценных металлов (золотосодержащие)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1.1.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Аu – Удельное содержание золота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Содержание золота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2.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драгоценных металлов (серебросодержащие)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2.1.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Ag – Удельное содержание серебра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Содержание серебра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драгоценных металлов (платиносодержащие)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3.1.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Pt – Удельное содержание платины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Содержание платины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драгоценных металлов (палладийсодержащие)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4.1.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Pd – Удельное содержание палладия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Содержание палладия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5.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цветных металлов (медь)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5.1.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Cu – Удельное содержание меди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Содержание меди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>.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цветных металлов (алюминий)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>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Al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 xml:space="preserve"> – Удельное содержание алюминия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 xml:space="preserve">Содержание 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>алюминия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7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>.</w:t>
            </w:r>
          </w:p>
        </w:tc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Лом и отходы  черных  металлов</w:t>
            </w:r>
          </w:p>
        </w:tc>
      </w:tr>
      <w:tr>
        <w:trPr>
          <w:trHeight w:val="20" w:hRule="atLeast"/>
          <w:cantSplit w:val="true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>7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>.1.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Удельное содержание черных металлов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  <w:lang w:val="en-US"/>
              </w:rPr>
              <w:t xml:space="preserve">Содержание </w:t>
            </w:r>
            <w:r>
              <w:rPr>
                <w:rFonts w:cs="Times New Roman" w:ascii="Times New Roman" w:hAnsi="Times New Roman"/>
                <w:sz w:val="17"/>
                <w:szCs w:val="17"/>
              </w:rPr>
              <w:t>черных металлов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cs="Times New Roman" w:ascii="Times New Roman" w:hAnsi="Times New Roman"/>
                <w:sz w:val="17"/>
                <w:szCs w:val="17"/>
              </w:rPr>
              <w:t>83</w:t>
            </w:r>
          </w:p>
        </w:tc>
      </w:tr>
    </w:tbl>
    <w:p>
      <w:pPr>
        <w:pStyle w:val="Normal"/>
        <w:ind w:hanging="0" w:left="1" w:right="53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              </w:t>
      </w:r>
      <w:r>
        <w:rPr>
          <w:rFonts w:cs="Times New Roman" w:ascii="Times New Roman" w:hAnsi="Times New Roman"/>
          <w:sz w:val="17"/>
          <w:szCs w:val="17"/>
        </w:rPr>
        <w:t>Данные получены.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Стоимости к возврату золота, серебра, платины и палладия (далее драгоценных металлов), содержащихся в ломе и отходах, принимаемых от Заказчика считается как цена за 1 грамм драгоценных металлов на день предшествующий дате создания паспорта по курсу Центрального банка Российской Федерации на количество драгоценных металлов в Сырье переданном Заказчиком Исполнителю.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05"/>
        <w:gridCol w:w="5936"/>
      </w:tblGrid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Исполнитель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Заказчик</w:t>
            </w:r>
          </w:p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ФГБУЗ КБ № 8 ФМБА  России</w:t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Главный врач</w:t>
            </w:r>
          </w:p>
        </w:tc>
      </w:tr>
      <w:tr>
        <w:trPr/>
        <w:tc>
          <w:tcPr>
            <w:tcW w:w="4705" w:type="dxa"/>
            <w:tcBorders/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___________________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936" w:type="dxa"/>
            <w:tcBorders/>
          </w:tcPr>
          <w:p>
            <w:pPr>
              <w:pStyle w:val="Normal"/>
              <w:tabs>
                <w:tab w:val="clear" w:pos="708"/>
                <w:tab w:val="left" w:pos="9614" w:leader="underscor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______________________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С.М. Курдяев</w:t>
            </w:r>
          </w:p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</w:tr>
    </w:tbl>
    <w:p>
      <w:pPr>
        <w:pStyle w:val="Normal"/>
        <w:shd w:val="clear" w:color="auto" w:fill="FFFFFF"/>
        <w:ind w:firstLine="709" w:right="7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sectPr>
      <w:footerReference w:type="default" r:id="rId6"/>
      <w:type w:val="nextPage"/>
      <w:pgSz w:w="11906" w:h="16838"/>
      <w:pgMar w:left="578" w:right="578" w:gutter="0" w:header="0" w:top="278" w:footer="709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 Unicode MS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Cambria" w:hAnsi="Cambria" w:asciiTheme="majorHAnsi" w:hAnsiTheme="majorHAnsi"/>
      </w:rPr>
    </w:pPr>
    <w:r>
      <w:rPr>
        <w:rFonts w:ascii="Cambria" w:hAnsi="Cambria" w:asciiTheme="majorHAnsi" w:hAnsiTheme="majorHAnsi"/>
      </w:rPr>
      <w:t xml:space="preserve">~ </w:t>
    </w:r>
    <w:r>
      <w:rPr>
        <w:rFonts w:ascii="Times New Roman" w:hAnsi="Times New Roman"/>
        <w:sz w:val="18"/>
        <w:szCs w:val="18"/>
      </w:rPr>
      <w:fldChar w:fldCharType="begin"/>
    </w:r>
    <w:r>
      <w:rPr>
        <w:sz w:val="18"/>
        <w:szCs w:val="18"/>
        <w:rFonts w:ascii="Times New Roman" w:hAnsi="Times New Roman"/>
      </w:rPr>
      <w:instrText xml:space="preserve"> PAGE </w:instrText>
    </w:r>
    <w:r>
      <w:rPr>
        <w:sz w:val="18"/>
        <w:szCs w:val="18"/>
        <w:rFonts w:ascii="Times New Roman" w:hAnsi="Times New Roman"/>
      </w:rPr>
      <w:fldChar w:fldCharType="separate"/>
    </w:r>
    <w:r>
      <w:rPr>
        <w:sz w:val="18"/>
        <w:szCs w:val="18"/>
        <w:rFonts w:ascii="Times New Roman" w:hAnsi="Times New Roman"/>
      </w:rPr>
      <w:t>25</w:t>
    </w:r>
    <w:r>
      <w:rPr>
        <w:sz w:val="18"/>
        <w:szCs w:val="18"/>
        <w:rFonts w:ascii="Times New Roman" w:hAnsi="Times New Roman"/>
      </w:rPr>
      <w:fldChar w:fldCharType="end"/>
    </w:r>
    <w:r>
      <w:rPr>
        <w:rFonts w:ascii="Cambria" w:hAnsi="Cambria" w:asciiTheme="majorHAnsi" w:hAnsiTheme="majorHAnsi"/>
      </w:rPr>
      <w:t xml:space="preserve"> ~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lvl w:ilvl="0">
      <w:start w:val="1"/>
      <w:numFmt w:val="decimal"/>
      <w:lvlText w:val="9.%1."/>
      <w:lvlJc w:val="left"/>
      <w:pPr>
        <w:tabs>
          <w:tab w:val="num" w:pos="0"/>
        </w:tabs>
        <w:ind w:left="851" w:hanging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09" w:hanging="0"/>
      </w:pPr>
      <w:rPr>
        <w:rFonts w:ascii="Times New Roman" w:hAnsi="Times New Roman" w:eastAsia="Times New Roman" w:cs="Times New Roman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709" w:hanging="0"/>
      </w:pPr>
      <w:rPr/>
    </w:lvl>
  </w:abstractNum>
  <w:abstractNum w:abstractNumId="6">
    <w:lvl w:ilvl="0">
      <w:start w:val="1"/>
      <w:numFmt w:val="decimal"/>
      <w:lvlText w:val="1.%1."/>
      <w:lvlJc w:val="left"/>
      <w:pPr>
        <w:tabs>
          <w:tab w:val="num" w:pos="0"/>
        </w:tabs>
        <w:ind w:left="1287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1.%1."/>
      <w:lvlJc w:val="left"/>
      <w:pPr>
        <w:tabs>
          <w:tab w:val="num" w:pos="0"/>
        </w:tabs>
        <w:ind w:left="1287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1.%1."/>
      <w:lvlJc w:val="left"/>
      <w:pPr>
        <w:tabs>
          <w:tab w:val="num" w:pos="0"/>
        </w:tabs>
        <w:ind w:left="1287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1.%1."/>
      <w:lvlJc w:val="left"/>
      <w:pPr>
        <w:tabs>
          <w:tab w:val="num" w:pos="0"/>
        </w:tabs>
        <w:ind w:left="1287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1.%1."/>
      <w:lvlJc w:val="left"/>
      <w:pPr>
        <w:tabs>
          <w:tab w:val="num" w:pos="0"/>
        </w:tabs>
        <w:ind w:left="1287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1">
    <w:lvl w:ilvl="0">
      <w:start w:val="1"/>
      <w:numFmt w:val="decimal"/>
      <w:lvlText w:val="1.%1."/>
      <w:lvlJc w:val="left"/>
      <w:pPr>
        <w:tabs>
          <w:tab w:val="num" w:pos="0"/>
        </w:tabs>
        <w:ind w:left="1287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2">
    <w:lvl w:ilvl="0">
      <w:start w:val="1"/>
      <w:numFmt w:val="decimal"/>
      <w:lvlText w:val="2.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2.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2.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2.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2.%1.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7">
    <w:lvl w:ilvl="0">
      <w:start w:val="3"/>
      <w:numFmt w:val="decimal"/>
      <w:lvlText w:val="3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8">
    <w:lvl w:ilvl="0">
      <w:start w:val="3"/>
      <w:numFmt w:val="decimal"/>
      <w:lvlText w:val="3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lvl w:ilvl="0">
      <w:start w:val="3"/>
      <w:numFmt w:val="decimal"/>
      <w:lvlText w:val="3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0">
    <w:lvl w:ilvl="0">
      <w:start w:val="3"/>
      <w:numFmt w:val="decimal"/>
      <w:lvlText w:val="3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1">
    <w:lvl w:ilvl="0">
      <w:start w:val="3"/>
      <w:numFmt w:val="decimal"/>
      <w:lvlText w:val="3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2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4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5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6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7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8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9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0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1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2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3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4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5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6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7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8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9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0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1">
    <w:lvl w:ilvl="0">
      <w:start w:val="1"/>
      <w:numFmt w:val="decimal"/>
      <w:lvlText w:val="5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2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3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4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6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8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9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0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1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2">
    <w:lvl w:ilvl="0">
      <w:start w:val="1"/>
      <w:numFmt w:val="decimal"/>
      <w:lvlText w:val="6.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6"/>
    <w:lvlOverride w:ilvl="0">
      <w:startOverride w:val="1"/>
    </w:lvlOverride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12"/>
    <w:lvlOverride w:ilvl="0">
      <w:startOverride w:val="1"/>
    </w:lvlOverride>
  </w:num>
  <w:num w:numId="61">
    <w:abstractNumId w:val="12"/>
  </w:num>
  <w:num w:numId="62">
    <w:abstractNumId w:val="12"/>
  </w:num>
  <w:num w:numId="63">
    <w:abstractNumId w:val="12"/>
  </w:num>
  <w:num w:numId="64">
    <w:abstractNumId w:val="12"/>
  </w:num>
  <w:num w:numId="65">
    <w:abstractNumId w:val="17"/>
    <w:lvlOverride w:ilvl="0">
      <w:startOverride w:val="3"/>
    </w:lvlOverride>
    <w:lvlOverride w:ilvl="1">
      <w:startOverride w:val="1"/>
    </w:lvlOverride>
  </w:num>
  <w:num w:numId="66">
    <w:abstractNumId w:val="17"/>
  </w:num>
  <w:num w:numId="67">
    <w:abstractNumId w:val="17"/>
  </w:num>
  <w:num w:numId="68">
    <w:abstractNumId w:val="17"/>
  </w:num>
  <w:num w:numId="69">
    <w:abstractNumId w:val="17"/>
  </w:num>
  <w:num w:numId="70">
    <w:abstractNumId w:val="22"/>
    <w:lvlOverride w:ilvl="0">
      <w:startOverride w:val="1"/>
    </w:lvlOverride>
  </w:num>
  <w:num w:numId="71">
    <w:abstractNumId w:val="22"/>
  </w:num>
  <w:num w:numId="72">
    <w:abstractNumId w:val="22"/>
  </w:num>
  <w:num w:numId="73">
    <w:abstractNumId w:val="22"/>
  </w:num>
  <w:num w:numId="74">
    <w:abstractNumId w:val="22"/>
  </w:num>
  <w:num w:numId="75">
    <w:abstractNumId w:val="22"/>
  </w:num>
  <w:num w:numId="76">
    <w:abstractNumId w:val="22"/>
  </w:num>
  <w:num w:numId="77">
    <w:abstractNumId w:val="22"/>
  </w:num>
  <w:num w:numId="78">
    <w:abstractNumId w:val="22"/>
  </w:num>
  <w:num w:numId="79">
    <w:abstractNumId w:val="31"/>
    <w:lvlOverride w:ilvl="0">
      <w:startOverride w:val="1"/>
    </w:lvlOverride>
  </w:num>
  <w:num w:numId="80">
    <w:abstractNumId w:val="31"/>
  </w:num>
  <w:num w:numId="81">
    <w:abstractNumId w:val="31"/>
  </w:num>
  <w:num w:numId="82">
    <w:abstractNumId w:val="31"/>
  </w:num>
  <w:num w:numId="83">
    <w:abstractNumId w:val="31"/>
  </w:num>
  <w:num w:numId="84">
    <w:abstractNumId w:val="31"/>
  </w:num>
  <w:num w:numId="85">
    <w:abstractNumId w:val="31"/>
  </w:num>
  <w:num w:numId="86">
    <w:abstractNumId w:val="31"/>
  </w:num>
  <w:num w:numId="87">
    <w:abstractNumId w:val="31"/>
  </w:num>
  <w:num w:numId="88">
    <w:abstractNumId w:val="31"/>
  </w:num>
  <w:num w:numId="89">
    <w:abstractNumId w:val="31"/>
  </w:num>
  <w:num w:numId="90">
    <w:abstractNumId w:val="42"/>
    <w:lvlOverride w:ilvl="0">
      <w:startOverride w:val="1"/>
    </w:lvlOverride>
  </w:num>
  <w:num w:numId="91">
    <w:abstractNumId w:val="42"/>
  </w:num>
  <w:num w:numId="92">
    <w:abstractNumId w:val="42"/>
  </w:num>
  <w:num w:numId="93">
    <w:abstractNumId w:val="42"/>
  </w:num>
  <w:num w:numId="94">
    <w:abstractNumId w:val="42"/>
  </w:num>
  <w:num w:numId="95">
    <w:abstractNumId w:val="42"/>
  </w:num>
  <w:num w:numId="96">
    <w:abstractNumId w:val="42"/>
  </w:num>
  <w:num w:numId="97">
    <w:abstractNumId w:val="42"/>
  </w:num>
  <w:num w:numId="98">
    <w:abstractNumId w:val="42"/>
  </w:num>
  <w:num w:numId="99">
    <w:abstractNumId w:val="42"/>
  </w:num>
  <w:num w:numId="100">
    <w:abstractNumId w:val="42"/>
  </w:num>
</w:numbering>
</file>

<file path=word/settings.xml><?xml version="1.0" encoding="utf-8"?>
<w:settings xmlns:w="http://schemas.openxmlformats.org/wordprocessingml/2006/main">
  <w:zoom w:percent="200"/>
  <w:embedSystemFonts/>
  <w:defaultTabStop w:val="708"/>
  <w:autoHyphenation w:val="true"/>
  <w:doNotHyphenateCap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1f4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locked/>
    <w:rsid w:val="006f0aa9"/>
    <w:pPr>
      <w:keepNext w:val="true"/>
      <w:widowControl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6f0aa9"/>
    <w:rPr>
      <w:rFonts w:ascii="Times New Roman CYR" w:hAnsi="Times New Roman CYR" w:cs="Times New Roman CYR"/>
      <w:b/>
      <w:bCs/>
      <w:sz w:val="24"/>
      <w:szCs w:val="24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locked/>
    <w:rsid w:val="00ff1c50"/>
    <w:rPr>
      <w:rFonts w:ascii="Arial" w:hAnsi="Arial" w:cs="Arial"/>
      <w:sz w:val="20"/>
      <w:szCs w:val="20"/>
      <w:lang w:val="x-none"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locked/>
    <w:rsid w:val="00ff1c50"/>
    <w:rPr>
      <w:rFonts w:ascii="Arial" w:hAnsi="Arial" w:cs="Arial"/>
      <w:sz w:val="20"/>
      <w:szCs w:val="20"/>
      <w:lang w:val="x-none"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sid w:val="00de000c"/>
    <w:rPr>
      <w:rFonts w:ascii="Tahoma" w:hAnsi="Tahoma" w:cs="Tahoma"/>
      <w:sz w:val="16"/>
      <w:szCs w:val="16"/>
      <w:lang w:val="x-none" w:eastAsia="ru-RU"/>
    </w:rPr>
  </w:style>
  <w:style w:type="character" w:styleId="2" w:customStyle="1">
    <w:name w:val="Основной текст 2 Знак"/>
    <w:basedOn w:val="DefaultParagraphFont"/>
    <w:link w:val="BodyText2"/>
    <w:uiPriority w:val="99"/>
    <w:qFormat/>
    <w:locked/>
    <w:rsid w:val="009c7d81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e32e5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8161d9"/>
    <w:rPr>
      <w:rFonts w:cs="Times New Roman"/>
      <w:i/>
      <w:iCs/>
    </w:rPr>
  </w:style>
  <w:style w:type="character" w:styleId="Apple-style-span" w:customStyle="1">
    <w:name w:val="apple-style-span"/>
    <w:basedOn w:val="DefaultParagraphFont"/>
    <w:uiPriority w:val="99"/>
    <w:qFormat/>
    <w:rsid w:val="007f36d6"/>
    <w:rPr>
      <w:rFonts w:cs="Times New Roman"/>
    </w:rPr>
  </w:style>
  <w:style w:type="character" w:styleId="Style16" w:customStyle="1">
    <w:name w:val="Основной текст Знак"/>
    <w:basedOn w:val="DefaultParagraphFont"/>
    <w:uiPriority w:val="99"/>
    <w:qFormat/>
    <w:locked/>
    <w:rsid w:val="001e2c0a"/>
    <w:rPr>
      <w:rFonts w:ascii="Arial" w:hAnsi="Arial" w:cs="Arial"/>
    </w:rPr>
  </w:style>
  <w:style w:type="character" w:styleId="FontStyle13" w:customStyle="1">
    <w:name w:val="Font Style13"/>
    <w:basedOn w:val="DefaultParagraphFont"/>
    <w:uiPriority w:val="99"/>
    <w:qFormat/>
    <w:rsid w:val="00c213e6"/>
    <w:rPr>
      <w:rFonts w:ascii="Times New Roman" w:hAnsi="Times New Roman" w:cs="Times New Roman"/>
      <w:sz w:val="22"/>
      <w:szCs w:val="22"/>
    </w:rPr>
  </w:style>
  <w:style w:type="character" w:styleId="Style17" w:customStyle="1">
    <w:name w:val="Текст Знак"/>
    <w:basedOn w:val="DefaultParagraphFont"/>
    <w:link w:val="PlainText"/>
    <w:uiPriority w:val="99"/>
    <w:qFormat/>
    <w:locked/>
    <w:rsid w:val="006f0aa9"/>
    <w:rPr>
      <w:rFonts w:ascii="Courier New" w:hAnsi="Courier New" w:cs="Courier New"/>
      <w:sz w:val="22"/>
      <w:szCs w:val="22"/>
      <w:lang w:val="x-none" w:eastAsia="en-US"/>
    </w:rPr>
  </w:style>
  <w:style w:type="character" w:styleId="FontStyle12" w:customStyle="1">
    <w:name w:val="Font Style12"/>
    <w:basedOn w:val="DefaultParagraphFont"/>
    <w:uiPriority w:val="99"/>
    <w:qFormat/>
    <w:rsid w:val="006f0aa9"/>
    <w:rPr>
      <w:rFonts w:ascii="Times New Roman" w:hAnsi="Times New Roman" w:cs="Times New Roman"/>
      <w:b/>
      <w:bCs/>
      <w:sz w:val="22"/>
      <w:szCs w:val="22"/>
    </w:rPr>
  </w:style>
  <w:style w:type="character" w:styleId="Display-string" w:customStyle="1">
    <w:name w:val="display-string"/>
    <w:basedOn w:val="DefaultParagraphFont"/>
    <w:qFormat/>
    <w:rsid w:val="00562ca4"/>
    <w:rPr/>
  </w:style>
  <w:style w:type="character" w:styleId="Strong">
    <w:name w:val="Strong"/>
    <w:basedOn w:val="DefaultParagraphFont"/>
    <w:uiPriority w:val="22"/>
    <w:qFormat/>
    <w:locked/>
    <w:rsid w:val="00707de4"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6"/>
    <w:uiPriority w:val="99"/>
    <w:rsid w:val="001e2c0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rsid w:val="00ff1c5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rsid w:val="00ff1c5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de000c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2"/>
    <w:uiPriority w:val="99"/>
    <w:qFormat/>
    <w:rsid w:val="009c7d81"/>
    <w:pPr>
      <w:spacing w:lineRule="auto" w:line="480" w:before="0" w:after="120"/>
    </w:pPr>
    <w:rPr/>
  </w:style>
  <w:style w:type="paragraph" w:styleId="NormalWeb">
    <w:name w:val="Normal (Web)"/>
    <w:basedOn w:val="Normal"/>
    <w:uiPriority w:val="99"/>
    <w:qFormat/>
    <w:rsid w:val="00e32e54"/>
    <w:pPr>
      <w:widowControl/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8161d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7"/>
    <w:uiPriority w:val="99"/>
    <w:unhideWhenUsed/>
    <w:qFormat/>
    <w:rsid w:val="006f0aa9"/>
    <w:pPr>
      <w:widowControl/>
      <w:spacing w:before="0"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paragraph" w:styleId="Style51" w:customStyle="1">
    <w:name w:val="Style5"/>
    <w:basedOn w:val="Normal"/>
    <w:uiPriority w:val="99"/>
    <w:qFormat/>
    <w:rsid w:val="006f0aa9"/>
    <w:pPr>
      <w:spacing w:lineRule="exact" w:line="408"/>
      <w:jc w:val="both"/>
    </w:pPr>
    <w:rPr>
      <w:rFonts w:ascii="Arial Unicode MS" w:hAnsi="Arial Unicode MS" w:cs="Arial Unicode MS"/>
      <w:sz w:val="24"/>
      <w:szCs w:val="24"/>
    </w:rPr>
  </w:style>
  <w:style w:type="paragraph" w:styleId="Style31" w:customStyle="1">
    <w:name w:val="Style3"/>
    <w:basedOn w:val="Normal"/>
    <w:uiPriority w:val="99"/>
    <w:qFormat/>
    <w:rsid w:val="006f0aa9"/>
    <w:pPr>
      <w:spacing w:lineRule="exact" w:line="274"/>
      <w:jc w:val="center"/>
    </w:pPr>
    <w:rPr>
      <w:rFonts w:ascii="Arial Unicode MS" w:hAnsi="Arial Unicode MS" w:cs="Arial Unicode MS"/>
      <w:sz w:val="24"/>
      <w:szCs w:val="24"/>
    </w:rPr>
  </w:style>
  <w:style w:type="paragraph" w:styleId="Style41" w:customStyle="1">
    <w:name w:val="Style4"/>
    <w:basedOn w:val="Normal"/>
    <w:uiPriority w:val="99"/>
    <w:qFormat/>
    <w:rsid w:val="006f0aa9"/>
    <w:pPr>
      <w:spacing w:lineRule="exact" w:line="278"/>
      <w:ind w:firstLine="101"/>
    </w:pPr>
    <w:rPr>
      <w:rFonts w:ascii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240de9"/>
    <w:pPr>
      <w:spacing w:before="0" w:after="0"/>
      <w:ind w:left="720"/>
      <w:contextualSpacing/>
    </w:pPr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541f4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tilizaciya.com/rus/pub-read/20" TargetMode="External"/><Relationship Id="rId3" Type="http://schemas.openxmlformats.org/officeDocument/2006/relationships/hyperlink" Target="http://www.utilizaciya.com/rus/pub-read/21" TargetMode="External"/><Relationship Id="rId4" Type="http://schemas.openxmlformats.org/officeDocument/2006/relationships/hyperlink" Target="http://www.utilizaciya.com/rus/pub-read/22" TargetMode="Externa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1718A-25B6-4AC9-A534-9487096BC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LibreOffice/7.6.0.3$Windows_X86_64 LibreOffice_project/69edd8b8ebc41d00b4de3915dc82f8f0fc3b6265</Application>
  <AppVersion>15.0000</AppVersion>
  <Pages>25</Pages>
  <Words>11630</Words>
  <Characters>76789</Characters>
  <CharactersWithSpaces>83318</CharactersWithSpaces>
  <Paragraphs>5158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2023-07-17T12:17:00Z</dcterms:created>
  <dc:creator>Павел</dc:creator>
  <dc:description/>
  <dc:language>ru-RU</dc:language>
  <cp:lastModifiedBy/>
  <cp:lastPrinted>2023-07-10T08:34:00Z</cp:lastPrinted>
  <dcterms:modified xsi:type="dcterms:W3CDTF">2026-07-28T10:27:41Z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