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spacing w:lineRule="auto" w:line="240" w:before="0" w:after="0"/>
        <w:jc w:val="center"/>
        <w:rPr>
          <w:rFonts w:ascii="Times New Roman" w:hAnsi="Times New Roman" w:eastAsia="Times New Roman" w:cs="Times New Roman"/>
          <w:b/>
          <w:bCs/>
          <w:sz w:val="28"/>
          <w:szCs w:val="30"/>
          <w:lang w:eastAsia="ru-RU"/>
        </w:rPr>
      </w:pPr>
      <w:r>
        <w:rPr>
          <w:rFonts w:eastAsia="Times New Roman" w:cs="Times New Roman" w:ascii="Times New Roman" w:hAnsi="Times New Roman"/>
          <w:b/>
          <w:bCs/>
          <w:sz w:val="28"/>
          <w:szCs w:val="30"/>
          <w:lang w:eastAsia="ru-RU"/>
        </w:rPr>
        <w:t>Контракт</w:t>
      </w:r>
      <w:r>
        <w:rPr>
          <w:rFonts w:eastAsia="Times New Roman" w:cs="Times New Roman" w:ascii="Times New Roman" w:hAnsi="Times New Roman"/>
          <w:b/>
          <w:bCs/>
          <w:szCs w:val="23"/>
          <w:vertAlign w:val="superscript"/>
          <w:lang w:eastAsia="ru-RU"/>
        </w:rPr>
        <w:t xml:space="preserve"> </w:t>
      </w:r>
      <w:r>
        <w:rPr>
          <w:rFonts w:eastAsia="Times New Roman" w:cs="Times New Roman" w:ascii="Times New Roman" w:hAnsi="Times New Roman"/>
          <w:b/>
          <w:bCs/>
          <w:sz w:val="28"/>
          <w:szCs w:val="30"/>
          <w:lang w:eastAsia="ru-RU"/>
        </w:rPr>
        <w:t xml:space="preserve">№ ________ </w:t>
      </w:r>
    </w:p>
    <w:p>
      <w:pPr>
        <w:pStyle w:val="Normal"/>
        <w:shd w:val="clear" w:color="auto" w:fill="FFFFFF"/>
        <w:spacing w:lineRule="auto" w:line="240" w:before="0" w:after="0"/>
        <w:jc w:val="center"/>
        <w:rPr>
          <w:rFonts w:ascii="Times New Roman" w:hAnsi="Times New Roman" w:eastAsia="Times New Roman" w:cs="Times New Roman"/>
          <w:b/>
          <w:bCs/>
          <w:sz w:val="28"/>
          <w:szCs w:val="30"/>
          <w:lang w:eastAsia="ru-RU"/>
        </w:rPr>
      </w:pPr>
      <w:r>
        <w:rPr>
          <w:rFonts w:eastAsia="Times New Roman" w:cs="Times New Roman" w:ascii="Times New Roman" w:hAnsi="Times New Roman"/>
          <w:b/>
          <w:bCs/>
          <w:sz w:val="28"/>
          <w:szCs w:val="30"/>
          <w:lang w:eastAsia="ru-RU"/>
        </w:rPr>
        <w:t xml:space="preserve">на поставку товара </w:t>
      </w:r>
    </w:p>
    <w:p>
      <w:pPr>
        <w:pStyle w:val="Normal"/>
        <w:shd w:val="clear" w:color="auto" w:fill="FFFFFF"/>
        <w:spacing w:lineRule="auto" w:line="240" w:before="0" w:after="0"/>
        <w:jc w:val="center"/>
        <w:rPr>
          <w:rFonts w:ascii="Times New Roman" w:hAnsi="Times New Roman" w:eastAsia="Times New Roman" w:cs="Times New Roman"/>
          <w:b/>
          <w:bCs/>
          <w:sz w:val="28"/>
          <w:szCs w:val="30"/>
          <w:lang w:eastAsia="ru-RU"/>
        </w:rPr>
      </w:pPr>
      <w:r>
        <w:rPr/>
      </w:r>
    </w:p>
    <w:p>
      <w:pPr>
        <w:pStyle w:val="Normal"/>
        <w:spacing w:before="120" w:after="120"/>
        <w:rPr>
          <w:rFonts w:ascii="Times New Roman" w:hAnsi="Times New Roman" w:cs="Times New Roman"/>
          <w:b/>
        </w:rPr>
      </w:pPr>
      <w:r>
        <w:rPr>
          <w:rFonts w:cs="Times New Roman" w:ascii="Times New Roman" w:hAnsi="Times New Roman"/>
        </w:rPr>
        <w:t>г. Донецк</w:t>
        <w:tab/>
        <w:tab/>
        <w:tab/>
        <w:tab/>
        <w:tab/>
        <w:tab/>
        <w:tab/>
        <w:tab/>
        <w:tab/>
        <w:tab/>
        <w:t>__________2026 г.</w:t>
      </w:r>
    </w:p>
    <w:p>
      <w:pPr>
        <w:pStyle w:val="Normal"/>
        <w:widowControl w:val="false"/>
        <w:shd w:val="clear" w:color="auto" w:fill="FFFFFF"/>
        <w:tabs>
          <w:tab w:val="clear" w:pos="708"/>
          <w:tab w:val="left" w:pos="284" w:leader="none"/>
        </w:tabs>
        <w:spacing w:lineRule="auto" w:line="276" w:before="0" w:after="0"/>
        <w:ind w:firstLine="567"/>
        <w:jc w:val="both"/>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shd w:val="clear" w:color="auto" w:fill="FFFFFF"/>
        <w:tabs>
          <w:tab w:val="clear" w:pos="708"/>
          <w:tab w:val="left" w:pos="284" w:leader="none"/>
        </w:tabs>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Федеральное государственное бюджетное образовательное учреждение высшего образования «Донецкий национальный технический университет»</w:t>
      </w:r>
      <w:r>
        <w:rPr>
          <w:rFonts w:eastAsia="Times New Roman" w:cs="Times New Roman" w:ascii="Times New Roman" w:hAnsi="Times New Roman"/>
          <w:sz w:val="24"/>
          <w:szCs w:val="24"/>
          <w:lang w:eastAsia="ru-RU"/>
        </w:rPr>
        <w:t xml:space="preserve">, именуемое в дальнейшем «Заказчик», в лице ректора Аноприенко Александра Яковлевича, действующего на основании Устава, с одной стороны, </w:t>
      </w:r>
    </w:p>
    <w:p>
      <w:pPr>
        <w:pStyle w:val="Normal"/>
        <w:widowControl w:val="false"/>
        <w:shd w:val="clear" w:color="auto" w:fill="FFFFFF"/>
        <w:tabs>
          <w:tab w:val="clear" w:pos="708"/>
          <w:tab w:val="left" w:pos="284" w:leader="none"/>
        </w:tabs>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и </w:t>
      </w:r>
      <w:r>
        <w:rPr>
          <w:rFonts w:eastAsia="Times New Roman" w:cs="Times New Roman" w:ascii="Times New Roman" w:hAnsi="Times New Roman"/>
          <w:b/>
          <w:sz w:val="24"/>
          <w:szCs w:val="24"/>
          <w:lang w:eastAsia="ru-RU"/>
        </w:rPr>
        <w:t>________________________________________</w:t>
      </w:r>
      <w:r>
        <w:rPr>
          <w:rFonts w:eastAsia="Times New Roman" w:cs="Times New Roman" w:ascii="Times New Roman" w:hAnsi="Times New Roman"/>
          <w:sz w:val="24"/>
          <w:szCs w:val="24"/>
          <w:lang w:eastAsia="ru-RU"/>
        </w:rPr>
        <w:t xml:space="preserve">, именуемое в дальнейшем «Поставщик», в лице _______________________________, действующий на основании Устава, с другой стороны, </w:t>
      </w:r>
    </w:p>
    <w:p>
      <w:pPr>
        <w:pStyle w:val="Normal"/>
        <w:widowControl w:val="false"/>
        <w:shd w:val="clear" w:color="auto" w:fill="FFFFFF"/>
        <w:tabs>
          <w:tab w:val="clear" w:pos="708"/>
          <w:tab w:val="left" w:pos="284" w:leader="none"/>
        </w:tabs>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вместе именуемые «Стороны», в соответствии с п.4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постановлением Правительства Российской Федерации от 31.12.2022 № 2559 «О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 заключили настоящий Контракт (далее – Контракт) о нижеследующем:</w:t>
      </w:r>
    </w:p>
    <w:p>
      <w:pPr>
        <w:pStyle w:val="Normal"/>
        <w:shd w:val="clear" w:color="auto" w:fill="FFFFFF"/>
        <w:spacing w:lineRule="auto" w:line="240" w:before="120" w:after="120"/>
        <w:jc w:val="center"/>
        <w:rPr>
          <w:rFonts w:ascii="Times New Roman" w:hAnsi="Times New Roman" w:eastAsia="Times New Roman" w:cs="Times New Roman"/>
          <w:b/>
          <w:bCs/>
          <w:color w:val="22272F"/>
          <w:sz w:val="30"/>
          <w:szCs w:val="30"/>
          <w:lang w:eastAsia="ru-RU"/>
        </w:rPr>
      </w:pPr>
      <w:r>
        <w:rPr>
          <w:rFonts w:eastAsia="Times New Roman" w:cs="Times New Roman" w:ascii="Times New Roman" w:hAnsi="Times New Roman"/>
          <w:b/>
          <w:bCs/>
          <w:color w:val="22272F"/>
          <w:sz w:val="30"/>
          <w:szCs w:val="30"/>
          <w:lang w:eastAsia="ru-RU"/>
        </w:rPr>
        <w:t>I. Предмет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Поставщик обязуется поставить сантехнические товары (далее - Товар) для обеспечения объектов Заказчика, а Заказчик обязуется принять и оплатить Товар в порядке и на условиях, предусмотренных Контрактом.</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Товар является новым (не бывшим в употреблении, не прошедшим восстановление, не были восстановлены потребительские свойства), свободным от любых прав третьих лиц.</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pPr>
        <w:pStyle w:val="Normal"/>
        <w:shd w:val="clear" w:color="auto" w:fill="FFFFFF"/>
        <w:spacing w:lineRule="auto" w:line="240" w:before="120" w:after="120"/>
        <w:jc w:val="center"/>
        <w:rPr>
          <w:rFonts w:ascii="Times New Roman" w:hAnsi="Times New Roman" w:eastAsia="Times New Roman" w:cs="Times New Roman"/>
          <w:b/>
          <w:bCs/>
          <w:color w:val="22272F"/>
          <w:sz w:val="30"/>
          <w:szCs w:val="30"/>
          <w:lang w:eastAsia="ru-RU"/>
        </w:rPr>
      </w:pPr>
      <w:r>
        <w:rPr>
          <w:rFonts w:eastAsia="Times New Roman" w:cs="Times New Roman" w:ascii="Times New Roman" w:hAnsi="Times New Roman"/>
          <w:b/>
          <w:bCs/>
          <w:color w:val="22272F"/>
          <w:sz w:val="30"/>
          <w:szCs w:val="30"/>
          <w:lang w:eastAsia="ru-RU"/>
        </w:rPr>
        <w:t>II. Цена Контракта и порядок расчетов</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2.1. Цена Контракта </w:t>
      </w:r>
      <w:r>
        <w:rPr>
          <w:rFonts w:eastAsia="Times New Roman" w:cs="Times New Roman" w:ascii="Times New Roman" w:hAnsi="Times New Roman"/>
          <w:b/>
          <w:bCs/>
          <w:sz w:val="24"/>
          <w:szCs w:val="24"/>
          <w:lang w:eastAsia="ru-RU"/>
        </w:rPr>
        <w:t xml:space="preserve">составляет______________________ рублей (_______________________________ рублей 00 копеек), в том числе НДС – </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Поставщика,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 Источник финансирования Контракта – средства бюджетных учреждений.</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2.6. Расчеты между Заказчиком и Поставщиком производятся не позднее 10 календарных дней с даты подписания Заказчиком УПД.</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Normal"/>
        <w:shd w:val="clear" w:color="auto" w:fill="FFFFFF"/>
        <w:spacing w:lineRule="auto" w:line="240" w:before="120" w:after="12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III. Порядок, сроки и условия поставки и приемки Товара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3.1. Поставщик самостоятельно доставляет и разгружает Товар до склада Заказчика, расположенного по адресу: ДНР, г.о. Донецк, г. Донецк, ул. Артёма, 58 (далее – склад Заказчика), в срок до 5 календарных дней с даты заключения контракта. Весь товар доставляется одной партией, с понедельника по пятницу с 9:00 до 15:00</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Поставщик не менее чем за 1 (один) день до осуществления поставки Товара направляет в адрес Заказчика уведомление о времени и дате доставки Товара в место доставки.</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VIII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3.3. Приемка Товара осуществляется путем передачи Поставщиком Товара и документов, подтверждающих качество Товара, если данные документы предусмотрены действующим законодательством.</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3.6. При отсутствии у Заказчика претензий по количеству и качеству поставленного Товара Заказчик в течение 10 (десяти) дней с момента доставки Товара Поставщиком подписывает акт приема-передачи Товара, товарную накладную и/или УПД. После этого Товар считается переданным Поставщиком Заказчику.</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fldChar w:fldCharType="begin"/>
      </w:r>
      <w:r>
        <w:rPr>
          <w:sz w:val="24"/>
          <w:szCs w:val="24"/>
          <w:rFonts w:eastAsia="Times New Roman" w:cs="Times New Roman" w:ascii="Times New Roman" w:hAnsi="Times New Roman"/>
          <w:lang w:eastAsia="ru-RU"/>
        </w:rPr>
        <w:instrText xml:space="preserve"> HYPERLINK "https://base.garant.ru/74390287/3e22e51c74db8e0b182fad67b502e640/" \l "block_3306"</w:instrText>
      </w:r>
      <w:r>
        <w:rPr>
          <w:sz w:val="24"/>
          <w:szCs w:val="24"/>
          <w:rFonts w:eastAsia="Times New Roman" w:cs="Times New Roman" w:ascii="Times New Roman" w:hAnsi="Times New Roman"/>
          <w:lang w:eastAsia="ru-RU"/>
        </w:rPr>
        <w:fldChar w:fldCharType="separate"/>
      </w:r>
      <w:r>
        <w:rPr>
          <w:rFonts w:eastAsia="Times New Roman" w:cs="Times New Roman" w:ascii="Times New Roman" w:hAnsi="Times New Roman"/>
          <w:sz w:val="24"/>
          <w:szCs w:val="24"/>
          <w:lang w:eastAsia="ru-RU"/>
        </w:rPr>
        <w:t>пункте 3.6</w:t>
      </w:r>
      <w:r>
        <w:rPr>
          <w:sz w:val="24"/>
          <w:szCs w:val="24"/>
          <w:rFonts w:eastAsia="Times New Roman" w:cs="Times New Roman" w:ascii="Times New Roman" w:hAnsi="Times New Roman"/>
          <w:lang w:eastAsia="ru-RU"/>
        </w:rPr>
        <w:fldChar w:fldCharType="end"/>
      </w:r>
      <w:r>
        <w:rPr>
          <w:rFonts w:eastAsia="Times New Roman" w:cs="Times New Roman" w:ascii="Times New Roman" w:hAnsi="Times New Roman"/>
          <w:sz w:val="24"/>
          <w:szCs w:val="24"/>
          <w:lang w:eastAsia="ru-RU"/>
        </w:rPr>
        <w:t>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hd w:val="clear" w:color="auto" w:fill="FFFFFF"/>
        <w:spacing w:lineRule="auto" w:line="240" w:before="120" w:after="12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IV. Взаимодействие Сторон</w:t>
      </w:r>
    </w:p>
    <w:p>
      <w:pPr>
        <w:pStyle w:val="Normal"/>
        <w:shd w:val="clear" w:color="auto" w:fill="FFFFFF"/>
        <w:spacing w:lineRule="auto" w:line="240" w:before="0" w:after="0"/>
        <w:ind w:firstLine="426"/>
        <w:jc w:val="both"/>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4.1. Поставщик обязан:</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4.1.1. поставить Товар в порядке, количестве, в срок и на условиях, предусмотренных Контрактом и спецификацией;</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hd w:val="clear" w:color="auto" w:fill="FFFFFF"/>
        <w:spacing w:lineRule="auto" w:line="240" w:before="0" w:after="0"/>
        <w:ind w:firstLine="426"/>
        <w:jc w:val="both"/>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4.2. Поставщик вправе:</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4.2.1. требовать от Заказчика произвести приемку Товара в порядке и в сроки, предусмотренные Контрактом;</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4.2.4. требовать возмещения убытков, уплаты неустоек (штрафов, пеней) в соответствии с разделом VI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4.2.5.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r>
        <w:fldChar w:fldCharType="begin"/>
      </w:r>
      <w:r>
        <w:rPr>
          <w:sz w:val="24"/>
          <w:szCs w:val="24"/>
          <w:rFonts w:eastAsia="Times New Roman" w:cs="Times New Roman" w:ascii="Times New Roman" w:hAnsi="Times New Roman"/>
          <w:lang w:eastAsia="ru-RU"/>
        </w:rPr>
        <w:instrText xml:space="preserve"> HYPERLINK "https://base.garant.ru/70353464/888134b28b1397ffae87a0ab1e117954/" \l "block_146"</w:instrText>
      </w:r>
      <w:r>
        <w:rPr>
          <w:sz w:val="24"/>
          <w:szCs w:val="24"/>
          <w:rFonts w:eastAsia="Times New Roman" w:cs="Times New Roman" w:ascii="Times New Roman" w:hAnsi="Times New Roman"/>
          <w:lang w:eastAsia="ru-RU"/>
        </w:rPr>
        <w:fldChar w:fldCharType="separate"/>
      </w:r>
      <w:r>
        <w:rPr>
          <w:rFonts w:eastAsia="Times New Roman" w:cs="Times New Roman" w:ascii="Times New Roman" w:hAnsi="Times New Roman"/>
          <w:sz w:val="24"/>
          <w:szCs w:val="24"/>
          <w:lang w:eastAsia="ru-RU"/>
        </w:rPr>
        <w:t>частью 6 статьи 14</w:t>
      </w:r>
      <w:r>
        <w:rPr>
          <w:sz w:val="24"/>
          <w:szCs w:val="24"/>
          <w:rFonts w:eastAsia="Times New Roman" w:cs="Times New Roman" w:ascii="Times New Roman" w:hAnsi="Times New Roman"/>
          <w:lang w:eastAsia="ru-RU"/>
        </w:rPr>
        <w:fldChar w:fldCharType="end"/>
      </w:r>
      <w:r>
        <w:rPr>
          <w:rFonts w:eastAsia="Times New Roman" w:cs="Times New Roman" w:ascii="Times New Roman" w:hAnsi="Times New Roman"/>
          <w:sz w:val="24"/>
          <w:szCs w:val="24"/>
          <w:lang w:eastAsia="ru-RU"/>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pPr>
        <w:pStyle w:val="Normal"/>
        <w:shd w:val="clear" w:color="auto" w:fill="FFFFFF"/>
        <w:spacing w:lineRule="auto" w:line="240" w:before="0" w:after="0"/>
        <w:ind w:firstLine="426"/>
        <w:jc w:val="both"/>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4.3. Заказчик обязуется:</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4.3.4. требовать уплаты неустоек (штрафов, пеней) в соответствии с разделом VI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shd w:val="clear" w:color="auto" w:fill="FFFFFF"/>
        <w:spacing w:lineRule="auto" w:line="240" w:before="0" w:after="0"/>
        <w:ind w:firstLine="426"/>
        <w:jc w:val="both"/>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4.4. Заказчик вправе:</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4.4.1. требовать от Поставщика надлежащего исполнения обязательств по Контракту;</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4.4.4. требовать возмещения убытков в соответствии с разделом VI Контракта, причиненных по вине Поставщика;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4.4.6. отказаться от приемки и оплаты Товара, не соответствующего условиям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4.4.7. принять решение об одностороннем отказе от исполнения Контракта в соответствии с </w:t>
      </w:r>
      <w:r>
        <w:fldChar w:fldCharType="begin"/>
      </w:r>
      <w:r>
        <w:rPr>
          <w:sz w:val="24"/>
          <w:szCs w:val="24"/>
          <w:rFonts w:eastAsia="Times New Roman" w:cs="Times New Roman" w:ascii="Times New Roman" w:hAnsi="Times New Roman"/>
          <w:lang w:eastAsia="ru-RU"/>
        </w:rPr>
        <w:instrText xml:space="preserve"> HYPERLINK "https://base.garant.ru/10164072/fdf1443bec49da6fd59fe9fb4a654c3b/" \l "block_523"</w:instrText>
      </w:r>
      <w:r>
        <w:rPr>
          <w:sz w:val="24"/>
          <w:szCs w:val="24"/>
          <w:rFonts w:eastAsia="Times New Roman" w:cs="Times New Roman" w:ascii="Times New Roman" w:hAnsi="Times New Roman"/>
          <w:lang w:eastAsia="ru-RU"/>
        </w:rPr>
        <w:fldChar w:fldCharType="separate"/>
      </w:r>
      <w:r>
        <w:rPr>
          <w:rFonts w:eastAsia="Times New Roman" w:cs="Times New Roman" w:ascii="Times New Roman" w:hAnsi="Times New Roman"/>
          <w:sz w:val="24"/>
          <w:szCs w:val="24"/>
          <w:lang w:eastAsia="ru-RU"/>
        </w:rPr>
        <w:t>гражданским законодательством</w:t>
      </w:r>
      <w:r>
        <w:rPr>
          <w:sz w:val="24"/>
          <w:szCs w:val="24"/>
          <w:rFonts w:eastAsia="Times New Roman" w:cs="Times New Roman" w:ascii="Times New Roman" w:hAnsi="Times New Roman"/>
          <w:lang w:eastAsia="ru-RU"/>
        </w:rPr>
        <w:fldChar w:fldCharType="end"/>
      </w:r>
      <w:r>
        <w:rPr>
          <w:rFonts w:eastAsia="Times New Roman" w:cs="Times New Roman" w:ascii="Times New Roman" w:hAnsi="Times New Roman"/>
          <w:sz w:val="24"/>
          <w:szCs w:val="24"/>
          <w:lang w:eastAsia="ru-RU"/>
        </w:rPr>
        <w:t>;</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Normal"/>
        <w:shd w:val="clear" w:color="auto" w:fill="FFFFFF"/>
        <w:spacing w:lineRule="auto" w:line="240" w:before="120" w:after="12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V. Качество Товара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5.1. Поставщик гарантирует, что поставляемый Товар соответствует требованиям, установленным Контрактом.</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нормам.</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5.3. Товар должен быть упакован и замаркирован в соответствии с действующими стандартами.</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5.4.</w:t>
      </w:r>
      <w:bookmarkStart w:id="0" w:name="_Hlk212737039"/>
      <w:r>
        <w:rPr>
          <w:rFonts w:eastAsia="Times New Roman" w:cs="Times New Roman" w:ascii="Times New Roman" w:hAnsi="Times New Roman"/>
          <w:sz w:val="24"/>
          <w:szCs w:val="24"/>
          <w:lang w:eastAsia="ru-RU"/>
        </w:rPr>
        <w:t xml:space="preserve"> На товар, указанный в Спецификации, должны быть предоставлены сертификаты качества. </w:t>
      </w:r>
      <w:bookmarkEnd w:id="0"/>
    </w:p>
    <w:p>
      <w:pPr>
        <w:pStyle w:val="Normal"/>
        <w:shd w:val="clear" w:color="auto" w:fill="FFFFFF"/>
        <w:spacing w:lineRule="auto" w:line="240" w:before="120" w:after="12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VI. Ответственность Сторон</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5 (пять) % цены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6.10. Применение неустойки (штрафа, пени) не освобождает Стороны от исполнения обязательств по Контракту.</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hd w:val="clear" w:color="auto" w:fill="FFFFFF"/>
        <w:spacing w:lineRule="auto" w:line="240" w:before="120" w:after="12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VII. Обеспечение исполнения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7.1. Обеспечение исполнения Контракта не устанавливается.</w:t>
      </w:r>
    </w:p>
    <w:p>
      <w:pPr>
        <w:pStyle w:val="Normal"/>
        <w:shd w:val="clear" w:color="auto" w:fill="FFFFFF"/>
        <w:spacing w:lineRule="auto" w:line="240" w:before="120" w:after="12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VIII. Обеспечение гарантийных обязательств</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8.1. Обеспечение гарантийных обязательств не устанавливается.</w:t>
      </w:r>
    </w:p>
    <w:p>
      <w:pPr>
        <w:pStyle w:val="Normal"/>
        <w:shd w:val="clear" w:color="auto" w:fill="FFFFFF"/>
        <w:spacing w:lineRule="auto" w:line="240" w:before="120" w:after="12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r>
    </w:p>
    <w:p>
      <w:pPr>
        <w:pStyle w:val="Normal"/>
        <w:shd w:val="clear" w:color="auto" w:fill="FFFFFF"/>
        <w:spacing w:lineRule="auto" w:line="240" w:before="120" w:after="12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IX. Обстоятельства непреодолимой силы</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hd w:val="clear" w:color="auto" w:fill="FFFFFF"/>
        <w:spacing w:lineRule="auto" w:line="240" w:before="120" w:after="12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X. Рассмотрение и разрешение споров</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10.4. При не урегулировании Сторонами спора в досудебном порядке, спор разрешается в судебном порядке.</w:t>
      </w:r>
    </w:p>
    <w:p>
      <w:pPr>
        <w:pStyle w:val="Normal"/>
        <w:shd w:val="clear" w:color="auto" w:fill="FFFFFF"/>
        <w:spacing w:lineRule="auto" w:line="240" w:before="120" w:after="12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XI. Срок действия и порядок расторжения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11.1. Контракт вступает в силу с момента его подписания обеими Сторонами и действует по 31.12.2026г.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предусмотренной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shd w:val="clear" w:color="auto" w:fill="FFFFFF"/>
        <w:spacing w:lineRule="auto" w:line="240" w:before="120" w:after="12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XII. Прочие положения</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12.1. Во всем, что не предусмотрено Контрактом, Стороны руководствуются законодательством Российской Федерации.</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12.7. Контракт составлен в 2 (двух) экземплярах, идентичных по содержанию и имеющих одинаковую юридическую силу, один из которых передан Поставщику, второй экземпляр находятся у Заказчика.</w:t>
      </w:r>
    </w:p>
    <w:p>
      <w:pPr>
        <w:pStyle w:val="Normal"/>
        <w:shd w:val="clear" w:color="auto" w:fill="FFFFFF"/>
        <w:spacing w:lineRule="auto" w:line="240" w:before="120" w:after="12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XIII. Перечень приложений</w:t>
      </w:r>
    </w:p>
    <w:p>
      <w:pPr>
        <w:pStyle w:val="Normal"/>
        <w:shd w:val="clear" w:color="auto" w:fill="FFFFFF"/>
        <w:spacing w:lineRule="auto" w:line="240" w:before="0" w:after="0"/>
        <w:ind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13.1. Неотъемлемой частью Контракта является следующее приложение:</w:t>
      </w:r>
    </w:p>
    <w:p>
      <w:pPr>
        <w:pStyle w:val="Normal"/>
        <w:shd w:val="clear" w:color="auto" w:fill="FFFFFF"/>
        <w:spacing w:lineRule="auto" w:line="240" w:before="0" w:after="0"/>
        <w:ind w:firstLine="993"/>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Приложение №1 – Спецификация.</w:t>
      </w:r>
    </w:p>
    <w:p>
      <w:pPr>
        <w:pStyle w:val="Normal"/>
        <w:shd w:val="clear" w:color="auto" w:fill="FFFFFF"/>
        <w:spacing w:lineRule="auto" w:line="240" w:before="120" w:after="120"/>
        <w:jc w:val="center"/>
        <w:rPr>
          <w:rFonts w:ascii="Times New Roman" w:hAnsi="Times New Roman" w:eastAsia="Times New Roman" w:cs="Times New Roman"/>
          <w:b/>
          <w:bCs/>
          <w:sz w:val="30"/>
          <w:szCs w:val="30"/>
          <w:lang w:eastAsia="ru-RU"/>
        </w:rPr>
      </w:pPr>
      <w:r>
        <w:rPr>
          <w:rFonts w:eastAsia="Times New Roman" w:cs="Times New Roman" w:ascii="Times New Roman" w:hAnsi="Times New Roman"/>
          <w:b/>
          <w:bCs/>
          <w:sz w:val="30"/>
          <w:szCs w:val="30"/>
          <w:lang w:eastAsia="ru-RU"/>
        </w:rPr>
        <w:t>XIV. Адреса и банковские реквизиты Сторон</w:t>
      </w:r>
    </w:p>
    <w:tbl>
      <w:tblPr>
        <w:tblW w:w="10065" w:type="dxa"/>
        <w:jc w:val="left"/>
        <w:tblInd w:w="-425" w:type="dxa"/>
        <w:tblLayout w:type="fixed"/>
        <w:tblCellMar>
          <w:top w:w="0" w:type="dxa"/>
          <w:left w:w="108" w:type="dxa"/>
          <w:bottom w:w="0" w:type="dxa"/>
          <w:right w:w="108" w:type="dxa"/>
        </w:tblCellMar>
        <w:tblLook w:firstRow="0" w:noVBand="0" w:lastRow="0" w:firstColumn="0" w:lastColumn="0" w:noHBand="0" w:val="0000"/>
      </w:tblPr>
      <w:tblGrid>
        <w:gridCol w:w="4398"/>
        <w:gridCol w:w="5666"/>
      </w:tblGrid>
      <w:tr>
        <w:trPr>
          <w:trHeight w:val="5588" w:hRule="atLeast"/>
        </w:trPr>
        <w:tc>
          <w:tcPr>
            <w:tcW w:w="4398" w:type="dxa"/>
            <w:tcBorders/>
          </w:tcPr>
          <w:p>
            <w:pPr>
              <w:pStyle w:val="Normal"/>
              <w:spacing w:before="0" w:after="0"/>
              <w:jc w:val="center"/>
              <w:rPr>
                <w:rFonts w:ascii="Times New Roman" w:hAnsi="Times New Roman" w:cs="Times New Roman"/>
                <w:b/>
              </w:rPr>
            </w:pPr>
            <w:r>
              <w:rPr>
                <w:rFonts w:cs="Times New Roman" w:ascii="Times New Roman" w:hAnsi="Times New Roman"/>
                <w:b/>
              </w:rPr>
              <w:t>Поставщик</w:t>
            </w:r>
          </w:p>
          <w:p>
            <w:pPr>
              <w:pStyle w:val="Normal"/>
              <w:spacing w:lineRule="auto" w:line="276" w:before="0" w:after="0"/>
              <w:rPr>
                <w:rFonts w:ascii="Times New Roman" w:hAnsi="Times New Roman" w:cs="Times New Roman"/>
              </w:rPr>
            </w:pPr>
            <w:r>
              <w:rPr>
                <w:rFonts w:cs="Times New Roman" w:ascii="Times New Roman" w:hAnsi="Times New Roman"/>
              </w:rPr>
            </w:r>
          </w:p>
        </w:tc>
        <w:tc>
          <w:tcPr>
            <w:tcW w:w="5666" w:type="dxa"/>
            <w:tcBorders/>
          </w:tcPr>
          <w:p>
            <w:pPr>
              <w:pStyle w:val="Normal"/>
              <w:tabs>
                <w:tab w:val="clear" w:pos="708"/>
                <w:tab w:val="left" w:pos="2951" w:leader="none"/>
              </w:tabs>
              <w:spacing w:before="0" w:after="0"/>
              <w:rPr>
                <w:rFonts w:ascii="Times New Roman" w:hAnsi="Times New Roman" w:cs="Times New Roman"/>
                <w:b/>
                <w:sz w:val="24"/>
                <w:szCs w:val="24"/>
              </w:rPr>
            </w:pPr>
            <w:r>
              <w:rPr>
                <w:rFonts w:cs="Times New Roman" w:ascii="Times New Roman" w:hAnsi="Times New Roman"/>
                <w:b/>
                <w:sz w:val="24"/>
                <w:szCs w:val="24"/>
              </w:rPr>
              <w:t xml:space="preserve">Федеральное государственное бюджетное образовательное учреждение высшего образования "Донецкий национальный технический университет" </w:t>
            </w:r>
          </w:p>
          <w:p>
            <w:pPr>
              <w:pStyle w:val="Normal"/>
              <w:tabs>
                <w:tab w:val="clear" w:pos="708"/>
                <w:tab w:val="left" w:pos="2951" w:leader="none"/>
              </w:tabs>
              <w:spacing w:before="0" w:after="0"/>
              <w:rPr>
                <w:rFonts w:ascii="Times New Roman" w:hAnsi="Times New Roman" w:cs="Times New Roman"/>
                <w:sz w:val="24"/>
                <w:szCs w:val="24"/>
              </w:rPr>
            </w:pPr>
            <w:r>
              <w:rPr>
                <w:rFonts w:cs="Times New Roman" w:ascii="Times New Roman" w:hAnsi="Times New Roman"/>
                <w:b/>
                <w:sz w:val="24"/>
                <w:szCs w:val="24"/>
              </w:rPr>
              <w:t>Сокращенное наименование: ФГБОУ ВО "ДонНТУ"</w:t>
            </w:r>
          </w:p>
          <w:p>
            <w:pPr>
              <w:pStyle w:val="Normal"/>
              <w:tabs>
                <w:tab w:val="clear" w:pos="708"/>
                <w:tab w:val="left" w:pos="2951" w:leader="none"/>
              </w:tabs>
              <w:spacing w:before="0" w:after="0"/>
              <w:rPr>
                <w:rFonts w:ascii="Times New Roman" w:hAnsi="Times New Roman" w:cs="Times New Roman"/>
                <w:sz w:val="24"/>
                <w:szCs w:val="24"/>
              </w:rPr>
            </w:pPr>
            <w:r>
              <w:rPr>
                <w:rFonts w:cs="Times New Roman" w:ascii="Times New Roman" w:hAnsi="Times New Roman"/>
                <w:sz w:val="24"/>
                <w:szCs w:val="24"/>
              </w:rPr>
              <w:t>Юридический адрес: 283001, Донецкая Народная Республика, г.о. Донецк, г. Донецк, ул. Артема, д. 58</w:t>
            </w:r>
          </w:p>
          <w:p>
            <w:pPr>
              <w:pStyle w:val="Normal"/>
              <w:tabs>
                <w:tab w:val="clear" w:pos="708"/>
                <w:tab w:val="left" w:pos="2951" w:leader="none"/>
              </w:tabs>
              <w:spacing w:before="0" w:after="0"/>
              <w:rPr>
                <w:rFonts w:ascii="Times New Roman" w:hAnsi="Times New Roman" w:cs="Times New Roman"/>
                <w:sz w:val="24"/>
                <w:szCs w:val="24"/>
              </w:rPr>
            </w:pPr>
            <w:r>
              <w:rPr>
                <w:rFonts w:cs="Times New Roman" w:ascii="Times New Roman" w:hAnsi="Times New Roman"/>
                <w:sz w:val="24"/>
                <w:szCs w:val="24"/>
              </w:rPr>
              <w:t>ИНН/КПП 9303013012/930301001</w:t>
            </w:r>
          </w:p>
          <w:p>
            <w:pPr>
              <w:pStyle w:val="Normal"/>
              <w:tabs>
                <w:tab w:val="clear" w:pos="708"/>
                <w:tab w:val="left" w:pos="2951" w:leader="none"/>
              </w:tabs>
              <w:spacing w:before="0" w:after="0"/>
              <w:rPr>
                <w:rFonts w:ascii="Times New Roman" w:hAnsi="Times New Roman" w:cs="Times New Roman"/>
                <w:sz w:val="24"/>
                <w:szCs w:val="24"/>
              </w:rPr>
            </w:pPr>
            <w:r>
              <w:rPr>
                <w:rFonts w:cs="Times New Roman" w:ascii="Times New Roman" w:hAnsi="Times New Roman"/>
                <w:sz w:val="24"/>
                <w:szCs w:val="24"/>
              </w:rPr>
              <w:t>ОГРН 1229300078633</w:t>
            </w:r>
          </w:p>
          <w:p>
            <w:pPr>
              <w:pStyle w:val="Normal"/>
              <w:tabs>
                <w:tab w:val="clear" w:pos="708"/>
                <w:tab w:val="left" w:pos="2951" w:leader="none"/>
              </w:tabs>
              <w:spacing w:before="0" w:after="0"/>
              <w:rPr>
                <w:rFonts w:ascii="Times New Roman" w:hAnsi="Times New Roman" w:cs="Times New Roman"/>
                <w:sz w:val="24"/>
                <w:szCs w:val="24"/>
              </w:rPr>
            </w:pPr>
            <w:r>
              <w:rPr>
                <w:rFonts w:cs="Times New Roman" w:ascii="Times New Roman" w:hAnsi="Times New Roman"/>
                <w:sz w:val="24"/>
                <w:szCs w:val="24"/>
              </w:rPr>
              <w:t>ОКПО 95580141</w:t>
            </w:r>
          </w:p>
          <w:p>
            <w:pPr>
              <w:pStyle w:val="Normal"/>
              <w:tabs>
                <w:tab w:val="clear" w:pos="708"/>
                <w:tab w:val="left" w:pos="2951" w:leader="none"/>
              </w:tabs>
              <w:spacing w:before="0" w:after="0"/>
              <w:rPr>
                <w:rFonts w:ascii="Times New Roman" w:hAnsi="Times New Roman" w:cs="Times New Roman"/>
                <w:sz w:val="24"/>
                <w:szCs w:val="24"/>
              </w:rPr>
            </w:pPr>
            <w:r>
              <w:rPr>
                <w:rFonts w:cs="Times New Roman" w:ascii="Times New Roman" w:hAnsi="Times New Roman"/>
                <w:sz w:val="24"/>
                <w:szCs w:val="24"/>
              </w:rPr>
              <w:t>ОКАТО 21401000000</w:t>
            </w:r>
          </w:p>
          <w:p>
            <w:pPr>
              <w:pStyle w:val="Normal"/>
              <w:tabs>
                <w:tab w:val="clear" w:pos="708"/>
                <w:tab w:val="left" w:pos="2951" w:leader="none"/>
              </w:tabs>
              <w:spacing w:before="0" w:after="0"/>
              <w:rPr>
                <w:rFonts w:ascii="Times New Roman" w:hAnsi="Times New Roman" w:cs="Times New Roman"/>
                <w:sz w:val="24"/>
                <w:szCs w:val="24"/>
              </w:rPr>
            </w:pPr>
            <w:r>
              <w:rPr>
                <w:rFonts w:cs="Times New Roman" w:ascii="Times New Roman" w:hAnsi="Times New Roman"/>
                <w:sz w:val="24"/>
                <w:szCs w:val="24"/>
              </w:rPr>
              <w:t>ОКОГУ 1322600</w:t>
            </w:r>
          </w:p>
          <w:p>
            <w:pPr>
              <w:pStyle w:val="Normal"/>
              <w:tabs>
                <w:tab w:val="clear" w:pos="708"/>
                <w:tab w:val="left" w:pos="2951" w:leader="none"/>
              </w:tabs>
              <w:spacing w:before="0" w:after="0"/>
              <w:rPr>
                <w:rFonts w:ascii="Times New Roman" w:hAnsi="Times New Roman" w:cs="Times New Roman"/>
                <w:sz w:val="24"/>
                <w:szCs w:val="24"/>
              </w:rPr>
            </w:pPr>
            <w:r>
              <w:rPr>
                <w:rFonts w:cs="Times New Roman" w:ascii="Times New Roman" w:hAnsi="Times New Roman"/>
                <w:sz w:val="24"/>
                <w:szCs w:val="24"/>
              </w:rPr>
              <w:t>ОКТМО 21701000001</w:t>
            </w:r>
          </w:p>
          <w:p>
            <w:pPr>
              <w:pStyle w:val="Normal"/>
              <w:tabs>
                <w:tab w:val="clear" w:pos="708"/>
                <w:tab w:val="left" w:pos="2951" w:leader="none"/>
              </w:tabs>
              <w:spacing w:before="0" w:after="0"/>
              <w:rPr>
                <w:rFonts w:ascii="Times New Roman" w:hAnsi="Times New Roman" w:cs="Times New Roman"/>
                <w:sz w:val="24"/>
                <w:szCs w:val="24"/>
              </w:rPr>
            </w:pPr>
            <w:r>
              <w:rPr>
                <w:rFonts w:cs="Times New Roman" w:ascii="Times New Roman" w:hAnsi="Times New Roman"/>
                <w:sz w:val="24"/>
                <w:szCs w:val="24"/>
              </w:rPr>
              <w:t xml:space="preserve">УФК по Нижегородской области, г. Нижний Новгород (ФГБОУ ВО "ДонНТУ", </w:t>
              <w:br/>
              <w:t xml:space="preserve">л/с 20826НЛ5490) </w:t>
            </w:r>
          </w:p>
          <w:p>
            <w:pPr>
              <w:pStyle w:val="Normal"/>
              <w:tabs>
                <w:tab w:val="clear" w:pos="708"/>
                <w:tab w:val="left" w:pos="2951" w:leader="none"/>
              </w:tabs>
              <w:spacing w:before="0" w:after="0"/>
              <w:rPr>
                <w:rFonts w:ascii="Times New Roman" w:hAnsi="Times New Roman" w:cs="Times New Roman"/>
                <w:sz w:val="24"/>
                <w:szCs w:val="24"/>
              </w:rPr>
            </w:pPr>
            <w:r>
              <w:rPr>
                <w:rFonts w:cs="Times New Roman" w:ascii="Times New Roman" w:hAnsi="Times New Roman"/>
                <w:sz w:val="24"/>
                <w:szCs w:val="24"/>
              </w:rPr>
              <w:t>Казначейский счет 03214643000000013252</w:t>
            </w:r>
          </w:p>
          <w:p>
            <w:pPr>
              <w:pStyle w:val="Normal"/>
              <w:tabs>
                <w:tab w:val="clear" w:pos="708"/>
                <w:tab w:val="left" w:pos="2951" w:leader="none"/>
              </w:tabs>
              <w:spacing w:before="0" w:after="0"/>
              <w:rPr>
                <w:rFonts w:ascii="Times New Roman" w:hAnsi="Times New Roman" w:cs="Times New Roman"/>
                <w:sz w:val="24"/>
                <w:szCs w:val="24"/>
              </w:rPr>
            </w:pPr>
            <w:r>
              <w:rPr>
                <w:rFonts w:cs="Times New Roman" w:ascii="Times New Roman" w:hAnsi="Times New Roman"/>
                <w:sz w:val="24"/>
                <w:szCs w:val="24"/>
              </w:rPr>
              <w:t>Счет банка получателя (к/с) 40102810745370000024</w:t>
            </w:r>
          </w:p>
          <w:p>
            <w:pPr>
              <w:pStyle w:val="Normal"/>
              <w:tabs>
                <w:tab w:val="clear" w:pos="708"/>
                <w:tab w:val="left" w:pos="2951" w:leader="none"/>
              </w:tabs>
              <w:spacing w:before="0" w:after="0"/>
              <w:rPr>
                <w:rFonts w:ascii="Times New Roman" w:hAnsi="Times New Roman" w:cs="Times New Roman"/>
                <w:sz w:val="24"/>
                <w:szCs w:val="24"/>
              </w:rPr>
            </w:pPr>
            <w:r>
              <w:rPr>
                <w:rFonts w:cs="Times New Roman" w:ascii="Times New Roman" w:hAnsi="Times New Roman"/>
                <w:sz w:val="24"/>
                <w:szCs w:val="24"/>
              </w:rPr>
              <w:t>БИК 012202102</w:t>
            </w:r>
          </w:p>
          <w:p>
            <w:pPr>
              <w:pStyle w:val="Normal"/>
              <w:tabs>
                <w:tab w:val="clear" w:pos="708"/>
                <w:tab w:val="left" w:pos="2951" w:leader="none"/>
              </w:tabs>
              <w:spacing w:before="0" w:after="0"/>
              <w:rPr>
                <w:rFonts w:ascii="Times New Roman" w:hAnsi="Times New Roman" w:cs="Times New Roman"/>
                <w:sz w:val="24"/>
                <w:szCs w:val="24"/>
              </w:rPr>
            </w:pPr>
            <w:r>
              <w:rPr>
                <w:rFonts w:cs="Times New Roman" w:ascii="Times New Roman" w:hAnsi="Times New Roman"/>
                <w:sz w:val="24"/>
                <w:szCs w:val="24"/>
              </w:rPr>
              <w:t>Наименование банка: ОКЦ №1 ВВГУ Банка России//УФК по Нижегородской области, г. Нижний Новгород</w:t>
            </w:r>
          </w:p>
        </w:tc>
      </w:tr>
      <w:tr>
        <w:trPr/>
        <w:tc>
          <w:tcPr>
            <w:tcW w:w="4398" w:type="dxa"/>
            <w:tcBorders/>
          </w:tcPr>
          <w:p>
            <w:pPr>
              <w:pStyle w:val="Normal"/>
              <w:widowControl w:val="false"/>
              <w:spacing w:before="0" w:after="0"/>
              <w:rPr>
                <w:rFonts w:ascii="Times New Roman" w:hAnsi="Times New Roman" w:cs="Times New Roman"/>
              </w:rPr>
            </w:pPr>
            <w:bookmarkStart w:id="1" w:name="_Hlk149831757"/>
            <w:bookmarkStart w:id="2" w:name="_Hlk173242487"/>
            <w:bookmarkEnd w:id="1"/>
            <w:bookmarkEnd w:id="2"/>
            <w:r>
              <w:rPr>
                <w:rFonts w:cs="Times New Roman" w:ascii="Times New Roman" w:hAnsi="Times New Roman"/>
              </w:rPr>
              <w:t xml:space="preserve"> </w:t>
            </w:r>
            <w:r>
              <w:rPr>
                <w:rFonts w:cs="Times New Roman" w:ascii="Times New Roman" w:hAnsi="Times New Roman"/>
              </w:rPr>
              <w:br/>
            </w:r>
          </w:p>
          <w:p>
            <w:pPr>
              <w:pStyle w:val="Normal"/>
              <w:widowControl w:val="false"/>
              <w:spacing w:before="0" w:after="0"/>
              <w:jc w:val="right"/>
              <w:rPr>
                <w:rFonts w:ascii="Times New Roman" w:hAnsi="Times New Roman" w:cs="Times New Roman"/>
              </w:rPr>
            </w:pPr>
            <w:r>
              <w:rPr>
                <w:rFonts w:cs="Times New Roman" w:ascii="Times New Roman" w:hAnsi="Times New Roman"/>
              </w:rPr>
              <w:t>________________________</w:t>
            </w:r>
          </w:p>
          <w:p>
            <w:pPr>
              <w:pStyle w:val="Normal"/>
              <w:widowControl w:val="false"/>
              <w:spacing w:before="0" w:after="0"/>
              <w:ind w:right="1353"/>
              <w:jc w:val="center"/>
              <w:rPr>
                <w:rFonts w:ascii="Times New Roman" w:hAnsi="Times New Roman" w:cs="Times New Roman"/>
              </w:rPr>
            </w:pPr>
            <w:r>
              <w:rPr>
                <w:rFonts w:cs="Times New Roman" w:ascii="Times New Roman" w:hAnsi="Times New Roman"/>
                <w:sz w:val="20"/>
              </w:rPr>
              <w:t>М.П.</w:t>
            </w:r>
          </w:p>
        </w:tc>
        <w:tc>
          <w:tcPr>
            <w:tcW w:w="5666" w:type="dxa"/>
            <w:tcBorders/>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br/>
            </w:r>
          </w:p>
          <w:p>
            <w:pPr>
              <w:pStyle w:val="Normal"/>
              <w:widowControl w:val="false"/>
              <w:spacing w:before="0" w:after="0"/>
              <w:jc w:val="right"/>
              <w:rPr>
                <w:rFonts w:ascii="Times New Roman" w:hAnsi="Times New Roman" w:cs="Times New Roman"/>
                <w:sz w:val="24"/>
                <w:szCs w:val="24"/>
              </w:rPr>
            </w:pPr>
            <w:r>
              <w:rPr>
                <w:rFonts w:cs="Times New Roman" w:ascii="Times New Roman" w:hAnsi="Times New Roman"/>
                <w:sz w:val="24"/>
                <w:szCs w:val="24"/>
              </w:rPr>
              <w:t>_________________________</w:t>
            </w:r>
          </w:p>
          <w:p>
            <w:pPr>
              <w:pStyle w:val="Normal"/>
              <w:widowControl w:val="false"/>
              <w:spacing w:before="0" w:after="0"/>
              <w:jc w:val="center"/>
              <w:rPr>
                <w:rFonts w:ascii="Times New Roman" w:hAnsi="Times New Roman" w:cs="Times New Roman"/>
                <w:sz w:val="24"/>
                <w:szCs w:val="24"/>
              </w:rPr>
            </w:pPr>
            <w:r>
              <w:rPr>
                <w:rFonts w:cs="Times New Roman" w:ascii="Times New Roman" w:hAnsi="Times New Roman"/>
                <w:sz w:val="24"/>
                <w:szCs w:val="24"/>
              </w:rPr>
              <w:t>М.П.</w:t>
            </w:r>
          </w:p>
        </w:tc>
      </w:tr>
    </w:tbl>
    <w:p>
      <w:pPr>
        <w:pStyle w:val="Normal"/>
        <w:spacing w:lineRule="auto" w:line="360" w:before="0" w:after="0"/>
        <w:jc w:val="right"/>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tabs>
          <w:tab w:val="clear" w:pos="708"/>
          <w:tab w:val="left" w:pos="1485" w:leader="none"/>
        </w:tabs>
        <w:rPr>
          <w:rFonts w:ascii="Times New Roman" w:hAnsi="Times New Roman" w:cs="Times New Roman"/>
        </w:rPr>
      </w:pPr>
      <w:r>
        <w:rPr>
          <w:rFonts w:cs="Times New Roman" w:ascii="Times New Roman" w:hAnsi="Times New Roman"/>
        </w:rPr>
      </w:r>
      <w:r>
        <w:br w:type="page"/>
      </w:r>
    </w:p>
    <w:p>
      <w:pPr>
        <w:pStyle w:val="Standard"/>
        <w:spacing w:before="0" w:after="0"/>
        <w:jc w:val="right"/>
        <w:rPr/>
      </w:pPr>
      <w:r>
        <w:rPr>
          <w:rFonts w:eastAsia="Calibri" w:cs="Times New Roman"/>
          <w:sz w:val="22"/>
        </w:rPr>
        <w:t>Приложение № 1</w:t>
      </w:r>
    </w:p>
    <w:p>
      <w:pPr>
        <w:pStyle w:val="Standard"/>
        <w:jc w:val="right"/>
        <w:rPr/>
      </w:pPr>
      <w:r>
        <w:rPr>
          <w:rFonts w:eastAsia="Calibri" w:cs="Times New Roman"/>
          <w:sz w:val="22"/>
        </w:rPr>
        <w:t>к контракту № ____</w:t>
      </w:r>
    </w:p>
    <w:p>
      <w:pPr>
        <w:pStyle w:val="Standard"/>
        <w:jc w:val="right"/>
        <w:rPr/>
      </w:pPr>
      <w:r>
        <w:rPr>
          <w:rFonts w:eastAsia="Calibri" w:cs="Times New Roman"/>
          <w:sz w:val="22"/>
        </w:rPr>
        <w:t>от «21» июля 2026г</w:t>
      </w:r>
    </w:p>
    <w:p>
      <w:pPr>
        <w:pStyle w:val="Standard"/>
        <w:jc w:val="right"/>
        <w:rPr>
          <w:rFonts w:eastAsia="Calibri" w:cs="Times New Roman"/>
          <w:sz w:val="22"/>
        </w:rPr>
      </w:pPr>
      <w:r>
        <w:rPr>
          <w:rFonts w:eastAsia="Calibri" w:cs="Times New Roman"/>
          <w:sz w:val="22"/>
        </w:rPr>
      </w:r>
    </w:p>
    <w:p>
      <w:pPr>
        <w:pStyle w:val="Standard"/>
        <w:ind w:firstLine="709" w:left="10619"/>
        <w:jc w:val="center"/>
        <w:rPr>
          <w:rFonts w:eastAsia="Calibri" w:cs="Times New Roman"/>
          <w:sz w:val="22"/>
        </w:rPr>
      </w:pPr>
      <w:r>
        <w:rPr>
          <w:rFonts w:eastAsia="Calibri" w:cs="Times New Roman"/>
          <w:sz w:val="22"/>
        </w:rPr>
      </w:r>
      <w:bookmarkStart w:id="3" w:name="_Hlk130475119"/>
      <w:bookmarkStart w:id="4" w:name="_Hlk130475119"/>
      <w:bookmarkEnd w:id="4"/>
    </w:p>
    <w:p>
      <w:pPr>
        <w:pStyle w:val="Standard"/>
        <w:jc w:val="center"/>
        <w:rPr/>
      </w:pPr>
      <w:r>
        <w:rPr>
          <w:rFonts w:eastAsia="Calibri" w:cs="Times New Roman"/>
          <w:b/>
          <w:sz w:val="22"/>
        </w:rPr>
        <w:t>Спецификация</w:t>
      </w:r>
    </w:p>
    <w:tbl>
      <w:tblPr>
        <w:tblW w:w="10173"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36"/>
        <w:gridCol w:w="4818"/>
        <w:gridCol w:w="990"/>
        <w:gridCol w:w="891"/>
        <w:gridCol w:w="1519"/>
        <w:gridCol w:w="1418"/>
      </w:tblGrid>
      <w:tr>
        <w:trPr>
          <w:trHeight w:val="1236"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rFonts w:ascii="Times New Roman" w:hAnsi="Times New Roman" w:eastAsia="Calibri"/>
                <w:kern w:val="0"/>
                <w:sz w:val="28"/>
                <w:szCs w:val="22"/>
                <w:lang w:eastAsia="en-US" w:bidi="ar-SA"/>
              </w:rPr>
            </w:pPr>
            <w:r>
              <w:rPr>
                <w:rFonts w:eastAsia="Calibri" w:ascii="Times New Roman" w:hAnsi="Times New Roman"/>
                <w:b/>
                <w:bCs/>
                <w:kern w:val="0"/>
                <w:sz w:val="20"/>
                <w:szCs w:val="20"/>
                <w:lang w:eastAsia="en-US" w:bidi="ar-SA"/>
              </w:rPr>
              <w:t>№</w:t>
            </w:r>
          </w:p>
        </w:tc>
        <w:tc>
          <w:tcPr>
            <w:tcW w:w="4818"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rFonts w:ascii="Times New Roman" w:hAnsi="Times New Roman" w:eastAsia="Calibri"/>
                <w:kern w:val="0"/>
                <w:sz w:val="28"/>
                <w:szCs w:val="22"/>
                <w:lang w:eastAsia="en-US" w:bidi="ar-SA"/>
              </w:rPr>
            </w:pPr>
            <w:r>
              <w:rPr>
                <w:rFonts w:eastAsia="Calibri" w:ascii="Times New Roman" w:hAnsi="Times New Roman"/>
                <w:b/>
                <w:bCs/>
                <w:kern w:val="0"/>
                <w:sz w:val="20"/>
                <w:szCs w:val="20"/>
                <w:lang w:eastAsia="en-US" w:bidi="ar-SA"/>
              </w:rPr>
              <w:t>Товары</w:t>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rFonts w:ascii="Times New Roman" w:hAnsi="Times New Roman" w:eastAsia="Calibri"/>
                <w:kern w:val="0"/>
                <w:sz w:val="28"/>
                <w:szCs w:val="22"/>
                <w:lang w:eastAsia="en-US" w:bidi="ar-SA"/>
              </w:rPr>
            </w:pPr>
            <w:r>
              <w:rPr>
                <w:rFonts w:eastAsia="Calibri" w:ascii="Times New Roman" w:hAnsi="Times New Roman"/>
                <w:b/>
                <w:bCs/>
                <w:kern w:val="0"/>
                <w:sz w:val="20"/>
                <w:szCs w:val="20"/>
                <w:lang w:eastAsia="en-US" w:bidi="ar-SA"/>
              </w:rPr>
              <w:t>Кол-во</w:t>
            </w:r>
          </w:p>
        </w:tc>
        <w:tc>
          <w:tcPr>
            <w:tcW w:w="891"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rFonts w:ascii="Times New Roman" w:hAnsi="Times New Roman" w:eastAsia="Calibri"/>
                <w:kern w:val="0"/>
                <w:sz w:val="28"/>
                <w:szCs w:val="22"/>
                <w:lang w:eastAsia="en-US" w:bidi="ar-SA"/>
              </w:rPr>
            </w:pPr>
            <w:r>
              <w:rPr>
                <w:rFonts w:eastAsia="Calibri" w:ascii="Times New Roman" w:hAnsi="Times New Roman"/>
                <w:b/>
                <w:bCs/>
                <w:kern w:val="0"/>
                <w:sz w:val="20"/>
                <w:szCs w:val="20"/>
                <w:lang w:eastAsia="en-US" w:bidi="ar-SA"/>
              </w:rPr>
              <w:t>Ед.</w:t>
            </w:r>
          </w:p>
        </w:tc>
        <w:tc>
          <w:tcPr>
            <w:tcW w:w="1519"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rFonts w:ascii="Times New Roman" w:hAnsi="Times New Roman" w:eastAsia="Calibri"/>
                <w:kern w:val="0"/>
                <w:sz w:val="28"/>
                <w:szCs w:val="22"/>
                <w:lang w:eastAsia="en-US" w:bidi="ar-SA"/>
              </w:rPr>
            </w:pPr>
            <w:r>
              <w:rPr>
                <w:rFonts w:eastAsia="Calibri" w:ascii="Times New Roman" w:hAnsi="Times New Roman"/>
                <w:b/>
                <w:bCs/>
                <w:kern w:val="0"/>
                <w:sz w:val="20"/>
                <w:szCs w:val="20"/>
                <w:lang w:eastAsia="en-US" w:bidi="ar-SA"/>
              </w:rPr>
              <w:t>Цена с НДС, руб.</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Standard"/>
              <w:jc w:val="center"/>
              <w:rPr>
                <w:rFonts w:ascii="Times New Roman" w:hAnsi="Times New Roman" w:eastAsia="Calibri"/>
                <w:kern w:val="0"/>
                <w:sz w:val="28"/>
                <w:szCs w:val="22"/>
                <w:lang w:eastAsia="en-US" w:bidi="ar-SA"/>
              </w:rPr>
            </w:pPr>
            <w:r>
              <w:rPr>
                <w:rFonts w:eastAsia="Calibri" w:ascii="Times New Roman" w:hAnsi="Times New Roman"/>
                <w:b/>
                <w:bCs/>
                <w:kern w:val="0"/>
                <w:sz w:val="20"/>
                <w:szCs w:val="20"/>
                <w:lang w:eastAsia="en-US" w:bidi="ar-SA"/>
              </w:rPr>
              <w:t>Сумма с НДС, руб.</w:t>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Труба PP-r Ǿ 25 мм</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24</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м</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Труба PP-r Ǿ 20 мм</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8</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м</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3</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Колено PP-r 45° Ду 32</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12</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4</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Колено PP-r 90° Ду 32</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6</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5</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Колено PP-r 45° Ду 25</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8</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6</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Колено PP-r 90° Ду 25</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12</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7</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Муфта PP-r Ǿ 32 мм</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8</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8</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Муфта PP-r Ǿ 25 мм</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8</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9</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Муфта PP-r Ǿ 20 мм</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10</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10</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Американка НР 32 / 1 ´</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10</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11</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Американка ВР 32 / 1 ´</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12</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Футорка 1 ´ / 1´1/4</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6</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13</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МРВ 32 / 1 ´</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7</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14</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Тройник PP-r Ǿ 25 — 20 мм</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5</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м</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15</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Тройник PP-r Ǿ 32 — 25 мм</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20</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м</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16</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Муфта PP-r комб. ВР Ду 25х1/2"</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15</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17</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Муфта PP-r комб. НР Ду 25х1/2"</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5</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18</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Кран водоразборный 1 / 2</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3</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19</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Американка ВР 25 / ¾ ´</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8</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20</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Муфта комб.. с накид.гайкой 25 /  ¾ ´</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4</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21</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Переход PP-r Ǿ 32 — 25 мм</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6</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22</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Переход PP-r Ǿ 20 — 25 мм</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8</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23</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МРН  20 / ½ ´</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7</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24</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МРН  25 / ¾ ´</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10</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25</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МРН  25 / ½ ´</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10</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26</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Кран шаров. Ǿ 15 мм в-н</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15</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27</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Кран шаров. Ǿ 15 мм в-в</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5</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28</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Крепление PP-r Ǿ  20 мм</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10</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29</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pPr>
            <w:r>
              <w:rPr>
                <w:rFonts w:ascii="Nimbus Roman" w:hAnsi="Nimbus Roman"/>
              </w:rPr>
              <w:t>Монокран ( высокой ножкой )</w:t>
            </w:r>
          </w:p>
          <w:p>
            <w:pPr>
              <w:pStyle w:val="Standard"/>
              <w:rPr>
                <w:rFonts w:ascii="Nimbus Roman" w:hAnsi="Nimbus Roman"/>
              </w:rPr>
            </w:pPr>
            <w:r>
              <w:rPr>
                <w:rFonts w:ascii="Nimbus Roman" w:hAnsi="Nimbus Roman"/>
              </w:rPr>
              <w:t>Ножка     4о</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4</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30</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Люк смотровой для ГКЛ 150*150 мм ( или 200*200 мм )</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2</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31</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pPr>
            <w:r>
              <w:rPr>
                <w:rFonts w:ascii="Nimbus Roman" w:hAnsi="Nimbus Roman"/>
              </w:rPr>
              <w:t>Подводка гибкая В_Н</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15</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32</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Лента ФУМ</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4</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33</w:t>
            </w:r>
          </w:p>
        </w:tc>
        <w:tc>
          <w:tcPr>
            <w:tcW w:w="4818" w:type="dxa"/>
            <w:tcBorders>
              <w:top w:val="single" w:sz="4" w:space="0" w:color="000000"/>
              <w:left w:val="single" w:sz="4" w:space="0" w:color="000000"/>
              <w:bottom w:val="single" w:sz="4" w:space="0" w:color="000000"/>
              <w:right w:val="single" w:sz="4" w:space="0" w:color="000000"/>
            </w:tcBorders>
          </w:tcPr>
          <w:p>
            <w:pPr>
              <w:pStyle w:val="Style17"/>
              <w:rPr>
                <w:rFonts w:ascii="Nimbus Roman" w:hAnsi="Nimbus Roman"/>
              </w:rPr>
            </w:pPr>
            <w:r>
              <w:rPr>
                <w:rFonts w:ascii="Nimbus Roman" w:hAnsi="Nimbus Roman"/>
              </w:rPr>
              <w:t>Американка НР 32/1*</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1</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34</w:t>
            </w:r>
          </w:p>
        </w:tc>
        <w:tc>
          <w:tcPr>
            <w:tcW w:w="4818" w:type="dxa"/>
            <w:tcBorders>
              <w:top w:val="single" w:sz="4" w:space="0" w:color="000000"/>
              <w:left w:val="single" w:sz="4" w:space="0" w:color="000000"/>
              <w:bottom w:val="single" w:sz="4" w:space="0" w:color="000000"/>
              <w:right w:val="single" w:sz="4" w:space="0" w:color="000000"/>
            </w:tcBorders>
          </w:tcPr>
          <w:p>
            <w:pPr>
              <w:pStyle w:val="Style17"/>
              <w:rPr>
                <w:rFonts w:ascii="Nimbus Roman" w:hAnsi="Nimbus Roman"/>
              </w:rPr>
            </w:pPr>
            <w:r>
              <w:rPr>
                <w:rFonts w:ascii="Nimbus Roman" w:hAnsi="Nimbus Roman"/>
              </w:rPr>
              <w:t>Американка НР 25х3/4*</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1</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35</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Кран Шаровый 1*</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1</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36</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Кран шаровый ¾*</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1</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37</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Клапан обратный 1*</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1</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536" w:type="dxa"/>
            <w:tcBorders>
              <w:top w:val="single" w:sz="4" w:space="0" w:color="000000"/>
              <w:left w:val="single" w:sz="4" w:space="0" w:color="000000"/>
              <w:bottom w:val="single" w:sz="4" w:space="0" w:color="000000"/>
              <w:right w:val="single" w:sz="4" w:space="0" w:color="000000"/>
            </w:tcBorders>
          </w:tcPr>
          <w:p>
            <w:pPr>
              <w:pStyle w:val="Standard"/>
              <w:jc w:val="center"/>
              <w:rPr/>
            </w:pPr>
            <w:r>
              <w:rPr>
                <w:rFonts w:ascii="Nimbus Roman" w:hAnsi="Nimbus Roman"/>
              </w:rPr>
              <w:t>38</w:t>
            </w:r>
          </w:p>
        </w:tc>
        <w:tc>
          <w:tcPr>
            <w:tcW w:w="4818" w:type="dxa"/>
            <w:tcBorders>
              <w:top w:val="single" w:sz="4" w:space="0" w:color="000000"/>
              <w:left w:val="single" w:sz="4" w:space="0" w:color="000000"/>
              <w:bottom w:val="single" w:sz="4" w:space="0" w:color="000000"/>
              <w:right w:val="single" w:sz="4" w:space="0" w:color="000000"/>
            </w:tcBorders>
          </w:tcPr>
          <w:p>
            <w:pPr>
              <w:pStyle w:val="Standard"/>
              <w:rPr>
                <w:rFonts w:ascii="Nimbus Roman" w:hAnsi="Nimbus Roman"/>
              </w:rPr>
            </w:pPr>
            <w:r>
              <w:rPr>
                <w:rFonts w:ascii="Nimbus Roman" w:hAnsi="Nimbus Roman"/>
              </w:rPr>
              <w:t>МРН 25х 3/4*</w:t>
            </w:r>
          </w:p>
        </w:tc>
        <w:tc>
          <w:tcPr>
            <w:tcW w:w="990"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1</w:t>
            </w:r>
          </w:p>
        </w:tc>
        <w:tc>
          <w:tcPr>
            <w:tcW w:w="891" w:type="dxa"/>
            <w:tcBorders>
              <w:top w:val="single" w:sz="4" w:space="0" w:color="000000"/>
              <w:left w:val="single" w:sz="4" w:space="0" w:color="000000"/>
              <w:bottom w:val="single" w:sz="4" w:space="0" w:color="000000"/>
              <w:right w:val="single" w:sz="4" w:space="0" w:color="000000"/>
            </w:tcBorders>
          </w:tcPr>
          <w:p>
            <w:pPr>
              <w:pStyle w:val="Standard"/>
              <w:jc w:val="center"/>
              <w:rPr>
                <w:rFonts w:ascii="Times New Roman" w:hAnsi="Times New Roman" w:eastAsia="Calibri"/>
                <w:kern w:val="0"/>
                <w:sz w:val="28"/>
                <w:szCs w:val="22"/>
                <w:lang w:eastAsia="en-US" w:bidi="ar-SA"/>
              </w:rPr>
            </w:pPr>
            <w:r>
              <w:rPr>
                <w:rFonts w:eastAsia="Calibri" w:cs="Times New Roman" w:ascii="Times New Roman" w:hAnsi="Times New Roman"/>
                <w:kern w:val="0"/>
                <w:sz w:val="22"/>
                <w:szCs w:val="22"/>
                <w:lang w:eastAsia="en-US" w:bidi="ar-SA"/>
              </w:rPr>
              <w:t>шт</w:t>
            </w:r>
          </w:p>
        </w:tc>
        <w:tc>
          <w:tcPr>
            <w:tcW w:w="1519"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8754" w:type="dxa"/>
            <w:gridSpan w:val="5"/>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cs="Times New Roman" w:ascii="Times New Roman" w:hAnsi="Times New Roman"/>
                <w:b/>
                <w:bCs/>
                <w:kern w:val="0"/>
                <w:sz w:val="22"/>
                <w:szCs w:val="22"/>
                <w:lang w:val="uk-UA" w:eastAsia="en-US" w:bidi="ar-SA"/>
              </w:rPr>
              <w:t>ИТОГО</w:t>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r>
        <w:trPr/>
        <w:tc>
          <w:tcPr>
            <w:tcW w:w="8754" w:type="dxa"/>
            <w:gridSpan w:val="5"/>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cs="Times New Roman" w:ascii="Times New Roman" w:hAnsi="Times New Roman"/>
                <w:b/>
                <w:bCs/>
                <w:kern w:val="0"/>
                <w:sz w:val="22"/>
                <w:szCs w:val="22"/>
                <w:lang w:val="uk-UA" w:eastAsia="en-US" w:bidi="ar-SA"/>
              </w:rPr>
              <w:t>В т.ч. НДС</w:t>
            </w:r>
          </w:p>
        </w:tc>
        <w:tc>
          <w:tcPr>
            <w:tcW w:w="1418" w:type="dxa"/>
            <w:tcBorders>
              <w:top w:val="single" w:sz="4" w:space="0" w:color="000000"/>
              <w:left w:val="single" w:sz="4" w:space="0" w:color="000000"/>
              <w:bottom w:val="single" w:sz="4" w:space="0" w:color="000000"/>
              <w:right w:val="single" w:sz="4" w:space="0" w:color="000000"/>
            </w:tcBorders>
          </w:tcPr>
          <w:p>
            <w:pPr>
              <w:pStyle w:val="Standard"/>
              <w:jc w:val="right"/>
              <w:rPr>
                <w:rFonts w:ascii="Times New Roman" w:hAnsi="Times New Roman" w:eastAsia="Calibri"/>
                <w:kern w:val="0"/>
                <w:sz w:val="28"/>
                <w:szCs w:val="22"/>
                <w:lang w:eastAsia="en-US" w:bidi="ar-SA"/>
              </w:rPr>
            </w:pPr>
            <w:r>
              <w:rPr>
                <w:rFonts w:eastAsia="Calibri" w:ascii="Times New Roman" w:hAnsi="Times New Roman"/>
                <w:kern w:val="0"/>
                <w:sz w:val="28"/>
                <w:szCs w:val="22"/>
                <w:lang w:eastAsia="en-US" w:bidi="ar-SA"/>
              </w:rPr>
            </w:r>
          </w:p>
        </w:tc>
      </w:tr>
    </w:tbl>
    <w:p>
      <w:pPr>
        <w:pStyle w:val="Standard"/>
        <w:rPr/>
      </w:pPr>
      <w:r>
        <w:rPr/>
      </w:r>
    </w:p>
    <w:p>
      <w:pPr>
        <w:pStyle w:val="Standard"/>
        <w:rPr>
          <w:rFonts w:eastAsia="Calibri" w:cs="Times New Roman"/>
          <w:bCs/>
          <w:sz w:val="22"/>
        </w:rPr>
      </w:pPr>
      <w:r>
        <w:rPr>
          <w:rFonts w:eastAsia="Calibri" w:cs="Times New Roman"/>
          <w:bCs/>
          <w:sz w:val="22"/>
        </w:rPr>
      </w:r>
    </w:p>
    <w:p>
      <w:pPr>
        <w:pStyle w:val="Standard"/>
        <w:rPr>
          <w:rFonts w:eastAsia="Calibri" w:cs="Times New Roman"/>
          <w:bCs/>
          <w:sz w:val="22"/>
        </w:rPr>
      </w:pPr>
      <w:r>
        <w:rPr>
          <w:rFonts w:eastAsia="Calibri" w:cs="Times New Roman"/>
          <w:bCs/>
          <w:sz w:val="22"/>
        </w:rPr>
      </w:r>
      <w:bookmarkStart w:id="5" w:name="_Hlk130475119"/>
      <w:bookmarkStart w:id="6" w:name="_Hlk130475119"/>
      <w:bookmarkEnd w:id="6"/>
    </w:p>
    <w:tbl>
      <w:tblPr>
        <w:tblW w:w="10065" w:type="dxa"/>
        <w:jc w:val="left"/>
        <w:tblInd w:w="-425" w:type="dxa"/>
        <w:tblLayout w:type="fixed"/>
        <w:tblCellMar>
          <w:top w:w="0" w:type="dxa"/>
          <w:left w:w="108" w:type="dxa"/>
          <w:bottom w:w="0" w:type="dxa"/>
          <w:right w:w="108" w:type="dxa"/>
        </w:tblCellMar>
        <w:tblLook w:firstRow="0" w:noVBand="0" w:lastRow="0" w:firstColumn="0" w:lastColumn="0" w:noHBand="0" w:val="0000"/>
      </w:tblPr>
      <w:tblGrid>
        <w:gridCol w:w="4398"/>
        <w:gridCol w:w="5666"/>
      </w:tblGrid>
      <w:tr>
        <w:trPr/>
        <w:tc>
          <w:tcPr>
            <w:tcW w:w="4398" w:type="dxa"/>
            <w:tcBorders/>
          </w:tcPr>
          <w:p>
            <w:pPr>
              <w:pStyle w:val="Normal"/>
              <w:widowControl w:val="false"/>
              <w:spacing w:before="0" w:after="0"/>
              <w:rPr>
                <w:rFonts w:ascii="Times New Roman" w:hAnsi="Times New Roman" w:cs="Times New Roman"/>
              </w:rPr>
            </w:pPr>
            <w:r>
              <w:rPr>
                <w:rFonts w:cs="Times New Roman" w:ascii="Times New Roman" w:hAnsi="Times New Roman"/>
              </w:rPr>
              <w:br/>
            </w:r>
          </w:p>
          <w:p>
            <w:pPr>
              <w:pStyle w:val="Normal"/>
              <w:widowControl w:val="false"/>
              <w:spacing w:before="0" w:after="0"/>
              <w:jc w:val="right"/>
              <w:rPr>
                <w:rFonts w:ascii="Times New Roman" w:hAnsi="Times New Roman" w:cs="Times New Roman"/>
              </w:rPr>
            </w:pPr>
            <w:r>
              <w:rPr>
                <w:rFonts w:cs="Times New Roman" w:ascii="Times New Roman" w:hAnsi="Times New Roman"/>
              </w:rPr>
              <w:t>________________________</w:t>
            </w:r>
          </w:p>
          <w:p>
            <w:pPr>
              <w:pStyle w:val="Normal"/>
              <w:widowControl w:val="false"/>
              <w:spacing w:before="0" w:after="0"/>
              <w:ind w:right="1353"/>
              <w:jc w:val="center"/>
              <w:rPr>
                <w:rFonts w:ascii="Times New Roman" w:hAnsi="Times New Roman" w:cs="Times New Roman"/>
              </w:rPr>
            </w:pPr>
            <w:r>
              <w:rPr>
                <w:rFonts w:cs="Times New Roman" w:ascii="Times New Roman" w:hAnsi="Times New Roman"/>
                <w:sz w:val="20"/>
              </w:rPr>
              <w:t>М.П.</w:t>
            </w:r>
          </w:p>
        </w:tc>
        <w:tc>
          <w:tcPr>
            <w:tcW w:w="5666" w:type="dxa"/>
            <w:tcBorders/>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br/>
            </w:r>
          </w:p>
          <w:p>
            <w:pPr>
              <w:pStyle w:val="Normal"/>
              <w:widowControl w:val="false"/>
              <w:spacing w:before="0" w:after="0"/>
              <w:jc w:val="right"/>
              <w:rPr>
                <w:rFonts w:ascii="Times New Roman" w:hAnsi="Times New Roman" w:cs="Times New Roman"/>
                <w:sz w:val="24"/>
                <w:szCs w:val="24"/>
              </w:rPr>
            </w:pPr>
            <w:r>
              <w:rPr>
                <w:rFonts w:cs="Times New Roman" w:ascii="Times New Roman" w:hAnsi="Times New Roman"/>
                <w:sz w:val="24"/>
                <w:szCs w:val="24"/>
              </w:rPr>
              <w:t>_________________________</w:t>
            </w:r>
          </w:p>
          <w:p>
            <w:pPr>
              <w:pStyle w:val="Normal"/>
              <w:widowControl w:val="false"/>
              <w:spacing w:before="0" w:after="0"/>
              <w:jc w:val="center"/>
              <w:rPr>
                <w:rFonts w:ascii="Times New Roman" w:hAnsi="Times New Roman" w:cs="Times New Roman"/>
                <w:sz w:val="24"/>
                <w:szCs w:val="24"/>
              </w:rPr>
            </w:pPr>
            <w:r>
              <w:rPr>
                <w:rFonts w:cs="Times New Roman" w:ascii="Times New Roman" w:hAnsi="Times New Roman"/>
                <w:sz w:val="24"/>
                <w:szCs w:val="24"/>
              </w:rPr>
              <w:t>М.П.</w:t>
            </w:r>
          </w:p>
        </w:tc>
      </w:tr>
    </w:tbl>
    <w:p>
      <w:pPr>
        <w:pStyle w:val="Normal"/>
        <w:tabs>
          <w:tab w:val="clear" w:pos="708"/>
          <w:tab w:val="left" w:pos="1485" w:leader="none"/>
        </w:tabs>
        <w:spacing w:before="0" w:after="160"/>
        <w:rPr>
          <w:rFonts w:ascii="Times New Roman" w:hAnsi="Times New Roman" w:cs="Times New Roman"/>
        </w:rPr>
      </w:pPr>
      <w:r>
        <w:rPr>
          <w:rFonts w:cs="Times New Roman" w:ascii="Times New Roman" w:hAnsi="Times New Roman"/>
        </w:rPr>
      </w:r>
    </w:p>
    <w:sectPr>
      <w:type w:val="nextPage"/>
      <w:pgSz w:w="11906" w:h="16838"/>
      <w:pgMar w:left="1418" w:right="850" w:gutter="0" w:header="0" w:top="851" w:footer="0" w:bottom="709"/>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ourier New">
    <w:charset w:val="cc"/>
    <w:family w:val="roman"/>
    <w:pitch w:val="variable"/>
  </w:font>
  <w:font w:name="Segoe UI">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Nimbus Roman">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e790d"/>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ad5e36"/>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link w:val="2"/>
    <w:uiPriority w:val="9"/>
    <w:qFormat/>
    <w:rsid w:val="00ad5e36"/>
    <w:pPr>
      <w:spacing w:lineRule="auto" w:line="240" w:beforeAutospacing="1" w:afterAutospacing="1"/>
      <w:outlineLvl w:val="1"/>
    </w:pPr>
    <w:rPr>
      <w:rFonts w:ascii="Times New Roman" w:hAnsi="Times New Roman" w:eastAsia="Times New Roman" w:cs="Times New Roman"/>
      <w:b/>
      <w:bCs/>
      <w:sz w:val="36"/>
      <w:szCs w:val="36"/>
      <w:lang w:eastAsia="ru-RU"/>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ad5e36"/>
    <w:rPr>
      <w:rFonts w:ascii="Times New Roman" w:hAnsi="Times New Roman" w:eastAsia="Times New Roman" w:cs="Times New Roman"/>
      <w:b/>
      <w:bCs/>
      <w:kern w:val="2"/>
      <w:sz w:val="48"/>
      <w:szCs w:val="48"/>
      <w:lang w:eastAsia="ru-RU"/>
    </w:rPr>
  </w:style>
  <w:style w:type="character" w:styleId="2" w:customStyle="1">
    <w:name w:val="Заголовок 2 Знак"/>
    <w:basedOn w:val="DefaultParagraphFont"/>
    <w:uiPriority w:val="9"/>
    <w:qFormat/>
    <w:rsid w:val="00ad5e36"/>
    <w:rPr>
      <w:rFonts w:ascii="Times New Roman" w:hAnsi="Times New Roman" w:eastAsia="Times New Roman" w:cs="Times New Roman"/>
      <w:b/>
      <w:bCs/>
      <w:sz w:val="36"/>
      <w:szCs w:val="36"/>
      <w:lang w:eastAsia="ru-RU"/>
    </w:rPr>
  </w:style>
  <w:style w:type="character" w:styleId="S10" w:customStyle="1">
    <w:name w:val="s_10"/>
    <w:basedOn w:val="DefaultParagraphFont"/>
    <w:qFormat/>
    <w:rsid w:val="00ad5e36"/>
    <w:rPr/>
  </w:style>
  <w:style w:type="character" w:styleId="Hyperlink">
    <w:name w:val="Hyperlink"/>
    <w:basedOn w:val="DefaultParagraphFont"/>
    <w:uiPriority w:val="99"/>
    <w:semiHidden/>
    <w:unhideWhenUsed/>
    <w:rsid w:val="00ad5e36"/>
    <w:rPr>
      <w:color w:val="0000FF"/>
      <w:u w:val="single"/>
    </w:rPr>
  </w:style>
  <w:style w:type="character" w:styleId="FollowedHyperlink">
    <w:name w:val="FollowedHyperlink"/>
    <w:basedOn w:val="DefaultParagraphFont"/>
    <w:uiPriority w:val="99"/>
    <w:semiHidden/>
    <w:unhideWhenUsed/>
    <w:rsid w:val="00ad5e36"/>
    <w:rPr>
      <w:color w:val="800080"/>
      <w:u w:val="single"/>
    </w:rPr>
  </w:style>
  <w:style w:type="character" w:styleId="HTML" w:customStyle="1">
    <w:name w:val="Стандартный HTML Знак"/>
    <w:basedOn w:val="DefaultParagraphFont"/>
    <w:link w:val="HTMLPreformatted"/>
    <w:uiPriority w:val="99"/>
    <w:semiHidden/>
    <w:qFormat/>
    <w:rsid w:val="00ad5e36"/>
    <w:rPr>
      <w:rFonts w:ascii="Courier New" w:hAnsi="Courier New" w:eastAsia="Times New Roman" w:cs="Courier New"/>
      <w:sz w:val="20"/>
      <w:szCs w:val="20"/>
      <w:lang w:eastAsia="ru-RU"/>
    </w:rPr>
  </w:style>
  <w:style w:type="character" w:styleId="Annotationreference">
    <w:name w:val="annotation reference"/>
    <w:basedOn w:val="DefaultParagraphFont"/>
    <w:uiPriority w:val="99"/>
    <w:semiHidden/>
    <w:unhideWhenUsed/>
    <w:qFormat/>
    <w:rsid w:val="00857366"/>
    <w:rPr>
      <w:sz w:val="16"/>
      <w:szCs w:val="16"/>
    </w:rPr>
  </w:style>
  <w:style w:type="character" w:styleId="Style12" w:customStyle="1">
    <w:name w:val="Текст примечания Знак"/>
    <w:basedOn w:val="DefaultParagraphFont"/>
    <w:link w:val="Annotationtext"/>
    <w:uiPriority w:val="99"/>
    <w:semiHidden/>
    <w:qFormat/>
    <w:rsid w:val="00857366"/>
    <w:rPr>
      <w:sz w:val="20"/>
      <w:szCs w:val="20"/>
    </w:rPr>
  </w:style>
  <w:style w:type="character" w:styleId="Style13" w:customStyle="1">
    <w:name w:val="Тема примечания Знак"/>
    <w:basedOn w:val="Style12"/>
    <w:link w:val="Annotationsubject"/>
    <w:uiPriority w:val="99"/>
    <w:semiHidden/>
    <w:qFormat/>
    <w:rsid w:val="00857366"/>
    <w:rPr>
      <w:b/>
      <w:bCs/>
      <w:sz w:val="20"/>
      <w:szCs w:val="20"/>
    </w:rPr>
  </w:style>
  <w:style w:type="character" w:styleId="Style14" w:customStyle="1">
    <w:name w:val="Текст выноски Знак"/>
    <w:basedOn w:val="DefaultParagraphFont"/>
    <w:link w:val="BalloonText"/>
    <w:uiPriority w:val="99"/>
    <w:semiHidden/>
    <w:qFormat/>
    <w:rsid w:val="00857366"/>
    <w:rPr>
      <w:rFonts w:ascii="Segoe UI" w:hAnsi="Segoe UI" w:cs="Segoe UI"/>
      <w:sz w:val="18"/>
      <w:szCs w:val="18"/>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paragraph" w:styleId="11" w:customStyle="1">
    <w:name w:val="Заголовок1"/>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Caption11" w:customStyle="1">
    <w:name w:val="caption11"/>
    <w:basedOn w:val="Normal"/>
    <w:qFormat/>
    <w:pPr>
      <w:suppressLineNumbers/>
      <w:spacing w:before="120" w:after="120"/>
    </w:pPr>
    <w:rPr>
      <w:rFonts w:cs="Arial"/>
      <w:i/>
      <w:iCs/>
      <w:sz w:val="24"/>
      <w:szCs w:val="24"/>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11" w:customStyle="1">
    <w:name w:val="caption111"/>
    <w:basedOn w:val="Normal"/>
    <w:qFormat/>
    <w:pPr>
      <w:suppressLineNumbers/>
      <w:spacing w:before="120" w:after="120"/>
    </w:pPr>
    <w:rPr>
      <w:rFonts w:cs="Arial"/>
      <w:i/>
      <w:iCs/>
      <w:sz w:val="24"/>
      <w:szCs w:val="24"/>
    </w:rPr>
  </w:style>
  <w:style w:type="paragraph" w:styleId="Msonormal" w:customStyle="1">
    <w:name w:val="msonormal"/>
    <w:basedOn w:val="Normal"/>
    <w:qFormat/>
    <w:rsid w:val="00ad5e36"/>
    <w:pPr>
      <w:spacing w:lineRule="auto" w:line="240" w:beforeAutospacing="1" w:afterAutospacing="1"/>
    </w:pPr>
    <w:rPr>
      <w:rFonts w:ascii="Times New Roman" w:hAnsi="Times New Roman" w:eastAsia="Times New Roman" w:cs="Times New Roman"/>
      <w:sz w:val="24"/>
      <w:szCs w:val="24"/>
      <w:lang w:eastAsia="ru-RU"/>
    </w:rPr>
  </w:style>
  <w:style w:type="paragraph" w:styleId="Indent1" w:customStyle="1">
    <w:name w:val="indent_1"/>
    <w:basedOn w:val="Normal"/>
    <w:qFormat/>
    <w:rsid w:val="00ad5e36"/>
    <w:pPr>
      <w:spacing w:lineRule="auto" w:line="240" w:beforeAutospacing="1" w:afterAutospacing="1"/>
    </w:pPr>
    <w:rPr>
      <w:rFonts w:ascii="Times New Roman" w:hAnsi="Times New Roman" w:eastAsia="Times New Roman" w:cs="Times New Roman"/>
      <w:sz w:val="24"/>
      <w:szCs w:val="24"/>
      <w:lang w:eastAsia="ru-RU"/>
    </w:rPr>
  </w:style>
  <w:style w:type="paragraph" w:styleId="Empty" w:customStyle="1">
    <w:name w:val="empty"/>
    <w:basedOn w:val="Normal"/>
    <w:qFormat/>
    <w:rsid w:val="00ad5e36"/>
    <w:pPr>
      <w:spacing w:lineRule="auto" w:line="240" w:beforeAutospacing="1" w:afterAutospacing="1"/>
    </w:pPr>
    <w:rPr>
      <w:rFonts w:ascii="Times New Roman" w:hAnsi="Times New Roman" w:eastAsia="Times New Roman" w:cs="Times New Roman"/>
      <w:sz w:val="24"/>
      <w:szCs w:val="24"/>
      <w:lang w:eastAsia="ru-RU"/>
    </w:rPr>
  </w:style>
  <w:style w:type="paragraph" w:styleId="S3" w:customStyle="1">
    <w:name w:val="s_3"/>
    <w:basedOn w:val="Normal"/>
    <w:qFormat/>
    <w:rsid w:val="00ad5e36"/>
    <w:pPr>
      <w:spacing w:lineRule="auto" w:line="240" w:beforeAutospacing="1" w:afterAutospacing="1"/>
    </w:pPr>
    <w:rPr>
      <w:rFonts w:ascii="Times New Roman" w:hAnsi="Times New Roman" w:eastAsia="Times New Roman" w:cs="Times New Roman"/>
      <w:sz w:val="24"/>
      <w:szCs w:val="24"/>
      <w:lang w:eastAsia="ru-RU"/>
    </w:rPr>
  </w:style>
  <w:style w:type="paragraph" w:styleId="HTMLPreformatted">
    <w:name w:val="HTML Preformatted"/>
    <w:basedOn w:val="Normal"/>
    <w:link w:val="HTML"/>
    <w:uiPriority w:val="99"/>
    <w:semiHidden/>
    <w:unhideWhenUsed/>
    <w:qFormat/>
    <w:rsid w:val="00ad5e36"/>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ru-RU"/>
    </w:rPr>
  </w:style>
  <w:style w:type="paragraph" w:styleId="S1" w:customStyle="1">
    <w:name w:val="s_1"/>
    <w:basedOn w:val="Normal"/>
    <w:qFormat/>
    <w:rsid w:val="00ad5e36"/>
    <w:pPr>
      <w:spacing w:lineRule="auto" w:line="240" w:beforeAutospacing="1" w:afterAutospacing="1"/>
    </w:pPr>
    <w:rPr>
      <w:rFonts w:ascii="Times New Roman" w:hAnsi="Times New Roman" w:eastAsia="Times New Roman" w:cs="Times New Roman"/>
      <w:sz w:val="24"/>
      <w:szCs w:val="24"/>
      <w:lang w:eastAsia="ru-RU"/>
    </w:rPr>
  </w:style>
  <w:style w:type="paragraph" w:styleId="S16" w:customStyle="1">
    <w:name w:val="s_16"/>
    <w:basedOn w:val="Normal"/>
    <w:qFormat/>
    <w:rsid w:val="00ad5e36"/>
    <w:pPr>
      <w:spacing w:lineRule="auto" w:line="240" w:beforeAutospacing="1" w:afterAutospacing="1"/>
    </w:pPr>
    <w:rPr>
      <w:rFonts w:ascii="Times New Roman" w:hAnsi="Times New Roman" w:eastAsia="Times New Roman" w:cs="Times New Roman"/>
      <w:sz w:val="24"/>
      <w:szCs w:val="24"/>
      <w:lang w:eastAsia="ru-RU"/>
    </w:rPr>
  </w:style>
  <w:style w:type="paragraph" w:styleId="S9" w:customStyle="1">
    <w:name w:val="s_9"/>
    <w:basedOn w:val="Normal"/>
    <w:qFormat/>
    <w:rsid w:val="00ad5e36"/>
    <w:pPr>
      <w:spacing w:lineRule="auto" w:line="240" w:beforeAutospacing="1" w:afterAutospacing="1"/>
    </w:pPr>
    <w:rPr>
      <w:rFonts w:ascii="Times New Roman" w:hAnsi="Times New Roman" w:eastAsia="Times New Roman" w:cs="Times New Roman"/>
      <w:sz w:val="24"/>
      <w:szCs w:val="24"/>
      <w:lang w:eastAsia="ru-RU"/>
    </w:rPr>
  </w:style>
  <w:style w:type="paragraph" w:styleId="Annotationtext">
    <w:name w:val="annotation text"/>
    <w:basedOn w:val="Normal"/>
    <w:link w:val="Style12"/>
    <w:uiPriority w:val="99"/>
    <w:semiHidden/>
    <w:unhideWhenUsed/>
    <w:qFormat/>
    <w:rsid w:val="00857366"/>
    <w:pPr>
      <w:spacing w:lineRule="auto" w:line="240"/>
    </w:pPr>
    <w:rPr>
      <w:sz w:val="20"/>
      <w:szCs w:val="20"/>
    </w:rPr>
  </w:style>
  <w:style w:type="paragraph" w:styleId="Annotationsubject">
    <w:name w:val="annotation subject"/>
    <w:basedOn w:val="Annotationtext"/>
    <w:next w:val="Annotationtext"/>
    <w:link w:val="Style13"/>
    <w:uiPriority w:val="99"/>
    <w:semiHidden/>
    <w:unhideWhenUsed/>
    <w:qFormat/>
    <w:rsid w:val="00857366"/>
    <w:pPr/>
    <w:rPr>
      <w:b/>
      <w:bCs/>
    </w:rPr>
  </w:style>
  <w:style w:type="paragraph" w:styleId="BalloonText">
    <w:name w:val="Balloon Text"/>
    <w:basedOn w:val="Normal"/>
    <w:link w:val="Style14"/>
    <w:uiPriority w:val="99"/>
    <w:semiHidden/>
    <w:unhideWhenUsed/>
    <w:qFormat/>
    <w:rsid w:val="00857366"/>
    <w:pPr>
      <w:spacing w:lineRule="auto" w:line="240" w:before="0" w:after="0"/>
    </w:pPr>
    <w:rPr>
      <w:rFonts w:ascii="Segoe UI" w:hAnsi="Segoe UI" w:cs="Segoe UI"/>
      <w:sz w:val="18"/>
      <w:szCs w:val="18"/>
    </w:rPr>
  </w:style>
  <w:style w:type="paragraph" w:styleId="Standard" w:customStyle="1">
    <w:name w:val="Standard"/>
    <w:qFormat/>
    <w:rsid w:val="004c0562"/>
    <w:pPr>
      <w:widowControl/>
      <w:suppressAutoHyphens w:val="true"/>
      <w:bidi w:val="0"/>
      <w:spacing w:before="0" w:after="0"/>
      <w:jc w:val="left"/>
      <w:textAlignment w:val="baseline"/>
    </w:pPr>
    <w:rPr>
      <w:rFonts w:ascii="Liberation Serif" w:hAnsi="Liberation Serif" w:eastAsia="NSimSun" w:cs="Arial"/>
      <w:color w:val="auto"/>
      <w:kern w:val="2"/>
      <w:sz w:val="24"/>
      <w:szCs w:val="24"/>
      <w:lang w:eastAsia="zh-CN" w:bidi="hi-IN" w:val="ru-RU"/>
    </w:rPr>
  </w:style>
  <w:style w:type="paragraph" w:styleId="Style17" w:customStyle="1">
    <w:name w:val="Содержимое таблицы"/>
    <w:basedOn w:val="Standard"/>
    <w:qFormat/>
    <w:rsid w:val="004c0562"/>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TotalTime>
  <Application>LibreOffice/7.6.4.1$Windows_X86_64 LibreOffice_project/e19e193f88cd6c0525a17fb7a176ed8e6a3e2aa1</Application>
  <AppVersion>15.0000</AppVersion>
  <Pages>9</Pages>
  <Words>3112</Words>
  <Characters>20976</Characters>
  <CharactersWithSpaces>23835</CharactersWithSpaces>
  <Paragraphs>300</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2026-08-07T12:53:00Z</dcterms:created>
  <dc:creator>Андрей</dc:creator>
  <dc:description/>
  <dc:language>ru-RU</dc:language>
  <cp:lastModifiedBy/>
  <dcterms:modified xsi:type="dcterms:W3CDTF">2026-08-07T15:59:16Z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