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50"/>
        <w:tblW w:w="0" w:type="auto"/>
        <w:jc w:val="righ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07"/>
      </w:tblGrid>
      <w:tr>
        <w:tblPrEx/>
        <w:trPr>
          <w:jc w:val="right"/>
        </w:trPr>
        <w:tc>
          <w:tcPr>
            <w:tcW w:w="4607" w:type="dxa"/>
            <w:textDirection w:val="lrTb"/>
            <w:noWrap w:val="false"/>
          </w:tcPr>
          <w:p>
            <w:pPr>
              <w:jc w:val="right"/>
              <w:tabs>
                <w:tab w:val="left" w:pos="4763" w:leader="none"/>
              </w:tabs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jc w:val="right"/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к электронной версии контракта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jc w:val="right"/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pStyle w:val="848"/>
              <w:ind w:left="0"/>
              <w:jc w:val="right"/>
              <w:rPr>
                <w:rFonts w:ascii="Times New Roman" w:hAnsi="Times New Roman" w:eastAsia="Times New Roman"/>
                <w:b/>
                <w:color w:val="000000" w:themeColor="text1"/>
                <w:sz w:val="24"/>
                <w:szCs w:val="24"/>
                <w:lang w:eastAsia="ru-RU"/>
              </w:rPr>
              <w:outlineLvl w:val="2"/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</w:rPr>
              <w:t xml:space="preserve">от «»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</w:rPr>
              <w:t xml:space="preserve">__________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</w:rPr>
              <w:t xml:space="preserve">2026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24"/>
                <w:szCs w:val="24"/>
                <w:lang w:eastAsia="ru-RU"/>
              </w:rPr>
            </w:r>
          </w:p>
        </w:tc>
      </w:tr>
    </w:tbl>
    <w:p>
      <w:pPr>
        <w:pStyle w:val="848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  <w:outlineLvl w:val="2"/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Style w:val="848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  <w:outlineLvl w:val="2"/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Style w:val="848"/>
        <w:jc w:val="center"/>
        <w:rPr>
          <w:rFonts w:ascii="Times New Roman" w:hAnsi="Times New Roman"/>
          <w:b/>
          <w:i/>
          <w:sz w:val="24"/>
          <w:szCs w:val="24"/>
        </w:rPr>
        <w:outlineLvl w:val="2"/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ТЕХНИЧЕСКОЕ ЗАДАНИЕ</w:t>
      </w:r>
      <w:r>
        <w:rPr>
          <w:rFonts w:ascii="Times New Roman" w:hAnsi="Times New Roman"/>
          <w:b/>
          <w:i/>
          <w:sz w:val="24"/>
          <w:szCs w:val="24"/>
        </w:rPr>
      </w:r>
      <w:r>
        <w:rPr>
          <w:rFonts w:ascii="Times New Roman" w:hAnsi="Times New Roman"/>
          <w:b/>
          <w:i/>
          <w:sz w:val="24"/>
          <w:szCs w:val="24"/>
        </w:rPr>
      </w:r>
    </w:p>
    <w:p>
      <w:pPr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</w:r>
    </w:p>
    <w:p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48"/>
        <w:numPr>
          <w:ilvl w:val="0"/>
          <w:numId w:val="1"/>
        </w:numPr>
        <w:jc w:val="center"/>
        <w:spacing w:after="1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Общие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48"/>
        <w:ind w:left="360"/>
        <w:spacing w:after="1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48"/>
        <w:numPr>
          <w:ilvl w:val="1"/>
          <w:numId w:val="1"/>
        </w:numPr>
        <w:ind w:left="0" w:firstLine="567"/>
        <w:jc w:val="both"/>
        <w:spacing w:after="120"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закупки: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поставка расходных материалов для офисной техники (далее – Товар)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</w:t>
      </w:r>
      <w:r>
        <w:rPr>
          <w:rFonts w:ascii="Times New Roman" w:hAnsi="Times New Roman"/>
          <w:sz w:val="24"/>
          <w:szCs w:val="24"/>
          <w:shd w:val="clear" w:color="auto" w:fill="ffffff"/>
        </w:rPr>
      </w:r>
      <w:r>
        <w:rPr>
          <w:rFonts w:ascii="Times New Roman" w:hAnsi="Times New Roman"/>
          <w:sz w:val="24"/>
          <w:szCs w:val="24"/>
          <w:shd w:val="clear" w:color="auto" w:fill="ffffff"/>
        </w:rPr>
      </w:r>
    </w:p>
    <w:p>
      <w:pPr>
        <w:pStyle w:val="848"/>
        <w:numPr>
          <w:ilvl w:val="1"/>
          <w:numId w:val="1"/>
        </w:numPr>
        <w:ind w:left="0" w:firstLine="567"/>
        <w:jc w:val="both"/>
        <w:spacing w:after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Место поставки Товара: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109992, г. Москва, Китайгородский проезд, д.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7, стр.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8"/>
        <w:numPr>
          <w:ilvl w:val="1"/>
          <w:numId w:val="1"/>
        </w:numPr>
        <w:ind w:left="0" w:firstLine="567"/>
        <w:jc w:val="both"/>
        <w:spacing w:after="120"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Срок поставки Товара: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поставка осуществл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яется одной партией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в течении 3 рабочих дней с даты заключения Контракта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</w:t>
      </w:r>
      <w:r>
        <w:rPr>
          <w:rFonts w:ascii="Times New Roman" w:hAnsi="Times New Roman"/>
          <w:sz w:val="24"/>
          <w:szCs w:val="24"/>
          <w:shd w:val="clear" w:color="auto" w:fill="ffffff"/>
        </w:rPr>
      </w:r>
      <w:r>
        <w:rPr>
          <w:rFonts w:ascii="Times New Roman" w:hAnsi="Times New Roman"/>
          <w:sz w:val="24"/>
          <w:szCs w:val="24"/>
          <w:shd w:val="clear" w:color="auto" w:fill="ffffff"/>
        </w:rPr>
      </w:r>
    </w:p>
    <w:p>
      <w:pPr>
        <w:pStyle w:val="848"/>
        <w:numPr>
          <w:ilvl w:val="1"/>
          <w:numId w:val="1"/>
        </w:numPr>
        <w:ind w:left="709" w:hanging="142"/>
        <w:jc w:val="both"/>
        <w:spacing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Срок действия электронной версии контракта: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до 30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.09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.2026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</w:t>
      </w:r>
      <w:r>
        <w:rPr>
          <w:rFonts w:ascii="Times New Roman" w:hAnsi="Times New Roman"/>
          <w:sz w:val="24"/>
          <w:szCs w:val="24"/>
          <w:shd w:val="clear" w:color="auto" w:fill="ffffff"/>
        </w:rPr>
      </w:r>
      <w:r>
        <w:rPr>
          <w:rFonts w:ascii="Times New Roman" w:hAnsi="Times New Roman"/>
          <w:sz w:val="24"/>
          <w:szCs w:val="24"/>
          <w:shd w:val="clear" w:color="auto" w:fill="ffffff"/>
        </w:rPr>
      </w:r>
    </w:p>
    <w:p>
      <w:pPr>
        <w:pStyle w:val="848"/>
        <w:numPr>
          <w:ilvl w:val="1"/>
          <w:numId w:val="1"/>
        </w:numPr>
        <w:jc w:val="both"/>
        <w:spacing w:after="120" w:line="36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Спецификация поставляемых Товаров: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в</w:t>
      </w:r>
      <w: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приложении к техническому заданию.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</w:r>
    </w:p>
    <w:p>
      <w:pPr>
        <w:pStyle w:val="848"/>
        <w:numPr>
          <w:ilvl w:val="1"/>
          <w:numId w:val="1"/>
        </w:numPr>
        <w:jc w:val="both"/>
        <w:spacing w:after="120" w:line="36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к техническому заданию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</w:r>
    </w:p>
    <w:p>
      <w:pPr>
        <w:pStyle w:val="848"/>
        <w:numPr>
          <w:ilvl w:val="1"/>
          <w:numId w:val="2"/>
        </w:numPr>
        <w:ind w:left="0" w:firstLine="709"/>
        <w:jc w:val="both"/>
        <w:spacing w:after="120" w:line="360" w:lineRule="auto"/>
        <w:rPr>
          <w:rFonts w:ascii="Times New Roman" w:hAnsi="Times New Roman" w:eastAsiaTheme="minorHAnsi"/>
          <w:b/>
          <w:bCs/>
          <w:sz w:val="24"/>
          <w:szCs w:val="24"/>
        </w:rPr>
      </w:pPr>
      <w:r>
        <w:rPr>
          <w:rFonts w:ascii="Times New Roman" w:hAnsi="Times New Roman" w:eastAsiaTheme="minorHAnsi"/>
          <w:b/>
          <w:bCs/>
          <w:sz w:val="24"/>
          <w:szCs w:val="24"/>
        </w:rPr>
        <w:t xml:space="preserve">Гарантийные обязательства.</w:t>
      </w:r>
      <w:r>
        <w:rPr>
          <w:rFonts w:ascii="Times New Roman" w:hAnsi="Times New Roman" w:eastAsiaTheme="minorHAnsi"/>
          <w:b/>
          <w:bCs/>
          <w:sz w:val="24"/>
          <w:szCs w:val="24"/>
        </w:rPr>
      </w:r>
      <w:r>
        <w:rPr>
          <w:rFonts w:ascii="Times New Roman" w:hAnsi="Times New Roman" w:eastAsiaTheme="minorHAnsi"/>
          <w:b/>
          <w:bCs/>
          <w:sz w:val="24"/>
          <w:szCs w:val="24"/>
        </w:rPr>
      </w:r>
    </w:p>
    <w:p>
      <w:pPr>
        <w:pStyle w:val="848"/>
        <w:numPr>
          <w:ilvl w:val="2"/>
          <w:numId w:val="2"/>
        </w:numPr>
        <w:ind w:left="0" w:firstLine="720"/>
        <w:jc w:val="both"/>
        <w:spacing w:line="336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 xml:space="preserve">Гарантия Поставщика на Товар должен составлять не менее чем 12 (двенадцать) месяцев.</w:t>
      </w:r>
      <w:r>
        <w:rPr>
          <w:rFonts w:ascii="Times New Roman" w:hAnsi="Times New Roman" w:eastAsiaTheme="minorHAnsi"/>
          <w:sz w:val="24"/>
          <w:szCs w:val="24"/>
        </w:rPr>
      </w:r>
      <w:r>
        <w:rPr>
          <w:rFonts w:ascii="Times New Roman" w:hAnsi="Times New Roman" w:eastAsiaTheme="minorHAnsi"/>
          <w:sz w:val="24"/>
          <w:szCs w:val="24"/>
        </w:rPr>
      </w:r>
    </w:p>
    <w:p>
      <w:pPr>
        <w:pStyle w:val="848"/>
        <w:numPr>
          <w:ilvl w:val="2"/>
          <w:numId w:val="2"/>
        </w:numPr>
        <w:ind w:left="0" w:firstLine="720"/>
        <w:jc w:val="both"/>
        <w:spacing w:line="336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 xml:space="preserve">Поставщик гарантирует качество и безопасность поставляемого Товара в соответствии с действующими стандартами, утвержденными в отношении данного вида Товара в период его гарантийного срока.</w:t>
      </w:r>
      <w:r>
        <w:rPr>
          <w:rFonts w:ascii="Times New Roman" w:hAnsi="Times New Roman" w:eastAsiaTheme="minorHAnsi"/>
          <w:sz w:val="24"/>
          <w:szCs w:val="24"/>
        </w:rPr>
      </w:r>
      <w:r>
        <w:rPr>
          <w:rFonts w:ascii="Times New Roman" w:hAnsi="Times New Roman" w:eastAsiaTheme="minorHAnsi"/>
          <w:sz w:val="24"/>
          <w:szCs w:val="24"/>
        </w:rPr>
      </w:r>
    </w:p>
    <w:p>
      <w:pPr>
        <w:pStyle w:val="848"/>
        <w:numPr>
          <w:ilvl w:val="2"/>
          <w:numId w:val="2"/>
        </w:numPr>
        <w:ind w:left="0" w:firstLine="720"/>
        <w:jc w:val="both"/>
        <w:spacing w:line="336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 xml:space="preserve">Гарантийный срок указывается в гарантийном талоне, поставляемом с Товаром, и исчисляется с момента</w:t>
      </w:r>
      <w:r>
        <w:rPr>
          <w:rFonts w:ascii="Times New Roman" w:hAnsi="Times New Roman" w:eastAsiaTheme="minorHAnsi"/>
          <w:sz w:val="24"/>
          <w:szCs w:val="24"/>
        </w:rPr>
        <w:t xml:space="preserve"> подписания товарной накладной</w:t>
      </w:r>
      <w:r>
        <w:rPr>
          <w:rFonts w:ascii="Times New Roman" w:hAnsi="Times New Roman" w:eastAsiaTheme="minorHAnsi"/>
          <w:sz w:val="24"/>
          <w:szCs w:val="24"/>
        </w:rPr>
        <w:t xml:space="preserve">.</w:t>
      </w:r>
      <w:r>
        <w:rPr>
          <w:rFonts w:ascii="Times New Roman" w:hAnsi="Times New Roman" w:eastAsiaTheme="minorHAnsi"/>
          <w:sz w:val="24"/>
          <w:szCs w:val="24"/>
        </w:rPr>
      </w:r>
      <w:r>
        <w:rPr>
          <w:rFonts w:ascii="Times New Roman" w:hAnsi="Times New Roman" w:eastAsiaTheme="minorHAnsi"/>
          <w:sz w:val="24"/>
          <w:szCs w:val="24"/>
        </w:rPr>
      </w:r>
    </w:p>
    <w:p>
      <w:pPr>
        <w:pStyle w:val="848"/>
        <w:numPr>
          <w:ilvl w:val="2"/>
          <w:numId w:val="2"/>
        </w:numPr>
        <w:ind w:left="0" w:firstLine="720"/>
        <w:jc w:val="both"/>
        <w:spacing w:line="336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 xml:space="preserve">Устранение дефектов и неисправностей, обнаруженных в расходных материалах для офисной техники в течение гарантийного срока, осуществляется Поставщиком без дополнительной платы.</w:t>
      </w:r>
      <w:r>
        <w:rPr>
          <w:rFonts w:ascii="Times New Roman" w:hAnsi="Times New Roman" w:eastAsiaTheme="minorHAnsi"/>
          <w:sz w:val="24"/>
          <w:szCs w:val="24"/>
        </w:rPr>
      </w:r>
      <w:r>
        <w:rPr>
          <w:rFonts w:ascii="Times New Roman" w:hAnsi="Times New Roman" w:eastAsiaTheme="minorHAnsi"/>
          <w:sz w:val="24"/>
          <w:szCs w:val="24"/>
        </w:rPr>
      </w:r>
    </w:p>
    <w:p>
      <w:pPr>
        <w:pStyle w:val="848"/>
        <w:numPr>
          <w:ilvl w:val="2"/>
          <w:numId w:val="2"/>
        </w:numPr>
        <w:ind w:left="0" w:firstLine="720"/>
        <w:jc w:val="both"/>
        <w:spacing w:line="336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 xml:space="preserve">В случае возникно</w:t>
      </w:r>
      <w:r>
        <w:rPr>
          <w:rFonts w:ascii="Times New Roman" w:hAnsi="Times New Roman" w:eastAsiaTheme="minorHAnsi"/>
          <w:sz w:val="24"/>
          <w:szCs w:val="24"/>
        </w:rPr>
        <w:t xml:space="preserve">вения неисправности, поломки офисной техники Заказчика по причине установленного в него некачественного Товара, Поставщик обязан произвести диагностику и ремонт техники в течение 2 (двух) рабочих дней после предъявления претензии, при этом все расходы на в</w:t>
      </w:r>
      <w:r>
        <w:rPr>
          <w:rFonts w:ascii="Times New Roman" w:hAnsi="Times New Roman" w:eastAsiaTheme="minorHAnsi"/>
          <w:sz w:val="24"/>
          <w:szCs w:val="24"/>
        </w:rPr>
        <w:t xml:space="preserve">осстановление оборудования возлагаются на Поставщика. Если восстановление работоспособности техники в указанные сроки невозможно Поставщик предоставляет на время проведения ремонтно-восстановительных работ аналогичное по своим характеристикам оборудование.</w:t>
      </w:r>
      <w:r>
        <w:rPr>
          <w:rFonts w:ascii="Times New Roman" w:hAnsi="Times New Roman" w:eastAsiaTheme="minorHAnsi"/>
          <w:sz w:val="24"/>
          <w:szCs w:val="24"/>
        </w:rPr>
      </w:r>
      <w:r>
        <w:rPr>
          <w:rFonts w:ascii="Times New Roman" w:hAnsi="Times New Roman" w:eastAsiaTheme="minorHAnsi"/>
          <w:sz w:val="24"/>
          <w:szCs w:val="24"/>
        </w:rPr>
      </w:r>
    </w:p>
    <w:p>
      <w:pPr>
        <w:pStyle w:val="848"/>
        <w:numPr>
          <w:ilvl w:val="1"/>
          <w:numId w:val="2"/>
        </w:numPr>
        <w:ind w:left="0" w:firstLine="709"/>
        <w:jc w:val="both"/>
        <w:spacing w:line="336" w:lineRule="auto"/>
        <w:rPr>
          <w:rFonts w:ascii="Times New Roman" w:hAnsi="Times New Roman" w:eastAsiaTheme="minorHAnsi"/>
          <w:b/>
          <w:sz w:val="24"/>
          <w:szCs w:val="24"/>
        </w:rPr>
      </w:pPr>
      <w:r>
        <w:rPr>
          <w:rFonts w:ascii="Times New Roman" w:hAnsi="Times New Roman" w:eastAsiaTheme="minorHAnsi"/>
          <w:b/>
          <w:sz w:val="24"/>
          <w:szCs w:val="24"/>
        </w:rPr>
        <w:t xml:space="preserve">Требования к совместимости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расходных материалов для офисной техники</w:t>
      </w:r>
      <w:r>
        <w:rPr>
          <w:rFonts w:ascii="Times New Roman" w:hAnsi="Times New Roman" w:eastAsiaTheme="minorHAnsi"/>
          <w:b/>
          <w:sz w:val="24"/>
          <w:szCs w:val="24"/>
        </w:rPr>
        <w:t xml:space="preserve">.</w:t>
      </w:r>
      <w:r>
        <w:rPr>
          <w:rFonts w:ascii="Times New Roman" w:hAnsi="Times New Roman" w:eastAsiaTheme="minorHAnsi"/>
          <w:b/>
          <w:sz w:val="24"/>
          <w:szCs w:val="24"/>
        </w:rPr>
      </w:r>
      <w:r>
        <w:rPr>
          <w:rFonts w:ascii="Times New Roman" w:hAnsi="Times New Roman" w:eastAsiaTheme="minorHAnsi"/>
          <w:b/>
          <w:sz w:val="24"/>
          <w:szCs w:val="24"/>
        </w:rPr>
      </w:r>
    </w:p>
    <w:p>
      <w:pPr>
        <w:pStyle w:val="848"/>
        <w:numPr>
          <w:ilvl w:val="2"/>
          <w:numId w:val="2"/>
        </w:numPr>
        <w:ind w:left="0" w:firstLine="720"/>
        <w:jc w:val="both"/>
        <w:spacing w:line="336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 xml:space="preserve">Товар должен быть упакован в фирменную упаковку, снабженную вкладышами, исключающими его перемещение внутри упаковки. Маркировка упаковки должна строго соответствовать маркировке Товара. Поставщик обеспечивает сохранность упаковки до момента </w:t>
      </w:r>
      <w:r>
        <w:rPr>
          <w:rFonts w:ascii="Times New Roman" w:hAnsi="Times New Roman" w:eastAsiaTheme="minorHAnsi"/>
          <w:sz w:val="24"/>
          <w:szCs w:val="24"/>
        </w:rPr>
        <w:t xml:space="preserve">передачи Товара Заказчику. На упаковку Товара должна быть нанесена типографским способом или (и) при помощи этикеток информация, содержащая следующие данные:</w:t>
      </w:r>
      <w:r>
        <w:rPr>
          <w:rFonts w:ascii="Times New Roman" w:hAnsi="Times New Roman" w:eastAsiaTheme="minorHAnsi"/>
          <w:sz w:val="24"/>
          <w:szCs w:val="24"/>
        </w:rPr>
      </w:r>
      <w:r>
        <w:rPr>
          <w:rFonts w:ascii="Times New Roman" w:hAnsi="Times New Roman" w:eastAsiaTheme="minorHAnsi"/>
          <w:sz w:val="24"/>
          <w:szCs w:val="24"/>
        </w:rPr>
      </w:r>
    </w:p>
    <w:p>
      <w:pPr>
        <w:pStyle w:val="851"/>
        <w:ind w:left="709"/>
        <w:jc w:val="both"/>
        <w:spacing w:line="33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-тип Товара и его совместимость с оригинальным Товаром;</w:t>
      </w:r>
      <w:r>
        <w:rPr>
          <w:rFonts w:eastAsiaTheme="minorHAnsi"/>
          <w:sz w:val="24"/>
          <w:szCs w:val="24"/>
          <w:lang w:eastAsia="en-US"/>
        </w:rPr>
      </w:r>
      <w:r>
        <w:rPr>
          <w:rFonts w:eastAsiaTheme="minorHAnsi"/>
          <w:sz w:val="24"/>
          <w:szCs w:val="24"/>
          <w:lang w:eastAsia="en-US"/>
        </w:rPr>
      </w:r>
    </w:p>
    <w:p>
      <w:pPr>
        <w:pStyle w:val="851"/>
        <w:ind w:left="709"/>
        <w:jc w:val="both"/>
        <w:spacing w:line="33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товарный знак или (и) наименование предприятия-изготовителя;</w:t>
      </w:r>
      <w:r>
        <w:rPr>
          <w:rFonts w:eastAsiaTheme="minorHAnsi"/>
          <w:sz w:val="24"/>
          <w:szCs w:val="24"/>
          <w:lang w:eastAsia="en-US"/>
        </w:rPr>
      </w:r>
      <w:r>
        <w:rPr>
          <w:rFonts w:eastAsiaTheme="minorHAnsi"/>
          <w:sz w:val="24"/>
          <w:szCs w:val="24"/>
          <w:lang w:eastAsia="en-US"/>
        </w:rPr>
      </w:r>
    </w:p>
    <w:p>
      <w:pPr>
        <w:pStyle w:val="851"/>
        <w:ind w:left="709"/>
        <w:jc w:val="both"/>
        <w:spacing w:line="33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наименование одной или более моделей копировальных аппаратов, в которых может быть использован Товар;</w:t>
      </w:r>
      <w:r>
        <w:rPr>
          <w:rFonts w:eastAsiaTheme="minorHAnsi"/>
          <w:sz w:val="24"/>
          <w:szCs w:val="24"/>
          <w:lang w:eastAsia="en-US"/>
        </w:rPr>
      </w:r>
      <w:r>
        <w:rPr>
          <w:rFonts w:eastAsiaTheme="minorHAnsi"/>
          <w:sz w:val="24"/>
          <w:szCs w:val="24"/>
          <w:lang w:eastAsia="en-US"/>
        </w:rPr>
      </w:r>
    </w:p>
    <w:p>
      <w:pPr>
        <w:pStyle w:val="851"/>
        <w:ind w:left="709"/>
        <w:jc w:val="both"/>
        <w:spacing w:line="33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указание об условиях хранения;</w:t>
      </w:r>
      <w:r>
        <w:rPr>
          <w:rFonts w:eastAsiaTheme="minorHAnsi"/>
          <w:sz w:val="24"/>
          <w:szCs w:val="24"/>
          <w:lang w:eastAsia="en-US"/>
        </w:rPr>
      </w:r>
      <w:r>
        <w:rPr>
          <w:rFonts w:eastAsiaTheme="minorHAnsi"/>
          <w:sz w:val="24"/>
          <w:szCs w:val="24"/>
          <w:lang w:eastAsia="en-US"/>
        </w:rPr>
      </w:r>
    </w:p>
    <w:p>
      <w:pPr>
        <w:pStyle w:val="851"/>
        <w:ind w:left="709"/>
        <w:jc w:val="both"/>
        <w:spacing w:line="33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дату производства.</w:t>
      </w:r>
      <w:r>
        <w:rPr>
          <w:rFonts w:eastAsiaTheme="minorHAnsi"/>
          <w:sz w:val="24"/>
          <w:szCs w:val="24"/>
          <w:lang w:eastAsia="en-US"/>
        </w:rPr>
      </w:r>
      <w:r>
        <w:rPr>
          <w:rFonts w:eastAsiaTheme="minorHAnsi"/>
          <w:sz w:val="24"/>
          <w:szCs w:val="24"/>
          <w:lang w:eastAsia="en-US"/>
        </w:rPr>
      </w:r>
    </w:p>
    <w:p>
      <w:pPr>
        <w:pStyle w:val="848"/>
        <w:numPr>
          <w:ilvl w:val="2"/>
          <w:numId w:val="2"/>
        </w:numPr>
        <w:ind w:left="0" w:firstLine="720"/>
        <w:jc w:val="both"/>
        <w:spacing w:line="336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 xml:space="preserve">Товар должен быть новым, не перезаправленным, не отремонтированным, у которого не была осуществлена замена составных частей, комплектным, не восстановленным или каким</w:t>
      </w:r>
      <w:r>
        <w:rPr>
          <w:rFonts w:ascii="Times New Roman" w:hAnsi="Times New Roman" w:eastAsiaTheme="minorHAnsi"/>
          <w:sz w:val="24"/>
          <w:szCs w:val="24"/>
        </w:rPr>
        <w:t xml:space="preserve"> </w:t>
      </w:r>
      <w:r>
        <w:rPr>
          <w:rFonts w:ascii="Times New Roman" w:hAnsi="Times New Roman" w:eastAsiaTheme="minorHAnsi"/>
          <w:sz w:val="24"/>
          <w:szCs w:val="24"/>
        </w:rPr>
        <w:t xml:space="preserve">-</w:t>
      </w:r>
      <w:r>
        <w:rPr>
          <w:rFonts w:ascii="Times New Roman" w:hAnsi="Times New Roman" w:eastAsiaTheme="minorHAnsi"/>
          <w:sz w:val="24"/>
          <w:szCs w:val="24"/>
        </w:rPr>
        <w:t xml:space="preserve"> </w:t>
      </w:r>
      <w:r>
        <w:rPr>
          <w:rFonts w:ascii="Times New Roman" w:hAnsi="Times New Roman" w:eastAsiaTheme="minorHAnsi"/>
          <w:sz w:val="24"/>
          <w:szCs w:val="24"/>
        </w:rPr>
        <w:t xml:space="preserve">либо </w:t>
      </w:r>
      <w:r>
        <w:rPr>
          <w:rFonts w:ascii="Times New Roman" w:hAnsi="Times New Roman" w:eastAsiaTheme="minorHAnsi"/>
          <w:sz w:val="24"/>
          <w:szCs w:val="24"/>
        </w:rPr>
        <w:t xml:space="preserve">образом,</w:t>
      </w:r>
      <w:r>
        <w:rPr>
          <w:rFonts w:ascii="Times New Roman" w:hAnsi="Times New Roman" w:eastAsiaTheme="minorHAnsi"/>
          <w:sz w:val="24"/>
          <w:szCs w:val="24"/>
        </w:rPr>
        <w:t xml:space="preserve"> модифицированным. Корпус Товара не должен иметь следов установки в принтер. Не допускается поставка контрафактного Товара, бывшего в употреблении.</w:t>
      </w:r>
      <w:r>
        <w:rPr>
          <w:rFonts w:ascii="Times New Roman" w:hAnsi="Times New Roman" w:eastAsiaTheme="minorHAnsi"/>
          <w:sz w:val="24"/>
          <w:szCs w:val="24"/>
        </w:rPr>
      </w:r>
      <w:r>
        <w:rPr>
          <w:rFonts w:ascii="Times New Roman" w:hAnsi="Times New Roman" w:eastAsiaTheme="minorHAnsi"/>
          <w:sz w:val="24"/>
          <w:szCs w:val="24"/>
        </w:rPr>
      </w:r>
    </w:p>
    <w:p>
      <w:pPr>
        <w:pStyle w:val="848"/>
        <w:numPr>
          <w:ilvl w:val="2"/>
          <w:numId w:val="2"/>
        </w:numPr>
        <w:ind w:left="0" w:firstLine="720"/>
        <w:jc w:val="both"/>
        <w:spacing w:line="336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 xml:space="preserve">Подвижные элементы (шторки, заслонки) должны легко перемещаться без перекосов и заеданий.</w:t>
      </w:r>
      <w:r>
        <w:rPr>
          <w:rFonts w:ascii="Times New Roman" w:hAnsi="Times New Roman" w:eastAsiaTheme="minorHAnsi"/>
          <w:sz w:val="24"/>
          <w:szCs w:val="24"/>
        </w:rPr>
      </w:r>
      <w:r>
        <w:rPr>
          <w:rFonts w:ascii="Times New Roman" w:hAnsi="Times New Roman" w:eastAsiaTheme="minorHAnsi"/>
          <w:sz w:val="24"/>
          <w:szCs w:val="24"/>
        </w:rPr>
      </w:r>
    </w:p>
    <w:p>
      <w:pPr>
        <w:pStyle w:val="848"/>
        <w:numPr>
          <w:ilvl w:val="2"/>
          <w:numId w:val="2"/>
        </w:numPr>
        <w:ind w:left="0" w:firstLine="720"/>
        <w:jc w:val="both"/>
        <w:spacing w:line="336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 xml:space="preserve">Наличие дефектов не допускается (поставленный таким образом Товар не принимается).</w:t>
      </w:r>
      <w:r>
        <w:rPr>
          <w:rFonts w:ascii="Times New Roman" w:hAnsi="Times New Roman" w:eastAsiaTheme="minorHAnsi"/>
          <w:sz w:val="24"/>
          <w:szCs w:val="24"/>
        </w:rPr>
      </w:r>
      <w:r>
        <w:rPr>
          <w:rFonts w:ascii="Times New Roman" w:hAnsi="Times New Roman" w:eastAsiaTheme="minorHAnsi"/>
          <w:sz w:val="24"/>
          <w:szCs w:val="24"/>
        </w:rPr>
      </w:r>
    </w:p>
    <w:p>
      <w:pPr>
        <w:pStyle w:val="848"/>
        <w:numPr>
          <w:ilvl w:val="2"/>
          <w:numId w:val="2"/>
        </w:numPr>
        <w:ind w:left="0" w:firstLine="720"/>
        <w:jc w:val="both"/>
        <w:spacing w:line="336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 xml:space="preserve">Товар должен быть упакован в упаковку или в антистатический герметичный пакет из полимерного материала, при этом пакеты со сверхчувствительными барабанами должны быть непрозрачными.</w:t>
      </w:r>
      <w:r>
        <w:rPr>
          <w:rFonts w:ascii="Times New Roman" w:hAnsi="Times New Roman" w:eastAsiaTheme="minorHAnsi"/>
          <w:sz w:val="24"/>
          <w:szCs w:val="24"/>
        </w:rPr>
      </w:r>
      <w:r>
        <w:rPr>
          <w:rFonts w:ascii="Times New Roman" w:hAnsi="Times New Roman" w:eastAsiaTheme="minorHAnsi"/>
          <w:sz w:val="24"/>
          <w:szCs w:val="24"/>
        </w:rPr>
      </w:r>
    </w:p>
    <w:p>
      <w:pPr>
        <w:pStyle w:val="848"/>
        <w:numPr>
          <w:ilvl w:val="2"/>
          <w:numId w:val="2"/>
        </w:numPr>
        <w:ind w:left="0" w:firstLine="720"/>
        <w:jc w:val="both"/>
        <w:spacing w:line="336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 xml:space="preserve">Поставщик гарантирует, что поставляемый Товар изготовлен в соответствии с действующими стандартами.</w:t>
      </w:r>
      <w:r>
        <w:rPr>
          <w:rFonts w:ascii="Times New Roman" w:hAnsi="Times New Roman" w:eastAsiaTheme="minorHAnsi"/>
          <w:sz w:val="24"/>
          <w:szCs w:val="24"/>
        </w:rPr>
      </w:r>
      <w:r>
        <w:rPr>
          <w:rFonts w:ascii="Times New Roman" w:hAnsi="Times New Roman" w:eastAsiaTheme="minorHAnsi"/>
          <w:sz w:val="24"/>
          <w:szCs w:val="24"/>
        </w:rPr>
      </w:r>
    </w:p>
    <w:p>
      <w:pPr>
        <w:pStyle w:val="848"/>
        <w:numPr>
          <w:ilvl w:val="2"/>
          <w:numId w:val="2"/>
        </w:numPr>
        <w:ind w:left="0" w:firstLine="720"/>
        <w:jc w:val="both"/>
        <w:spacing w:line="336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 xml:space="preserve">Характеристики совместимых Товаров должны полностью соответствовать характеристикам</w:t>
      </w:r>
      <w:r>
        <w:rPr>
          <w:rFonts w:ascii="Times New Roman" w:hAnsi="Times New Roman" w:eastAsiaTheme="minorHAnsi"/>
          <w:sz w:val="24"/>
          <w:szCs w:val="24"/>
        </w:rPr>
        <w:t xml:space="preserve">, указанным в спецификации п.</w:t>
      </w:r>
      <w:r>
        <w:rPr>
          <w:rFonts w:ascii="Times New Roman" w:hAnsi="Times New Roman" w:eastAsiaTheme="minorHAnsi"/>
          <w:sz w:val="24"/>
          <w:szCs w:val="24"/>
        </w:rPr>
        <w:t xml:space="preserve"> </w:t>
      </w:r>
      <w:r>
        <w:rPr>
          <w:rFonts w:ascii="Times New Roman" w:hAnsi="Times New Roman" w:eastAsiaTheme="minorHAnsi"/>
          <w:sz w:val="24"/>
          <w:szCs w:val="24"/>
        </w:rPr>
        <w:t xml:space="preserve">1.5</w:t>
      </w:r>
      <w:r>
        <w:rPr>
          <w:rFonts w:ascii="Times New Roman" w:hAnsi="Times New Roman" w:eastAsiaTheme="minorHAnsi"/>
          <w:sz w:val="24"/>
          <w:szCs w:val="24"/>
        </w:rPr>
        <w:t xml:space="preserve">. Технического задания.</w:t>
      </w:r>
      <w:r>
        <w:rPr>
          <w:rFonts w:ascii="Times New Roman" w:hAnsi="Times New Roman" w:eastAsiaTheme="minorHAnsi"/>
          <w:sz w:val="24"/>
          <w:szCs w:val="24"/>
        </w:rPr>
      </w:r>
      <w:r>
        <w:rPr>
          <w:rFonts w:ascii="Times New Roman" w:hAnsi="Times New Roman" w:eastAsiaTheme="minorHAnsi"/>
          <w:sz w:val="24"/>
          <w:szCs w:val="24"/>
        </w:rPr>
      </w:r>
    </w:p>
    <w:p>
      <w:pPr>
        <w:pStyle w:val="848"/>
        <w:numPr>
          <w:ilvl w:val="2"/>
          <w:numId w:val="2"/>
        </w:numPr>
        <w:ind w:left="0" w:firstLine="720"/>
        <w:jc w:val="both"/>
        <w:spacing w:line="336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 xml:space="preserve">Используемые в совместимых Товарах материалы должны соответствовать техническим условиям заводов-изготовителей оргтехники.</w:t>
      </w:r>
      <w:r>
        <w:rPr>
          <w:rFonts w:ascii="Times New Roman" w:hAnsi="Times New Roman" w:eastAsiaTheme="minorHAnsi"/>
          <w:sz w:val="24"/>
          <w:szCs w:val="24"/>
        </w:rPr>
      </w:r>
      <w:r>
        <w:rPr>
          <w:rFonts w:ascii="Times New Roman" w:hAnsi="Times New Roman" w:eastAsiaTheme="minorHAnsi"/>
          <w:sz w:val="24"/>
          <w:szCs w:val="24"/>
        </w:rPr>
      </w:r>
    </w:p>
    <w:p>
      <w:pPr>
        <w:pStyle w:val="848"/>
        <w:numPr>
          <w:ilvl w:val="1"/>
          <w:numId w:val="2"/>
        </w:numPr>
        <w:ind w:left="0" w:firstLine="709"/>
        <w:spacing w:line="336" w:lineRule="auto"/>
        <w:rPr>
          <w:rFonts w:ascii="Times New Roman" w:hAnsi="Times New Roman" w:eastAsiaTheme="minorHAnsi"/>
          <w:b/>
          <w:sz w:val="24"/>
          <w:szCs w:val="24"/>
        </w:rPr>
      </w:pPr>
      <w:r>
        <w:rPr>
          <w:rFonts w:ascii="Times New Roman" w:hAnsi="Times New Roman" w:eastAsiaTheme="minorHAnsi"/>
          <w:b/>
          <w:sz w:val="24"/>
          <w:szCs w:val="24"/>
        </w:rPr>
        <w:t xml:space="preserve">Общие требования к Товару.</w:t>
      </w:r>
      <w:r>
        <w:rPr>
          <w:rFonts w:ascii="Times New Roman" w:hAnsi="Times New Roman" w:eastAsiaTheme="minorHAnsi"/>
          <w:b/>
          <w:sz w:val="24"/>
          <w:szCs w:val="24"/>
        </w:rPr>
      </w:r>
      <w:r>
        <w:rPr>
          <w:rFonts w:ascii="Times New Roman" w:hAnsi="Times New Roman" w:eastAsiaTheme="minorHAnsi"/>
          <w:b/>
          <w:sz w:val="24"/>
          <w:szCs w:val="24"/>
        </w:rPr>
      </w:r>
    </w:p>
    <w:p>
      <w:pPr>
        <w:pStyle w:val="848"/>
        <w:numPr>
          <w:ilvl w:val="2"/>
          <w:numId w:val="2"/>
        </w:numPr>
        <w:ind w:left="0" w:firstLine="720"/>
        <w:jc w:val="both"/>
        <w:spacing w:line="336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 xml:space="preserve">Товар должен иметь действующие сертификаты </w:t>
      </w:r>
      <w:r>
        <w:rPr>
          <w:rFonts w:ascii="Times New Roman" w:hAnsi="Times New Roman" w:eastAsiaTheme="minorHAnsi"/>
          <w:sz w:val="24"/>
          <w:szCs w:val="24"/>
        </w:rPr>
        <w:t xml:space="preserve">соответствия (декларации о соответствии) обязательные для данных видов Товаров, оформленные в соответствии с законодательством Российской Федерации, или заверенные соответствующим образом копии, иные документы, регламентирующие безопасность в эксплуатации.</w:t>
      </w:r>
      <w:r>
        <w:rPr>
          <w:rFonts w:ascii="Times New Roman" w:hAnsi="Times New Roman" w:eastAsiaTheme="minorHAnsi"/>
          <w:sz w:val="24"/>
          <w:szCs w:val="24"/>
        </w:rPr>
      </w:r>
      <w:r>
        <w:rPr>
          <w:rFonts w:ascii="Times New Roman" w:hAnsi="Times New Roman" w:eastAsiaTheme="minorHAnsi"/>
          <w:sz w:val="24"/>
          <w:szCs w:val="24"/>
        </w:rPr>
      </w:r>
    </w:p>
    <w:p>
      <w:pPr>
        <w:pStyle w:val="848"/>
        <w:numPr>
          <w:ilvl w:val="2"/>
          <w:numId w:val="2"/>
        </w:numPr>
        <w:ind w:left="0" w:firstLine="720"/>
        <w:jc w:val="both"/>
        <w:spacing w:line="336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 xml:space="preserve">Товар должен соответствовать требованиям настоящего Технического задания, а также действующих актов, указанных в разделе 2 настоящего Технического задания, и подтверждает документами, оформленными в соответствии с требованиями нормативной документации.</w:t>
      </w:r>
      <w:r>
        <w:rPr>
          <w:rFonts w:ascii="Times New Roman" w:hAnsi="Times New Roman" w:eastAsiaTheme="minorHAnsi"/>
          <w:sz w:val="24"/>
          <w:szCs w:val="24"/>
        </w:rPr>
      </w:r>
      <w:r>
        <w:rPr>
          <w:rFonts w:ascii="Times New Roman" w:hAnsi="Times New Roman" w:eastAsiaTheme="minorHAnsi"/>
          <w:sz w:val="24"/>
          <w:szCs w:val="24"/>
        </w:rPr>
      </w:r>
    </w:p>
    <w:p>
      <w:pPr>
        <w:pStyle w:val="848"/>
        <w:numPr>
          <w:ilvl w:val="2"/>
          <w:numId w:val="2"/>
        </w:numPr>
        <w:ind w:left="0" w:firstLine="720"/>
        <w:jc w:val="both"/>
        <w:spacing w:line="336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 xml:space="preserve">В случае если Товар, произведен не в Российской Федерации, перед поставко</w:t>
      </w:r>
      <w:r>
        <w:rPr>
          <w:rFonts w:ascii="Times New Roman" w:hAnsi="Times New Roman" w:eastAsiaTheme="minorHAnsi"/>
          <w:sz w:val="24"/>
          <w:szCs w:val="24"/>
        </w:rPr>
        <w:t xml:space="preserve">й Товар должен пройти все таможенные и иные процедуры, предусмотренные действующим законодательством Российской Федерации и иметь соответствующие документы. Упаковка и маркировка Товара должны соответствовать требованиям действующих нормативных документов </w:t>
      </w:r>
      <w:r>
        <w:rPr>
          <w:rFonts w:ascii="Times New Roman" w:hAnsi="Times New Roman" w:eastAsiaTheme="minorHAnsi"/>
          <w:sz w:val="24"/>
          <w:szCs w:val="24"/>
        </w:rPr>
        <w:t xml:space="preserve">Российской Федерации, а </w:t>
      </w:r>
      <w:r>
        <w:rPr>
          <w:rFonts w:ascii="Times New Roman" w:hAnsi="Times New Roman" w:eastAsiaTheme="minorHAnsi"/>
          <w:sz w:val="24"/>
          <w:szCs w:val="24"/>
        </w:rPr>
        <w:t xml:space="preserve">упаковка и маркировка импортно</w:t>
      </w:r>
      <w:r>
        <w:rPr>
          <w:rFonts w:ascii="Times New Roman" w:hAnsi="Times New Roman" w:eastAsiaTheme="minorHAnsi"/>
          <w:sz w:val="24"/>
          <w:szCs w:val="24"/>
        </w:rPr>
        <w:t xml:space="preserve">го международным стандартам. Упаковка должна обеспечивать сохранность Товара от повреждений и порчи при транспортировке к конечному месту поставки и погрузо-разгрузочных работах.</w:t>
      </w:r>
      <w:r>
        <w:rPr>
          <w:rFonts w:ascii="Times New Roman" w:hAnsi="Times New Roman" w:eastAsiaTheme="minorHAnsi"/>
          <w:sz w:val="24"/>
          <w:szCs w:val="24"/>
        </w:rPr>
      </w:r>
      <w:r>
        <w:rPr>
          <w:rFonts w:ascii="Times New Roman" w:hAnsi="Times New Roman" w:eastAsiaTheme="minorHAnsi"/>
          <w:sz w:val="24"/>
          <w:szCs w:val="24"/>
        </w:rPr>
      </w:r>
    </w:p>
    <w:p>
      <w:pPr>
        <w:pStyle w:val="848"/>
        <w:numPr>
          <w:ilvl w:val="2"/>
          <w:numId w:val="2"/>
        </w:numPr>
        <w:ind w:left="0" w:firstLine="720"/>
        <w:jc w:val="both"/>
        <w:spacing w:line="336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 xml:space="preserve">Весь Товар должен быть пригодным для использования в соответствующей оргтехнике, указанной в спецификации. Каждый Това</w:t>
      </w:r>
      <w:r>
        <w:rPr>
          <w:rFonts w:ascii="Times New Roman" w:hAnsi="Times New Roman" w:eastAsiaTheme="minorHAnsi"/>
          <w:sz w:val="24"/>
          <w:szCs w:val="24"/>
        </w:rPr>
        <w:t xml:space="preserve">р должен иметь серийный номер. </w:t>
      </w:r>
      <w:r>
        <w:rPr>
          <w:rFonts w:ascii="Times New Roman" w:hAnsi="Times New Roman" w:eastAsiaTheme="minorHAnsi"/>
          <w:sz w:val="24"/>
          <w:szCs w:val="24"/>
        </w:rPr>
        <w:t xml:space="preserve">Электронные чипы в Товаре (если такие предусмотрены конструкцией) н</w:t>
      </w:r>
      <w:r>
        <w:rPr>
          <w:rFonts w:ascii="Times New Roman" w:hAnsi="Times New Roman" w:eastAsiaTheme="minorHAnsi"/>
          <w:sz w:val="24"/>
          <w:szCs w:val="24"/>
        </w:rPr>
        <w:t xml:space="preserve">е должны быть перепрограммированы и должны обеспечивать функциональную совместимость с аппаратами, для которых они предназначены. Контакты электрических цепей не должны быть деформированы, на их поверхности не должно быть признаков окисления, загрязнения, </w:t>
      </w:r>
      <w:r>
        <w:rPr>
          <w:rFonts w:ascii="Times New Roman" w:hAnsi="Times New Roman" w:eastAsiaTheme="minorHAnsi"/>
          <w:sz w:val="24"/>
          <w:szCs w:val="24"/>
        </w:rPr>
        <w:t xml:space="preserve">дефектов покрытия. Чип должен быть закреплен на пластиковых штифтах расплавлением их концов специальным штампом. Винтовое или клеевое крепление чипа – признак восстановленного Товара. При эксплуатации Товара не должно наблюдаться повышенных звуковых шумов.</w:t>
      </w:r>
      <w:r>
        <w:rPr>
          <w:rFonts w:ascii="Times New Roman" w:hAnsi="Times New Roman" w:eastAsiaTheme="minorHAnsi"/>
          <w:sz w:val="24"/>
          <w:szCs w:val="24"/>
        </w:rPr>
      </w:r>
      <w:r>
        <w:rPr>
          <w:rFonts w:ascii="Times New Roman" w:hAnsi="Times New Roman" w:eastAsiaTheme="minorHAnsi"/>
          <w:sz w:val="24"/>
          <w:szCs w:val="24"/>
        </w:rPr>
      </w:r>
    </w:p>
    <w:p>
      <w:pPr>
        <w:pStyle w:val="848"/>
        <w:numPr>
          <w:ilvl w:val="2"/>
          <w:numId w:val="2"/>
        </w:numPr>
        <w:ind w:left="0" w:firstLine="720"/>
        <w:jc w:val="both"/>
        <w:spacing w:line="336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 xml:space="preserve">Товар должен легко устанавливаться в офисную технику, для которой он предназначен и опознаваться ею.</w:t>
      </w:r>
      <w:r>
        <w:rPr>
          <w:rFonts w:ascii="Times New Roman" w:hAnsi="Times New Roman" w:eastAsiaTheme="minorHAnsi"/>
          <w:sz w:val="24"/>
          <w:szCs w:val="24"/>
        </w:rPr>
      </w:r>
      <w:r>
        <w:rPr>
          <w:rFonts w:ascii="Times New Roman" w:hAnsi="Times New Roman" w:eastAsiaTheme="minorHAnsi"/>
          <w:sz w:val="24"/>
          <w:szCs w:val="24"/>
        </w:rPr>
      </w:r>
    </w:p>
    <w:p>
      <w:pPr>
        <w:pStyle w:val="848"/>
        <w:numPr>
          <w:ilvl w:val="2"/>
          <w:numId w:val="2"/>
        </w:numPr>
        <w:ind w:left="0" w:firstLine="720"/>
        <w:jc w:val="both"/>
        <w:spacing w:line="336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 xml:space="preserve">Товар не должен прекращать или уменьшать гарантийные обязательства производителя на офисную технику и не уменьшать рассчитанный производителем ресурс. </w:t>
      </w:r>
      <w:r>
        <w:rPr>
          <w:rFonts w:ascii="Times New Roman" w:hAnsi="Times New Roman" w:eastAsiaTheme="minorHAnsi"/>
          <w:sz w:val="24"/>
          <w:szCs w:val="24"/>
        </w:rPr>
      </w:r>
      <w:r>
        <w:rPr>
          <w:rFonts w:ascii="Times New Roman" w:hAnsi="Times New Roman" w:eastAsiaTheme="minorHAnsi"/>
          <w:sz w:val="24"/>
          <w:szCs w:val="24"/>
        </w:rPr>
      </w:r>
    </w:p>
    <w:p>
      <w:pPr>
        <w:pStyle w:val="848"/>
        <w:numPr>
          <w:ilvl w:val="2"/>
          <w:numId w:val="2"/>
        </w:numPr>
        <w:ind w:left="0" w:firstLine="720"/>
        <w:jc w:val="both"/>
        <w:spacing w:line="336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 xml:space="preserve">Для подтверждения ресурса Товара необходимы соответствующие документы от производителя.</w:t>
      </w:r>
      <w:r>
        <w:rPr>
          <w:rFonts w:ascii="Times New Roman" w:hAnsi="Times New Roman" w:eastAsiaTheme="minorHAnsi"/>
          <w:sz w:val="24"/>
          <w:szCs w:val="24"/>
        </w:rPr>
      </w:r>
      <w:r>
        <w:rPr>
          <w:rFonts w:ascii="Times New Roman" w:hAnsi="Times New Roman" w:eastAsiaTheme="minorHAnsi"/>
          <w:sz w:val="24"/>
          <w:szCs w:val="24"/>
        </w:rPr>
      </w:r>
    </w:p>
    <w:p>
      <w:pPr>
        <w:pStyle w:val="848"/>
        <w:numPr>
          <w:ilvl w:val="2"/>
          <w:numId w:val="2"/>
        </w:numPr>
        <w:ind w:left="0" w:firstLine="720"/>
        <w:jc w:val="both"/>
        <w:spacing w:line="336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 xml:space="preserve">Товара должен быть отсортирован по моделям, и каждый тип упакован отдельно от другого типа. </w:t>
      </w:r>
      <w:r>
        <w:rPr>
          <w:rFonts w:ascii="Times New Roman" w:hAnsi="Times New Roman" w:eastAsiaTheme="minorHAnsi"/>
          <w:sz w:val="24"/>
          <w:szCs w:val="24"/>
        </w:rPr>
      </w:r>
      <w:r>
        <w:rPr>
          <w:rFonts w:ascii="Times New Roman" w:hAnsi="Times New Roman" w:eastAsiaTheme="minorHAnsi"/>
          <w:sz w:val="24"/>
          <w:szCs w:val="24"/>
        </w:rPr>
      </w:r>
    </w:p>
    <w:p>
      <w:pPr>
        <w:pStyle w:val="848"/>
        <w:numPr>
          <w:ilvl w:val="0"/>
          <w:numId w:val="2"/>
        </w:numPr>
        <w:ind w:firstLine="66"/>
        <w:jc w:val="center"/>
        <w:spacing w:line="33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Перечень нормативных правовых </w:t>
      </w:r>
      <w:r>
        <w:rPr>
          <w:rFonts w:ascii="Times New Roman" w:hAnsi="Times New Roman"/>
          <w:b/>
          <w:sz w:val="24"/>
          <w:szCs w:val="24"/>
        </w:rPr>
        <w:t xml:space="preserve">и нормативных технических актов</w:t>
      </w:r>
      <w:r>
        <w:rPr>
          <w:rFonts w:ascii="Times New Roman" w:hAnsi="Times New Roman"/>
          <w:b/>
          <w:sz w:val="24"/>
          <w:szCs w:val="24"/>
        </w:rPr>
        <w:t xml:space="preserve">.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48"/>
        <w:numPr>
          <w:ilvl w:val="2"/>
          <w:numId w:val="2"/>
        </w:numPr>
        <w:ind w:left="0" w:firstLine="720"/>
        <w:jc w:val="both"/>
        <w:spacing w:line="336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 xml:space="preserve">Решение Комиссии Таможенного союза от 16.08.2011 № 768 «О принятии технического регламента Таможенного союза «О безопасности низковольтного оборудования» (ТР ТС 004/2011).</w:t>
      </w:r>
      <w:r>
        <w:rPr>
          <w:rFonts w:ascii="Times New Roman" w:hAnsi="Times New Roman" w:eastAsiaTheme="minorHAnsi"/>
          <w:sz w:val="24"/>
          <w:szCs w:val="24"/>
        </w:rPr>
      </w:r>
      <w:r>
        <w:rPr>
          <w:rFonts w:ascii="Times New Roman" w:hAnsi="Times New Roman" w:eastAsiaTheme="minorHAnsi"/>
          <w:sz w:val="24"/>
          <w:szCs w:val="24"/>
        </w:rPr>
      </w:r>
    </w:p>
    <w:p>
      <w:pPr>
        <w:pStyle w:val="848"/>
        <w:numPr>
          <w:ilvl w:val="2"/>
          <w:numId w:val="2"/>
        </w:numPr>
        <w:ind w:left="0" w:firstLine="709"/>
        <w:jc w:val="both"/>
        <w:spacing w:line="336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 xml:space="preserve">Решение комиссии Таможенного союза от 16.08.2011 № 769 «О принятии технического регламента Таможенного союза «О безопасности упаковки» (ТР ТС 005/2011).</w:t>
      </w:r>
      <w:r>
        <w:rPr>
          <w:rFonts w:ascii="Times New Roman" w:hAnsi="Times New Roman" w:eastAsiaTheme="minorHAnsi"/>
          <w:sz w:val="24"/>
          <w:szCs w:val="24"/>
        </w:rPr>
      </w:r>
      <w:r>
        <w:rPr>
          <w:rFonts w:ascii="Times New Roman" w:hAnsi="Times New Roman" w:eastAsiaTheme="minorHAnsi"/>
          <w:sz w:val="24"/>
          <w:szCs w:val="24"/>
        </w:rPr>
      </w:r>
    </w:p>
    <w:p>
      <w:pPr>
        <w:pStyle w:val="848"/>
        <w:numPr>
          <w:ilvl w:val="2"/>
          <w:numId w:val="2"/>
        </w:numPr>
        <w:ind w:left="0" w:firstLine="720"/>
        <w:jc w:val="both"/>
        <w:spacing w:line="336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 w:eastAsiaTheme="minorHAnsi"/>
          <w:sz w:val="24"/>
          <w:szCs w:val="24"/>
        </w:rPr>
        <w:t xml:space="preserve">Приказ Росстандарта от 07.11.2018 № 941-ст </w:t>
      </w:r>
      <w:r>
        <w:rPr>
          <w:rFonts w:ascii="Times New Roman" w:hAnsi="Times New Roman" w:eastAsiaTheme="minorHAnsi"/>
          <w:sz w:val="24"/>
          <w:szCs w:val="24"/>
        </w:rPr>
        <w:t xml:space="preserve">«О введении в действие межгосударственного стандарта» </w:t>
      </w:r>
      <w:r>
        <w:rPr>
          <w:rFonts w:ascii="Times New Roman" w:hAnsi="Times New Roman" w:eastAsiaTheme="minorHAnsi"/>
          <w:sz w:val="24"/>
          <w:szCs w:val="24"/>
        </w:rPr>
        <w:t xml:space="preserve">«ГОСТ 12.1.019-2017 «Система стандартов безопасности труда. Электробезопасность. Общие требования и номенклатура видов защиты».</w:t>
      </w:r>
      <w:r>
        <w:rPr>
          <w:rFonts w:ascii="Times New Roman" w:hAnsi="Times New Roman" w:eastAsiaTheme="minorHAnsi"/>
          <w:sz w:val="24"/>
          <w:szCs w:val="24"/>
        </w:rPr>
      </w:r>
      <w:r>
        <w:rPr>
          <w:rFonts w:ascii="Times New Roman" w:hAnsi="Times New Roman" w:eastAsiaTheme="minorHAnsi"/>
          <w:sz w:val="24"/>
          <w:szCs w:val="24"/>
        </w:rPr>
      </w:r>
    </w:p>
    <w:p>
      <w:pPr>
        <w:pStyle w:val="848"/>
        <w:numPr>
          <w:ilvl w:val="0"/>
          <w:numId w:val="2"/>
        </w:numPr>
        <w:ind w:firstLine="349"/>
        <w:spacing w:line="336" w:lineRule="auto"/>
        <w:rPr>
          <w:rFonts w:ascii="Times New Roman" w:hAnsi="Times New Roman" w:eastAsiaTheme="minorHAnsi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 xml:space="preserve">Порядок оплаты</w:t>
      </w:r>
      <w:r>
        <w:rPr>
          <w:rFonts w:ascii="Times New Roman" w:hAnsi="Times New Roman"/>
          <w:b/>
          <w:color w:val="000000" w:themeColor="text1"/>
          <w:spacing w:val="1"/>
          <w:sz w:val="24"/>
          <w:szCs w:val="24"/>
        </w:rPr>
        <w:t xml:space="preserve">.</w:t>
      </w:r>
      <w:r>
        <w:rPr>
          <w:rFonts w:ascii="Times New Roman" w:hAnsi="Times New Roman" w:eastAsiaTheme="minorHAnsi"/>
          <w:sz w:val="24"/>
          <w:szCs w:val="24"/>
        </w:rPr>
      </w:r>
      <w:r>
        <w:rPr>
          <w:rFonts w:ascii="Times New Roman" w:hAnsi="Times New Roman" w:eastAsiaTheme="minorHAnsi"/>
          <w:sz w:val="24"/>
          <w:szCs w:val="24"/>
        </w:rPr>
      </w:r>
    </w:p>
    <w:p>
      <w:pPr>
        <w:pStyle w:val="848"/>
        <w:numPr>
          <w:ilvl w:val="1"/>
          <w:numId w:val="2"/>
        </w:numPr>
        <w:ind w:left="0" w:firstLine="709"/>
        <w:jc w:val="both"/>
        <w:spacing w:line="336" w:lineRule="auto"/>
        <w:rPr>
          <w:rFonts w:ascii="Times New Roman" w:hAnsi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1134" w:bottom="1134" w:left="567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Оплата осуществляется путем перечисления Заказчиком денежных средств на расчетный счет Поставщика, на основании счета и</w:t>
      </w:r>
      <w:r>
        <w:rPr>
          <w:rFonts w:ascii="Times New Roman" w:hAnsi="Times New Roman"/>
          <w:sz w:val="24"/>
          <w:szCs w:val="24"/>
        </w:rPr>
        <w:t xml:space="preserve"> товарной накладной в течение 10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десять</w:t>
      </w:r>
      <w:r>
        <w:rPr>
          <w:rFonts w:ascii="Times New Roman" w:hAnsi="Times New Roman"/>
          <w:sz w:val="24"/>
          <w:szCs w:val="24"/>
        </w:rPr>
        <w:t xml:space="preserve">) рабочих дней с даты подписания Сторо</w:t>
      </w:r>
      <w:r>
        <w:rPr>
          <w:rFonts w:ascii="Times New Roman" w:hAnsi="Times New Roman"/>
          <w:sz w:val="24"/>
          <w:szCs w:val="24"/>
        </w:rPr>
        <w:t xml:space="preserve">нами товарной накладной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8"/>
        <w:ind w:left="360"/>
        <w:jc w:val="right"/>
        <w:tabs>
          <w:tab w:val="left" w:pos="4763" w:leader="none"/>
        </w:tabs>
        <w:rPr>
          <w:rFonts w:ascii="Times New Roman" w:hAnsi="Times New Roman" w:eastAsia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 w:themeColor="text1"/>
          <w:sz w:val="24"/>
          <w:szCs w:val="24"/>
          <w:lang w:eastAsia="ru-RU"/>
        </w:rPr>
        <w:t xml:space="preserve">Приложение </w:t>
      </w:r>
      <w:r>
        <w:rPr>
          <w:rFonts w:ascii="Times New Roman" w:hAnsi="Times New Roman" w:eastAsia="Times New Roman"/>
          <w:color w:val="000000" w:themeColor="text1"/>
          <w:sz w:val="24"/>
          <w:szCs w:val="24"/>
          <w:lang w:eastAsia="ru-RU"/>
        </w:rPr>
      </w:r>
      <w:r>
        <w:rPr>
          <w:rFonts w:ascii="Times New Roman" w:hAnsi="Times New Roman" w:eastAsia="Times New Roman"/>
          <w:color w:val="000000" w:themeColor="text1"/>
          <w:sz w:val="24"/>
          <w:szCs w:val="24"/>
          <w:lang w:eastAsia="ru-RU"/>
        </w:rPr>
      </w:r>
    </w:p>
    <w:p>
      <w:pPr>
        <w:pStyle w:val="848"/>
        <w:ind w:left="360"/>
        <w:jc w:val="right"/>
        <w:spacing w:after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к 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техническому заданию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8"/>
        <w:ind w:left="709"/>
        <w:jc w:val="both"/>
        <w:spacing w:after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8"/>
        <w:ind w:left="709"/>
        <w:jc w:val="center"/>
        <w:spacing w:after="120" w:line="36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Спецификация</w:t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</w:p>
    <w:tbl>
      <w:tblPr>
        <w:tblStyle w:val="850"/>
        <w:tblW w:w="0" w:type="auto"/>
        <w:tblInd w:w="296" w:type="dxa"/>
        <w:tblLayout w:type="fixed"/>
        <w:tblLook w:val="04A0" w:firstRow="1" w:lastRow="0" w:firstColumn="1" w:lastColumn="0" w:noHBand="0" w:noVBand="1"/>
      </w:tblPr>
      <w:tblGrid>
        <w:gridCol w:w="838"/>
        <w:gridCol w:w="3588"/>
        <w:gridCol w:w="1151"/>
        <w:gridCol w:w="1639"/>
        <w:gridCol w:w="1301"/>
        <w:gridCol w:w="1554"/>
      </w:tblGrid>
      <w:tr>
        <w:tblPrEx/>
        <w:trPr>
          <w:trHeight w:val="600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</w:rPr>
              <w:t xml:space="preserve">№</w:t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</w:rPr>
              <w:t xml:space="preserve">Наименование</w:t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</w:rPr>
              <w:t xml:space="preserve">Кол-во  </w:t>
            </w:r>
            <w:r/>
          </w:p>
        </w:tc>
        <w:tc>
          <w:tcPr>
            <w:tcBorders>
              <w:top w:val="none" w:color="000000" w:sz="4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3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Производитель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Цена за ед. руб.*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Сумма руб.*</w:t>
            </w:r>
            <w:r/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8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</w:rPr>
              <w:t xml:space="preserve">Картриджи CF 259 A для HP LJ Pro M 404 dn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3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G&amp;G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5 933,33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 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59 333,30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 </w:t>
            </w:r>
            <w:r/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2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8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</w:rPr>
              <w:t xml:space="preserve">Картридж CF 230A для HP LJ  Pro M227 fdn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40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3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G&amp;G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1 887,95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 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75 518,00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 </w:t>
            </w:r>
            <w:r/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3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8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</w:rPr>
              <w:t xml:space="preserve">Картридж CE 285A для HP LJ Pro P1102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20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3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G&amp;G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913,98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 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18 279,60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 </w:t>
            </w:r>
            <w:r/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4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8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</w:rPr>
              <w:t xml:space="preserve">артридж CF 280 A для HP LJ Pro 400 M401dne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40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3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G&amp;G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1 323,00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 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52 920,00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 </w:t>
            </w:r>
            <w:r/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5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8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</w:rPr>
              <w:t xml:space="preserve">Картридж 106R04348(49) для Xerox  B205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30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3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G&amp;G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4 200,00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 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126 000,00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 </w:t>
            </w:r>
            <w:r/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6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8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</w:rPr>
              <w:t xml:space="preserve">Картридж CF 281A(X)  для HP LJ Enterprise M605dn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2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3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G&amp;G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4 350,00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 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8 700,00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 </w:t>
            </w:r>
            <w:r/>
          </w:p>
        </w:tc>
      </w:tr>
      <w:tr>
        <w:tblPrEx/>
        <w:trPr>
          <w:trHeight w:val="638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7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8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</w:rPr>
              <w:t xml:space="preserve">Картридж 106R02778 для Xerox Phaser 3260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35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3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совм.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2 066,67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 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72 333,45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 </w:t>
            </w:r>
            <w:r/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8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</w:rPr>
              <w:t xml:space="preserve">Картридж 106R02773 для Xerox Work Centre 3025BI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40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3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G&amp;G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1 800,00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 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72 000,00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 </w:t>
            </w:r>
            <w:r/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9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8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</w:rPr>
              <w:t xml:space="preserve">Картридж MLT-D 115L для Samsung Xpress M2870fd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3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G&amp;G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1 833,33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 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18 333,30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 </w:t>
            </w:r>
            <w:r/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8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</w:rPr>
              <w:t xml:space="preserve">Драм-картридж CF 232 A для  HP LJ Pro MFP M227fdn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20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3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G&amp;G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1 316,67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 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26 333,40 </w:t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11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8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</w:rPr>
              <w:t xml:space="preserve">Картридж W2221A(Х) к HP Color LJ Pro MFP 3303sdw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3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3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совм.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6 100,67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 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18 302,01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 </w:t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12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8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</w:rPr>
              <w:t xml:space="preserve">Картридж W2222A(Х) к HP Color LJ Pro MFP 3303sdw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3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3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совм.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6 100,67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 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18 302,01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 </w:t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13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8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</w:rPr>
              <w:t xml:space="preserve">Картридж W2223A(Х) к HP Color LJ Pro MFP 3303sdw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3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3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совм.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6 100,67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 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18 302,01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14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8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</w:rPr>
              <w:t xml:space="preserve">Картридж CF214X к HP Laser Jet M712dn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2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3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G&amp;G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7 183,33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 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14 366,66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 </w:t>
            </w:r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3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</w:r>
            <w:r/>
          </w:p>
        </w:tc>
        <w:tc>
          <w:tcPr>
            <w:tcBorders>
              <w:top w:val="single" w:color="000000" w:sz="3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8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</w:r>
            <w:r/>
          </w:p>
        </w:tc>
        <w:tc>
          <w:tcPr>
            <w:tcBorders>
              <w:top w:val="single" w:color="000000" w:sz="3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5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</w:r>
            <w:r/>
          </w:p>
        </w:tc>
        <w:tc>
          <w:tcPr>
            <w:tcBorders>
              <w:top w:val="single" w:color="000000" w:sz="3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3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</w:r>
            <w:r/>
          </w:p>
        </w:tc>
        <w:tc>
          <w:tcPr>
            <w:tcBorders>
              <w:top w:val="single" w:color="000000" w:sz="3" w:space="0"/>
              <w:left w:val="none" w:color="000000" w:sz="4" w:space="0"/>
              <w:bottom w:val="none" w:color="000000" w:sz="4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599 023,74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 </w:t>
            </w:r>
            <w:r/>
          </w:p>
        </w:tc>
      </w:tr>
    </w:tbl>
    <w:p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*Валюта рубль Российской Федерации.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**Указанное значение цены будет снижено </w:t>
      </w:r>
      <w:r>
        <w:rPr>
          <w:rFonts w:ascii="Times New Roman" w:hAnsi="Times New Roman"/>
          <w:sz w:val="24"/>
          <w:szCs w:val="24"/>
        </w:rPr>
        <w:t xml:space="preserve">пропорционально поданному ценовому предложению участника закупочной сессии, с которым заключается контракт при этом, в случае если при делении на коэффициент снижения образуется более двух значений после запятой, то округление происходит в меньшую сторону.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Итоговая стоимость является твердой и определяется на весь срок исполнения обязательств сторон.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1134" w:bottom="1134" w:left="567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 New Roman">
    <w:panose1 w:val="02020603050405020304"/>
  </w:font>
  <w:font w:name="Calibri">
    <w:panose1 w:val="020F05020202040302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32" w:hanging="372"/>
      </w:pPr>
      <w:rPr>
        <w:rFonts w:hint="default"/>
      </w:rPr>
    </w:lvl>
    <w:lvl w:ilvl="1">
      <w:start w:val="1"/>
      <w:numFmt w:val="russianLower"/>
      <w:isLgl w:val="false"/>
      <w:suff w:val="space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 w:val="false"/>
      <w:suff w:val="space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 w:ascii="Times New Roman" w:hAnsi="Times New Roman" w:cs="Times New Roman"/>
      </w:rPr>
    </w:lvl>
    <w:lvl w:ilvl="3">
      <w:start w:val="1"/>
      <w:numFmt w:val="decimal"/>
      <w:isLgl w:val="false"/>
      <w:suff w:val="space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space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0">
    <w:name w:val="Heading 1"/>
    <w:basedOn w:val="844"/>
    <w:next w:val="844"/>
    <w:link w:val="671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71">
    <w:name w:val="Heading 1 Char"/>
    <w:basedOn w:val="845"/>
    <w:link w:val="670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72">
    <w:name w:val="Heading 2"/>
    <w:basedOn w:val="844"/>
    <w:next w:val="844"/>
    <w:link w:val="673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73">
    <w:name w:val="Heading 2 Char"/>
    <w:basedOn w:val="845"/>
    <w:link w:val="672"/>
    <w:uiPriority w:val="9"/>
    <w:rPr>
      <w:rFonts w:ascii="Liberation Sans" w:hAnsi="Liberation Sans" w:eastAsia="Liberation Sans" w:cs="Liberation Sans"/>
      <w:sz w:val="34"/>
    </w:rPr>
  </w:style>
  <w:style w:type="paragraph" w:styleId="674">
    <w:name w:val="Heading 3"/>
    <w:basedOn w:val="844"/>
    <w:next w:val="844"/>
    <w:link w:val="675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75">
    <w:name w:val="Heading 3 Char"/>
    <w:basedOn w:val="845"/>
    <w:link w:val="674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76">
    <w:name w:val="Heading 4"/>
    <w:basedOn w:val="844"/>
    <w:next w:val="844"/>
    <w:link w:val="677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7">
    <w:name w:val="Heading 4 Char"/>
    <w:basedOn w:val="845"/>
    <w:link w:val="676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8">
    <w:name w:val="Heading 5"/>
    <w:basedOn w:val="844"/>
    <w:next w:val="844"/>
    <w:link w:val="679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9">
    <w:name w:val="Heading 5 Char"/>
    <w:basedOn w:val="845"/>
    <w:link w:val="67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0">
    <w:name w:val="Heading 6"/>
    <w:basedOn w:val="844"/>
    <w:next w:val="844"/>
    <w:link w:val="68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1">
    <w:name w:val="Heading 6 Char"/>
    <w:basedOn w:val="845"/>
    <w:link w:val="68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82">
    <w:name w:val="Heading 7"/>
    <w:basedOn w:val="844"/>
    <w:next w:val="844"/>
    <w:link w:val="68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3">
    <w:name w:val="Heading 7 Char"/>
    <w:basedOn w:val="845"/>
    <w:link w:val="68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4">
    <w:name w:val="Heading 8"/>
    <w:basedOn w:val="844"/>
    <w:next w:val="844"/>
    <w:link w:val="685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5">
    <w:name w:val="Heading 8 Char"/>
    <w:basedOn w:val="845"/>
    <w:link w:val="68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6">
    <w:name w:val="Heading 9"/>
    <w:basedOn w:val="844"/>
    <w:next w:val="844"/>
    <w:link w:val="687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7">
    <w:name w:val="Heading 9 Char"/>
    <w:basedOn w:val="845"/>
    <w:link w:val="68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8">
    <w:name w:val="No Spacing"/>
    <w:uiPriority w:val="1"/>
    <w:qFormat/>
    <w:pPr>
      <w:spacing w:before="0" w:after="0" w:line="240" w:lineRule="auto"/>
    </w:pPr>
  </w:style>
  <w:style w:type="paragraph" w:styleId="689">
    <w:name w:val="Title"/>
    <w:basedOn w:val="844"/>
    <w:next w:val="844"/>
    <w:link w:val="69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0">
    <w:name w:val="Title Char"/>
    <w:basedOn w:val="845"/>
    <w:link w:val="689"/>
    <w:uiPriority w:val="10"/>
    <w:rPr>
      <w:sz w:val="48"/>
      <w:szCs w:val="48"/>
    </w:rPr>
  </w:style>
  <w:style w:type="paragraph" w:styleId="691">
    <w:name w:val="Subtitle"/>
    <w:basedOn w:val="844"/>
    <w:next w:val="844"/>
    <w:link w:val="692"/>
    <w:uiPriority w:val="11"/>
    <w:qFormat/>
    <w:pPr>
      <w:spacing w:before="200" w:after="200"/>
    </w:pPr>
    <w:rPr>
      <w:sz w:val="24"/>
      <w:szCs w:val="24"/>
    </w:rPr>
  </w:style>
  <w:style w:type="character" w:styleId="692">
    <w:name w:val="Subtitle Char"/>
    <w:basedOn w:val="845"/>
    <w:link w:val="691"/>
    <w:uiPriority w:val="11"/>
    <w:rPr>
      <w:sz w:val="24"/>
      <w:szCs w:val="24"/>
    </w:rPr>
  </w:style>
  <w:style w:type="paragraph" w:styleId="693">
    <w:name w:val="Quote"/>
    <w:basedOn w:val="844"/>
    <w:next w:val="844"/>
    <w:link w:val="694"/>
    <w:uiPriority w:val="29"/>
    <w:qFormat/>
    <w:pPr>
      <w:ind w:left="720" w:right="720"/>
    </w:pPr>
    <w:rPr>
      <w:i/>
    </w:rPr>
  </w:style>
  <w:style w:type="character" w:styleId="694">
    <w:name w:val="Quote Char"/>
    <w:link w:val="693"/>
    <w:uiPriority w:val="29"/>
    <w:rPr>
      <w:i/>
    </w:rPr>
  </w:style>
  <w:style w:type="paragraph" w:styleId="695">
    <w:name w:val="Intense Quote"/>
    <w:basedOn w:val="844"/>
    <w:next w:val="844"/>
    <w:link w:val="69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6">
    <w:name w:val="Intense Quote Char"/>
    <w:link w:val="695"/>
    <w:uiPriority w:val="30"/>
    <w:rPr>
      <w:i/>
    </w:rPr>
  </w:style>
  <w:style w:type="paragraph" w:styleId="697">
    <w:name w:val="Header"/>
    <w:basedOn w:val="844"/>
    <w:link w:val="69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8">
    <w:name w:val="Header Char"/>
    <w:basedOn w:val="845"/>
    <w:link w:val="697"/>
    <w:uiPriority w:val="99"/>
  </w:style>
  <w:style w:type="paragraph" w:styleId="699">
    <w:name w:val="Footer"/>
    <w:basedOn w:val="844"/>
    <w:link w:val="70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0">
    <w:name w:val="Footer Char"/>
    <w:basedOn w:val="845"/>
    <w:link w:val="699"/>
    <w:uiPriority w:val="99"/>
  </w:style>
  <w:style w:type="paragraph" w:styleId="701">
    <w:name w:val="Caption"/>
    <w:basedOn w:val="844"/>
    <w:next w:val="844"/>
    <w:link w:val="70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2">
    <w:name w:val="Caption Char"/>
    <w:basedOn w:val="845"/>
    <w:link w:val="701"/>
    <w:uiPriority w:val="35"/>
    <w:rPr>
      <w:b/>
      <w:bCs/>
      <w:color w:val="4f81bd" w:themeColor="accent1"/>
      <w:sz w:val="18"/>
      <w:szCs w:val="18"/>
    </w:rPr>
  </w:style>
  <w:style w:type="table" w:styleId="703">
    <w:name w:val="Table Grid Light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4">
    <w:name w:val="Plain Table 1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5">
    <w:name w:val="Plain Table 2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6">
    <w:name w:val="Plain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7">
    <w:name w:val="Plain Table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Plain Table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9">
    <w:name w:val="Grid Table 1 Light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4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1">
    <w:name w:val="Grid Table 4 - Accent 1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2">
    <w:name w:val="Grid Table 4 - Accent 2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3">
    <w:name w:val="Grid Table 4 - Accent 3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4">
    <w:name w:val="Grid Table 4 - Accent 4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5">
    <w:name w:val="Grid Table 4 - Accent 5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6">
    <w:name w:val="Grid Table 4 - Accent 6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7">
    <w:name w:val="Grid Table 5 Dark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8">
    <w:name w:val="Grid Table 5 Dark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1">
    <w:name w:val="Grid Table 5 Dark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4">
    <w:name w:val="Grid Table 6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5">
    <w:name w:val="Grid Table 6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6">
    <w:name w:val="Grid Table 6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7">
    <w:name w:val="Grid Table 6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8">
    <w:name w:val="Grid Table 6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9">
    <w:name w:val="Grid Table 6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0">
    <w:name w:val="Grid Table 6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1">
    <w:name w:val="Grid Table 7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6">
    <w:name w:val="List Table 2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7">
    <w:name w:val="List Table 2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8">
    <w:name w:val="List Table 2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9">
    <w:name w:val="List Table 2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0">
    <w:name w:val="List Table 2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1">
    <w:name w:val="List Table 2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2">
    <w:name w:val="List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5 Dark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7">
    <w:name w:val="List Table 5 Dark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8">
    <w:name w:val="List Table 5 Dark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9">
    <w:name w:val="List Table 5 Dark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0">
    <w:name w:val="List Table 5 Dark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1">
    <w:name w:val="List Table 5 Dark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2">
    <w:name w:val="List Table 5 Dark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3">
    <w:name w:val="List Table 6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4">
    <w:name w:val="List Table 6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5">
    <w:name w:val="List Table 6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6">
    <w:name w:val="List Table 6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7">
    <w:name w:val="List Table 6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8">
    <w:name w:val="List Table 6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9">
    <w:name w:val="List Table 6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0">
    <w:name w:val="List Table 7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01">
    <w:name w:val="List Table 7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02">
    <w:name w:val="List Table 7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03">
    <w:name w:val="List Table 7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04">
    <w:name w:val="List Table 7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05">
    <w:name w:val="List Table 7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06">
    <w:name w:val="List Table 7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07">
    <w:name w:val="Lined - Accent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Lined - Accent 1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9">
    <w:name w:val="Lined - Accent 2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0">
    <w:name w:val="Lined - Accent 3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1">
    <w:name w:val="Lined - Accent 4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2">
    <w:name w:val="Lined - Accent 5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3">
    <w:name w:val="Lined - Accent 6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4">
    <w:name w:val="Bordered &amp; Lined - Accent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5">
    <w:name w:val="Bordered &amp; Lined - Accent 1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6">
    <w:name w:val="Bordered &amp; Lined - Accent 2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7">
    <w:name w:val="Bordered &amp; Lined - Accent 3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8">
    <w:name w:val="Bordered &amp; Lined - Accent 4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9">
    <w:name w:val="Bordered &amp; Lined - Accent 5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0">
    <w:name w:val="Bordered &amp; Lined - Accent 6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1">
    <w:name w:val="Bordered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2">
    <w:name w:val="Bordered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3">
    <w:name w:val="Bordered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4">
    <w:name w:val="Bordered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5">
    <w:name w:val="Bordered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6">
    <w:name w:val="Bordered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7">
    <w:name w:val="Bordered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8">
    <w:name w:val="Hyperlink"/>
    <w:uiPriority w:val="99"/>
    <w:unhideWhenUsed/>
    <w:rPr>
      <w:color w:val="0000ff" w:themeColor="hyperlink"/>
      <w:u w:val="single"/>
    </w:rPr>
  </w:style>
  <w:style w:type="paragraph" w:styleId="829">
    <w:name w:val="footnote text"/>
    <w:basedOn w:val="844"/>
    <w:link w:val="830"/>
    <w:uiPriority w:val="99"/>
    <w:semiHidden/>
    <w:unhideWhenUsed/>
    <w:pPr>
      <w:spacing w:after="40" w:line="240" w:lineRule="auto"/>
    </w:pPr>
    <w:rPr>
      <w:sz w:val="18"/>
    </w:rPr>
  </w:style>
  <w:style w:type="character" w:styleId="830">
    <w:name w:val="Footnote Text Char"/>
    <w:link w:val="829"/>
    <w:uiPriority w:val="99"/>
    <w:rPr>
      <w:sz w:val="18"/>
    </w:rPr>
  </w:style>
  <w:style w:type="character" w:styleId="831">
    <w:name w:val="Endnote Text Char"/>
    <w:link w:val="851"/>
    <w:uiPriority w:val="99"/>
    <w:rPr>
      <w:sz w:val="20"/>
    </w:rPr>
  </w:style>
  <w:style w:type="character" w:styleId="832">
    <w:name w:val="endnote reference"/>
    <w:basedOn w:val="845"/>
    <w:uiPriority w:val="99"/>
    <w:semiHidden/>
    <w:unhideWhenUsed/>
    <w:rPr>
      <w:vertAlign w:val="superscript"/>
    </w:rPr>
  </w:style>
  <w:style w:type="paragraph" w:styleId="833">
    <w:name w:val="toc 1"/>
    <w:basedOn w:val="844"/>
    <w:next w:val="844"/>
    <w:uiPriority w:val="39"/>
    <w:unhideWhenUsed/>
    <w:pPr>
      <w:ind w:left="0" w:right="0" w:firstLine="0"/>
      <w:spacing w:after="57"/>
    </w:pPr>
  </w:style>
  <w:style w:type="paragraph" w:styleId="834">
    <w:name w:val="toc 2"/>
    <w:basedOn w:val="844"/>
    <w:next w:val="844"/>
    <w:uiPriority w:val="39"/>
    <w:unhideWhenUsed/>
    <w:pPr>
      <w:ind w:left="283" w:right="0" w:firstLine="0"/>
      <w:spacing w:after="57"/>
    </w:pPr>
  </w:style>
  <w:style w:type="paragraph" w:styleId="835">
    <w:name w:val="toc 3"/>
    <w:basedOn w:val="844"/>
    <w:next w:val="844"/>
    <w:uiPriority w:val="39"/>
    <w:unhideWhenUsed/>
    <w:pPr>
      <w:ind w:left="567" w:right="0" w:firstLine="0"/>
      <w:spacing w:after="57"/>
    </w:pPr>
  </w:style>
  <w:style w:type="paragraph" w:styleId="836">
    <w:name w:val="toc 4"/>
    <w:basedOn w:val="844"/>
    <w:next w:val="844"/>
    <w:uiPriority w:val="39"/>
    <w:unhideWhenUsed/>
    <w:pPr>
      <w:ind w:left="850" w:right="0" w:firstLine="0"/>
      <w:spacing w:after="57"/>
    </w:pPr>
  </w:style>
  <w:style w:type="paragraph" w:styleId="837">
    <w:name w:val="toc 5"/>
    <w:basedOn w:val="844"/>
    <w:next w:val="844"/>
    <w:uiPriority w:val="39"/>
    <w:unhideWhenUsed/>
    <w:pPr>
      <w:ind w:left="1134" w:right="0" w:firstLine="0"/>
      <w:spacing w:after="57"/>
    </w:pPr>
  </w:style>
  <w:style w:type="paragraph" w:styleId="838">
    <w:name w:val="toc 6"/>
    <w:basedOn w:val="844"/>
    <w:next w:val="844"/>
    <w:uiPriority w:val="39"/>
    <w:unhideWhenUsed/>
    <w:pPr>
      <w:ind w:left="1417" w:right="0" w:firstLine="0"/>
      <w:spacing w:after="57"/>
    </w:pPr>
  </w:style>
  <w:style w:type="paragraph" w:styleId="839">
    <w:name w:val="toc 7"/>
    <w:basedOn w:val="844"/>
    <w:next w:val="844"/>
    <w:uiPriority w:val="39"/>
    <w:unhideWhenUsed/>
    <w:pPr>
      <w:ind w:left="1701" w:right="0" w:firstLine="0"/>
      <w:spacing w:after="57"/>
    </w:pPr>
  </w:style>
  <w:style w:type="paragraph" w:styleId="840">
    <w:name w:val="toc 8"/>
    <w:basedOn w:val="844"/>
    <w:next w:val="844"/>
    <w:uiPriority w:val="39"/>
    <w:unhideWhenUsed/>
    <w:pPr>
      <w:ind w:left="1984" w:right="0" w:firstLine="0"/>
      <w:spacing w:after="57"/>
    </w:pPr>
  </w:style>
  <w:style w:type="paragraph" w:styleId="841">
    <w:name w:val="toc 9"/>
    <w:basedOn w:val="844"/>
    <w:next w:val="844"/>
    <w:uiPriority w:val="39"/>
    <w:unhideWhenUsed/>
    <w:pPr>
      <w:ind w:left="2268" w:right="0" w:firstLine="0"/>
      <w:spacing w:after="57"/>
    </w:pPr>
  </w:style>
  <w:style w:type="paragraph" w:styleId="842">
    <w:name w:val="TOC Heading"/>
    <w:uiPriority w:val="39"/>
    <w:unhideWhenUsed/>
  </w:style>
  <w:style w:type="paragraph" w:styleId="843">
    <w:name w:val="table of figures"/>
    <w:basedOn w:val="844"/>
    <w:next w:val="844"/>
    <w:uiPriority w:val="99"/>
    <w:unhideWhenUsed/>
    <w:pPr>
      <w:spacing w:after="0" w:afterAutospacing="0"/>
    </w:pPr>
  </w:style>
  <w:style w:type="paragraph" w:styleId="844" w:default="1">
    <w:name w:val="Normal"/>
    <w:qFormat/>
    <w:pPr>
      <w:spacing w:after="0" w:line="240" w:lineRule="auto"/>
    </w:pPr>
    <w:rPr>
      <w:rFonts w:ascii="Calibri" w:hAnsi="Calibri" w:eastAsia="Calibri" w:cs="Times New Roman"/>
    </w:rPr>
  </w:style>
  <w:style w:type="character" w:styleId="845" w:default="1">
    <w:name w:val="Default Paragraph Font"/>
    <w:uiPriority w:val="1"/>
    <w:semiHidden/>
    <w:unhideWhenUsed/>
  </w:style>
  <w:style w:type="table" w:styleId="84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7" w:default="1">
    <w:name w:val="No List"/>
    <w:uiPriority w:val="99"/>
    <w:semiHidden/>
    <w:unhideWhenUsed/>
  </w:style>
  <w:style w:type="paragraph" w:styleId="848">
    <w:name w:val="List Paragraph"/>
    <w:basedOn w:val="844"/>
    <w:uiPriority w:val="34"/>
    <w:qFormat/>
    <w:pPr>
      <w:contextualSpacing/>
      <w:ind w:left="720"/>
    </w:pPr>
  </w:style>
  <w:style w:type="character" w:styleId="849">
    <w:name w:val="footnote reference"/>
    <w:uiPriority w:val="99"/>
    <w:semiHidden/>
    <w:unhideWhenUsed/>
    <w:rPr>
      <w:vertAlign w:val="superscript"/>
    </w:rPr>
  </w:style>
  <w:style w:type="table" w:styleId="850">
    <w:name w:val="Table Grid"/>
    <w:basedOn w:val="846"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51">
    <w:name w:val="endnote text"/>
    <w:basedOn w:val="844"/>
    <w:link w:val="853"/>
    <w:uiPriority w:val="99"/>
    <w:rPr>
      <w:rFonts w:ascii="Times New Roman" w:hAnsi="Times New Roman" w:eastAsia="Times New Roman"/>
      <w:sz w:val="20"/>
      <w:szCs w:val="20"/>
      <w:lang w:eastAsia="zh-CN"/>
    </w:rPr>
  </w:style>
  <w:style w:type="character" w:styleId="852" w:customStyle="1">
    <w:name w:val="Текст концевой сноски Знак"/>
    <w:basedOn w:val="845"/>
    <w:uiPriority w:val="99"/>
    <w:semiHidden/>
    <w:rPr>
      <w:rFonts w:ascii="Calibri" w:hAnsi="Calibri" w:eastAsia="Calibri" w:cs="Times New Roman"/>
      <w:sz w:val="20"/>
      <w:szCs w:val="20"/>
    </w:rPr>
  </w:style>
  <w:style w:type="character" w:styleId="853" w:customStyle="1">
    <w:name w:val="Текст концевой сноски Знак1"/>
    <w:basedOn w:val="845"/>
    <w:link w:val="851"/>
    <w:uiPriority w:val="99"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854" w:customStyle="1">
    <w:name w:val="text-green1"/>
    <w:basedOn w:val="845"/>
    <w:rPr>
      <w:color w:val="00ae76"/>
    </w:rPr>
  </w:style>
  <w:style w:type="paragraph" w:styleId="855">
    <w:name w:val="Balloon Text"/>
    <w:basedOn w:val="844"/>
    <w:link w:val="856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56" w:customStyle="1">
    <w:name w:val="Текст выноски Знак"/>
    <w:basedOn w:val="845"/>
    <w:link w:val="855"/>
    <w:uiPriority w:val="99"/>
    <w:semiHidden/>
    <w:rPr>
      <w:rFonts w:ascii="Segoe UI" w:hAnsi="Segoe UI" w:eastAsia="Calibri" w:cs="Segoe UI"/>
      <w:sz w:val="18"/>
      <w:szCs w:val="18"/>
    </w:rPr>
  </w:style>
  <w:style w:type="paragraph" w:styleId="857">
    <w:name w:val="Normal (Web)"/>
    <w:basedOn w:val="844"/>
    <w:uiPriority w:val="99"/>
    <w:semiHidden/>
    <w:unhideWhenUsed/>
    <w:pPr>
      <w:spacing w:before="100" w:beforeAutospacing="1" w:after="100" w:afterAutospacing="1"/>
    </w:pPr>
    <w:rPr>
      <w:rFonts w:ascii="Times New Roman" w:hAnsi="Times New Roman" w:eastAsia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6979E-963E-4A08-94A7-176D6D867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Р7-Офис/2026.2.2.2683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Анна Олеговна</dc:creator>
  <cp:lastModifiedBy>vo-603@JSRK.RU</cp:lastModifiedBy>
  <cp:revision>9</cp:revision>
  <dcterms:created xsi:type="dcterms:W3CDTF">2025-11-11T13:32:00Z</dcterms:created>
  <dcterms:modified xsi:type="dcterms:W3CDTF">2026-09-03T10:29:47Z</dcterms:modified>
</cp:coreProperties>
</file>