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E5" w:rsidRDefault="0056231B">
      <w:pPr>
        <w:widowControl/>
        <w:jc w:val="center"/>
        <w:rPr>
          <w:rFonts w:eastAsia="Times New Roman"/>
          <w:b/>
          <w:caps/>
          <w:sz w:val="20"/>
          <w:szCs w:val="20"/>
        </w:rPr>
      </w:pPr>
      <w:r>
        <w:rPr>
          <w:rFonts w:eastAsia="Times New Roman"/>
          <w:b/>
          <w:caps/>
          <w:sz w:val="20"/>
          <w:szCs w:val="20"/>
        </w:rPr>
        <w:t xml:space="preserve"> КОНТРАКТ</w:t>
      </w:r>
    </w:p>
    <w:p w:rsidR="001747E5" w:rsidRDefault="0056231B">
      <w:pPr>
        <w:widowControl/>
        <w:jc w:val="center"/>
        <w:rPr>
          <w:rFonts w:eastAsia="Times New Roman"/>
          <w:b/>
          <w:caps/>
          <w:sz w:val="20"/>
          <w:szCs w:val="20"/>
        </w:rPr>
      </w:pPr>
      <w:r>
        <w:rPr>
          <w:rFonts w:eastAsia="Times New Roman"/>
          <w:b/>
          <w:caps/>
          <w:sz w:val="20"/>
          <w:szCs w:val="20"/>
        </w:rPr>
        <w:t>НА ПОСТАВКУ ТОВАРА № ______</w:t>
      </w:r>
    </w:p>
    <w:p w:rsidR="001747E5" w:rsidRDefault="001747E5">
      <w:pPr>
        <w:widowControl/>
        <w:ind w:firstLine="709"/>
        <w:jc w:val="center"/>
        <w:rPr>
          <w:rFonts w:eastAsia="Times New Roman"/>
          <w:b/>
          <w:caps/>
          <w:sz w:val="20"/>
          <w:szCs w:val="20"/>
        </w:rPr>
      </w:pPr>
    </w:p>
    <w:p w:rsidR="001747E5" w:rsidRDefault="0056231B">
      <w:pPr>
        <w:widowControl/>
        <w:ind w:left="-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г. Краснодар                                                                                                                                 «       » ___________ 2026 г.</w:t>
      </w:r>
    </w:p>
    <w:p w:rsidR="001747E5" w:rsidRDefault="001747E5">
      <w:pPr>
        <w:widowControl/>
        <w:ind w:firstLine="540"/>
        <w:jc w:val="both"/>
        <w:rPr>
          <w:rFonts w:eastAsia="Times New Roman"/>
          <w:sz w:val="20"/>
          <w:szCs w:val="20"/>
        </w:rPr>
      </w:pPr>
    </w:p>
    <w:p w:rsidR="001747E5" w:rsidRPr="002770B8" w:rsidRDefault="0056231B">
      <w:pPr>
        <w:widowControl/>
        <w:tabs>
          <w:tab w:val="left" w:pos="1417"/>
        </w:tabs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</w:r>
      <w:r>
        <w:rPr>
          <w:rFonts w:eastAsia="Times New Roman"/>
          <w:sz w:val="20"/>
          <w:szCs w:val="20"/>
        </w:rPr>
        <w:t xml:space="preserve">, именуемое в дальнейшем «Заказчик», </w:t>
      </w:r>
      <w:r>
        <w:rPr>
          <w:rFonts w:eastAsia="Times New Roman"/>
          <w:sz w:val="20"/>
          <w:szCs w:val="20"/>
          <w:highlight w:val="white"/>
        </w:rPr>
        <w:t>в лице начальника управления правовой и организационно-кадровой работы Василенко Елен</w:t>
      </w:r>
      <w:r>
        <w:rPr>
          <w:rFonts w:eastAsia="Times New Roman"/>
          <w:sz w:val="20"/>
          <w:szCs w:val="20"/>
          <w:highlight w:val="white"/>
        </w:rPr>
        <w:t>ы Борисовны, действующего на</w:t>
      </w:r>
      <w:r>
        <w:rPr>
          <w:rFonts w:eastAsia="Times New Roman"/>
          <w:sz w:val="20"/>
          <w:szCs w:val="20"/>
        </w:rPr>
        <w:t xml:space="preserve"> основании доверенности от 12.01.2026 № 5, с одной стороны, и</w:t>
      </w:r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, именуемый(ое) в дальнейшем «Поставщик», в лице ____________________________________________, действующего на основании ______</w:t>
      </w:r>
      <w:r>
        <w:rPr>
          <w:sz w:val="20"/>
          <w:szCs w:val="20"/>
        </w:rPr>
        <w:t xml:space="preserve">________________________________________________________, с другой стороны, вместе именуемые   «Стороны», в   соответствии   с </w:t>
      </w:r>
      <w:r>
        <w:rPr>
          <w:rFonts w:eastAsia="Times New Roman"/>
          <w:sz w:val="20"/>
          <w:szCs w:val="20"/>
        </w:rPr>
        <w:t xml:space="preserve">п. 5 ч. 1 ст. 93 </w:t>
      </w:r>
      <w:r>
        <w:rPr>
          <w:bCs/>
          <w:sz w:val="20"/>
          <w:szCs w:val="20"/>
        </w:rPr>
        <w:t>Федерального закона от 05.04.2013 г. № 44-ФЗ «О контрактной системе в сфере закупок товаров, работ, услуг для об</w:t>
      </w:r>
      <w:r>
        <w:rPr>
          <w:bCs/>
          <w:sz w:val="20"/>
          <w:szCs w:val="20"/>
        </w:rPr>
        <w:t>еспечения государственных и муниципальных нужд» (ИКЗ-</w:t>
      </w:r>
      <w:r w:rsidR="00976692">
        <w:rPr>
          <w:sz w:val="20"/>
          <w:szCs w:val="20"/>
        </w:rPr>
        <w:t>261231102108523110100100020000000244)</w:t>
      </w:r>
      <w:r>
        <w:rPr>
          <w:rFonts w:eastAsia="Times New Roman"/>
          <w:sz w:val="20"/>
          <w:szCs w:val="20"/>
        </w:rPr>
        <w:t>, заключили настоящий контракт (далее - контракт/настоящий контракт) о нижеследующем:</w:t>
      </w:r>
    </w:p>
    <w:p w:rsidR="001747E5" w:rsidRDefault="001747E5">
      <w:pPr>
        <w:ind w:firstLine="567"/>
        <w:jc w:val="center"/>
        <w:rPr>
          <w:b/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1. Предмет </w:t>
      </w:r>
      <w:r>
        <w:rPr>
          <w:rFonts w:eastAsia="Times New Roman"/>
          <w:b/>
          <w:sz w:val="20"/>
          <w:szCs w:val="20"/>
        </w:rPr>
        <w:t>контракт</w:t>
      </w:r>
      <w:r>
        <w:rPr>
          <w:b/>
          <w:color w:val="000000"/>
          <w:sz w:val="20"/>
          <w:szCs w:val="20"/>
        </w:rPr>
        <w:t>а</w:t>
      </w:r>
    </w:p>
    <w:p w:rsidR="001747E5" w:rsidRDefault="001747E5">
      <w:pPr>
        <w:ind w:firstLine="567"/>
        <w:jc w:val="center"/>
        <w:rPr>
          <w:b/>
          <w:bCs/>
          <w:color w:val="000000"/>
          <w:sz w:val="20"/>
          <w:szCs w:val="20"/>
        </w:rPr>
      </w:pPr>
    </w:p>
    <w:p w:rsidR="001747E5" w:rsidRDefault="005623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Arial" w:hAnsi="Times New Roman" w:cs="Times New Roman"/>
          <w:b w:val="0"/>
          <w:sz w:val="20"/>
          <w:szCs w:val="20"/>
        </w:rPr>
        <w:t xml:space="preserve">1.1. </w:t>
      </w:r>
      <w:r>
        <w:rPr>
          <w:rFonts w:ascii="Times New Roman" w:hAnsi="Times New Roman" w:cs="Times New Roman"/>
          <w:b w:val="0"/>
          <w:sz w:val="20"/>
          <w:szCs w:val="20"/>
        </w:rPr>
        <w:t>По настоящему</w:t>
      </w:r>
      <w:r w:rsidR="0097669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контракту Поставщик</w:t>
      </w:r>
      <w:r w:rsidR="0097669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обязуетс</w:t>
      </w:r>
      <w:r>
        <w:rPr>
          <w:rFonts w:ascii="Times New Roman" w:hAnsi="Times New Roman" w:cs="Times New Roman"/>
          <w:b w:val="0"/>
          <w:sz w:val="20"/>
          <w:szCs w:val="20"/>
        </w:rPr>
        <w:t>я</w:t>
      </w:r>
      <w:r w:rsidR="0097669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поставить указательные знаки на объекты Заказчика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 адресу: г. Краснодар, ул. им. 40-летия Победы, 33 </w:t>
      </w:r>
      <w:r>
        <w:rPr>
          <w:rFonts w:ascii="Times New Roman" w:hAnsi="Times New Roman" w:cs="Times New Roman"/>
          <w:b w:val="0"/>
          <w:sz w:val="20"/>
          <w:szCs w:val="20"/>
        </w:rPr>
        <w:t>согласно Спецификации (далее – товар), а Заказчик обязуется принять товар и обеспечить его оплату в порядке и на условиях, предусмотренных настоящим кон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трактом. </w:t>
      </w:r>
    </w:p>
    <w:p w:rsidR="001747E5" w:rsidRDefault="005623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1.2. Спецификация: </w:t>
      </w: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"/>
        <w:gridCol w:w="1648"/>
        <w:gridCol w:w="693"/>
        <w:gridCol w:w="709"/>
        <w:gridCol w:w="1559"/>
        <w:gridCol w:w="2268"/>
        <w:gridCol w:w="1276"/>
        <w:gridCol w:w="1701"/>
      </w:tblGrid>
      <w:tr w:rsidR="001747E5">
        <w:trPr>
          <w:trHeight w:val="1035"/>
        </w:trPr>
        <w:tc>
          <w:tcPr>
            <w:tcW w:w="31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товара, </w:t>
            </w:r>
          </w:p>
        </w:tc>
        <w:tc>
          <w:tcPr>
            <w:tcW w:w="693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3827" w:type="dxa"/>
            <w:gridSpan w:val="2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Требования, установленные к функциональным, техническим, качественным характеристикам товара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за ед.,</w:t>
            </w:r>
          </w:p>
          <w:p w:rsidR="001747E5" w:rsidRDefault="0056231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руб.</w:t>
            </w:r>
          </w:p>
          <w:p w:rsidR="001747E5" w:rsidRDefault="001747E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Сумма, руб. </w:t>
            </w:r>
          </w:p>
          <w:p w:rsidR="001747E5" w:rsidRDefault="001747E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747E5">
        <w:trPr>
          <w:trHeight w:val="608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Показатель, ед. изм.</w:t>
            </w:r>
          </w:p>
        </w:tc>
        <w:tc>
          <w:tcPr>
            <w:tcW w:w="2268" w:type="dxa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/>
            <w:noWrap/>
            <w:vAlign w:val="center"/>
          </w:tcPr>
          <w:p w:rsidR="001747E5" w:rsidRDefault="001747E5"/>
        </w:tc>
        <w:tc>
          <w:tcPr>
            <w:tcW w:w="1701" w:type="dxa"/>
            <w:vMerge/>
            <w:noWrap/>
            <w:vAlign w:val="center"/>
          </w:tcPr>
          <w:p w:rsidR="001747E5" w:rsidRDefault="001747E5"/>
        </w:tc>
      </w:tr>
      <w:tr w:rsidR="001747E5">
        <w:trPr>
          <w:trHeight w:val="430"/>
        </w:trPr>
        <w:tc>
          <w:tcPr>
            <w:tcW w:w="31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Знак «Пожарный проезд» с указанием об эвакуации ТС</w:t>
            </w:r>
          </w:p>
        </w:tc>
        <w:tc>
          <w:tcPr>
            <w:tcW w:w="693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  <w:rPr>
                <w:rFonts w:eastAsia="Times New Roman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Материал основы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1276" w:type="dxa"/>
            <w:vMerge/>
            <w:noWrap/>
          </w:tcPr>
          <w:p w:rsidR="001747E5" w:rsidRDefault="001747E5"/>
        </w:tc>
        <w:tc>
          <w:tcPr>
            <w:tcW w:w="1701" w:type="dxa"/>
            <w:vMerge/>
            <w:noWrap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Размер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600*400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276" w:type="dxa"/>
            <w:vMerge/>
            <w:noWrap/>
          </w:tcPr>
          <w:p w:rsidR="001747E5" w:rsidRDefault="001747E5"/>
        </w:tc>
        <w:tc>
          <w:tcPr>
            <w:tcW w:w="1701" w:type="dxa"/>
            <w:vMerge/>
            <w:noWrap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Знак «Пожарный проезд» без указания об эвакуации ТС</w:t>
            </w:r>
          </w:p>
        </w:tc>
        <w:tc>
          <w:tcPr>
            <w:tcW w:w="693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  <w:rPr>
                <w:rFonts w:eastAsia="Times New Roman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Материал основы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1276" w:type="dxa"/>
            <w:vMerge/>
            <w:noWrap/>
          </w:tcPr>
          <w:p w:rsidR="001747E5" w:rsidRDefault="001747E5"/>
        </w:tc>
        <w:tc>
          <w:tcPr>
            <w:tcW w:w="1701" w:type="dxa"/>
            <w:vMerge/>
            <w:noWrap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Размер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600*400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276" w:type="dxa"/>
            <w:vMerge/>
            <w:noWrap/>
          </w:tcPr>
          <w:p w:rsidR="001747E5" w:rsidRDefault="001747E5"/>
        </w:tc>
        <w:tc>
          <w:tcPr>
            <w:tcW w:w="1701" w:type="dxa"/>
            <w:vMerge/>
            <w:noWrap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Знак «Пожарный водоем» </w:t>
            </w:r>
          </w:p>
        </w:tc>
        <w:tc>
          <w:tcPr>
            <w:tcW w:w="693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  <w:rPr>
                <w:rFonts w:eastAsia="Times New Roman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Материал основы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Металл</w:t>
            </w:r>
          </w:p>
        </w:tc>
        <w:tc>
          <w:tcPr>
            <w:tcW w:w="1276" w:type="dxa"/>
            <w:vMerge/>
            <w:noWrap/>
          </w:tcPr>
          <w:p w:rsidR="001747E5" w:rsidRDefault="001747E5"/>
        </w:tc>
        <w:tc>
          <w:tcPr>
            <w:tcW w:w="1701" w:type="dxa"/>
            <w:vMerge/>
            <w:noWrap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Размер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400*300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276" w:type="dxa"/>
            <w:vMerge/>
            <w:noWrap/>
            <w:vAlign w:val="center"/>
          </w:tcPr>
          <w:p w:rsidR="001747E5" w:rsidRDefault="001747E5"/>
        </w:tc>
        <w:tc>
          <w:tcPr>
            <w:tcW w:w="1701" w:type="dxa"/>
            <w:vMerge/>
            <w:noWrap/>
            <w:vAlign w:val="center"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Знак «План эвакуации людей в случае возникновения пожара» </w:t>
            </w:r>
          </w:p>
        </w:tc>
        <w:tc>
          <w:tcPr>
            <w:tcW w:w="693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1747E5" w:rsidRDefault="0056231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  <w:rPr>
                <w:rFonts w:eastAsia="Times New Roman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1747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Материал основы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1276" w:type="dxa"/>
            <w:vMerge/>
            <w:noWrap/>
            <w:vAlign w:val="center"/>
          </w:tcPr>
          <w:p w:rsidR="001747E5" w:rsidRDefault="001747E5"/>
        </w:tc>
        <w:tc>
          <w:tcPr>
            <w:tcW w:w="1701" w:type="dxa"/>
            <w:vMerge/>
            <w:noWrap/>
            <w:vAlign w:val="center"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Размер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600*400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1276" w:type="dxa"/>
            <w:vMerge/>
            <w:noWrap/>
            <w:vAlign w:val="center"/>
          </w:tcPr>
          <w:p w:rsidR="001747E5" w:rsidRDefault="001747E5"/>
        </w:tc>
        <w:tc>
          <w:tcPr>
            <w:tcW w:w="1701" w:type="dxa"/>
            <w:vMerge/>
            <w:noWrap/>
            <w:vAlign w:val="center"/>
          </w:tcPr>
          <w:p w:rsidR="001747E5" w:rsidRDefault="001747E5"/>
        </w:tc>
      </w:tr>
      <w:tr w:rsidR="001747E5">
        <w:trPr>
          <w:trHeight w:val="299"/>
        </w:trPr>
        <w:tc>
          <w:tcPr>
            <w:tcW w:w="31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693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1747E5" w:rsidRDefault="00174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:rsidR="001747E5" w:rsidRDefault="0056231B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Поверхность</w:t>
            </w:r>
          </w:p>
        </w:tc>
        <w:tc>
          <w:tcPr>
            <w:tcW w:w="2268" w:type="dxa"/>
            <w:noWrap/>
          </w:tcPr>
          <w:p w:rsidR="001747E5" w:rsidRDefault="0056231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Фотолюминисцентная</w:t>
            </w:r>
          </w:p>
        </w:tc>
        <w:tc>
          <w:tcPr>
            <w:tcW w:w="1276" w:type="dxa"/>
            <w:vMerge/>
            <w:noWrap/>
            <w:vAlign w:val="center"/>
          </w:tcPr>
          <w:p w:rsidR="001747E5" w:rsidRDefault="001747E5"/>
        </w:tc>
        <w:tc>
          <w:tcPr>
            <w:tcW w:w="1701" w:type="dxa"/>
            <w:vMerge/>
            <w:noWrap/>
            <w:vAlign w:val="center"/>
          </w:tcPr>
          <w:p w:rsidR="001747E5" w:rsidRDefault="001747E5"/>
        </w:tc>
      </w:tr>
      <w:tr w:rsidR="001747E5">
        <w:trPr>
          <w:trHeight w:val="299"/>
        </w:trPr>
        <w:tc>
          <w:tcPr>
            <w:tcW w:w="8470" w:type="dxa"/>
            <w:gridSpan w:val="7"/>
            <w:vMerge w:val="restart"/>
            <w:noWrap/>
            <w:vAlign w:val="center"/>
          </w:tcPr>
          <w:p w:rsidR="001747E5" w:rsidRDefault="0056231B">
            <w:pPr>
              <w:jc w:val="right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1747E5" w:rsidRDefault="001747E5"/>
        </w:tc>
      </w:tr>
    </w:tbl>
    <w:p w:rsidR="001747E5" w:rsidRDefault="005623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76B4F">
        <w:rPr>
          <w:rFonts w:ascii="Times New Roman" w:hAnsi="Times New Roman" w:cs="Times New Roman"/>
          <w:b w:val="0"/>
          <w:bCs w:val="0"/>
          <w:sz w:val="20"/>
          <w:szCs w:val="20"/>
          <w:highlight w:val="yellow"/>
        </w:rPr>
        <w:t xml:space="preserve">1.3. Страна происхождения товара: </w:t>
      </w:r>
      <w:r w:rsidR="00F76B4F" w:rsidRPr="00F76B4F">
        <w:rPr>
          <w:rFonts w:ascii="Times New Roman" w:hAnsi="Times New Roman" w:cs="Times New Roman"/>
          <w:b w:val="0"/>
          <w:bCs w:val="0"/>
          <w:sz w:val="20"/>
          <w:szCs w:val="20"/>
          <w:highlight w:val="yellow"/>
        </w:rPr>
        <w:t>_____________</w:t>
      </w:r>
      <w:r w:rsidRPr="00F76B4F">
        <w:rPr>
          <w:rFonts w:ascii="Times New Roman" w:hAnsi="Times New Roman" w:cs="Times New Roman"/>
          <w:b w:val="0"/>
          <w:bCs w:val="0"/>
          <w:sz w:val="20"/>
          <w:szCs w:val="20"/>
          <w:highlight w:val="yellow"/>
        </w:rPr>
        <w:t>.</w:t>
      </w:r>
    </w:p>
    <w:p w:rsidR="001747E5" w:rsidRDefault="005623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1.4. Поставщик обязан до поставки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з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наков «План эвакуации людей в случае возникновения пожара»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разработать и направить Заказчику на согласование макеты указанных знаков по каждому объекту Заказчика. Изготовление знаков </w:t>
      </w:r>
      <w:r>
        <w:rPr>
          <w:rFonts w:ascii="Times New Roman" w:hAnsi="Times New Roman"/>
          <w:b w:val="0"/>
          <w:bCs w:val="0"/>
          <w:sz w:val="20"/>
          <w:szCs w:val="20"/>
        </w:rPr>
        <w:t>«План эвакуации людей в случае возникновения пожара»</w:t>
      </w:r>
      <w:r w:rsidR="00F76B4F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осуществляется только после согласования макетов с Заказчиком. Ответственность з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соответствие знаков </w:t>
      </w:r>
      <w:r>
        <w:rPr>
          <w:rFonts w:ascii="Times New Roman" w:hAnsi="Times New Roman"/>
          <w:b w:val="0"/>
          <w:bCs w:val="0"/>
          <w:sz w:val="20"/>
          <w:szCs w:val="20"/>
        </w:rPr>
        <w:t>«План эвакуации людей в случае возникновения пожара»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требованиям законодательства, фактическим планировкам и согласованным макетам несет Поставщик.</w:t>
      </w:r>
    </w:p>
    <w:p w:rsidR="001747E5" w:rsidRDefault="0056231B">
      <w:pPr>
        <w:ind w:firstLine="567"/>
        <w:jc w:val="center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2. Требования к товару</w:t>
      </w:r>
    </w:p>
    <w:p w:rsidR="001747E5" w:rsidRDefault="001747E5">
      <w:pPr>
        <w:ind w:firstLine="567"/>
        <w:jc w:val="center"/>
        <w:rPr>
          <w:b/>
          <w:bCs/>
          <w:color w:val="000000"/>
          <w:sz w:val="20"/>
          <w:szCs w:val="20"/>
        </w:rPr>
      </w:pPr>
    </w:p>
    <w:p w:rsidR="001747E5" w:rsidRDefault="0056231B">
      <w:pPr>
        <w:pStyle w:val="ConsPlusTitle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2.1. Товар должен быть новым, не бывшим в употреблении, не 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осстановленным, не после ремонта.</w:t>
      </w:r>
    </w:p>
    <w:p w:rsidR="001747E5" w:rsidRDefault="0056231B">
      <w:pPr>
        <w:pStyle w:val="ConsPlusTitle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2.2. Товар должен соответствовать требованиям законодательства Российской Федерации, технических регламентов, государственных стандартов, в том   числе ГОСТ Р 12.4.026-2015, ГОСТ 34428-2018, санитарных, противопожарных и и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ных обязательных норм, предъявляемых к данному виду товара. </w:t>
      </w:r>
    </w:p>
    <w:p w:rsidR="001747E5" w:rsidRDefault="0056231B">
      <w:pPr>
        <w:pStyle w:val="ConsPlusTitle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2.3. Товар должен быть укомплектован в полной мере согласно Спецификации и готов к использованию. 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2.4. Товар должен иметь необходимые маркировки, наклейки, сведения о товаре и комплектности, а т</w:t>
      </w:r>
      <w:r>
        <w:rPr>
          <w:sz w:val="20"/>
          <w:szCs w:val="20"/>
        </w:rPr>
        <w:t xml:space="preserve">акже иные обозначения, предусмотренные обязательными требованиями и (при наличии) документацией </w:t>
      </w:r>
      <w:r>
        <w:rPr>
          <w:sz w:val="20"/>
          <w:szCs w:val="20"/>
        </w:rPr>
        <w:lastRenderedPageBreak/>
        <w:t>производителя.</w:t>
      </w:r>
    </w:p>
    <w:p w:rsidR="001747E5" w:rsidRDefault="001747E5">
      <w:pPr>
        <w:tabs>
          <w:tab w:val="left" w:pos="1404"/>
          <w:tab w:val="left" w:pos="1620"/>
        </w:tabs>
        <w:ind w:firstLine="567"/>
        <w:rPr>
          <w:b/>
          <w:sz w:val="20"/>
          <w:szCs w:val="20"/>
        </w:rPr>
      </w:pPr>
    </w:p>
    <w:p w:rsidR="001747E5" w:rsidRDefault="0056231B">
      <w:pPr>
        <w:tabs>
          <w:tab w:val="left" w:pos="1404"/>
          <w:tab w:val="left" w:pos="1620"/>
        </w:tabs>
        <w:ind w:firstLine="567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3. Гарантийные обязательства</w:t>
      </w:r>
    </w:p>
    <w:p w:rsidR="001747E5" w:rsidRDefault="001747E5">
      <w:pPr>
        <w:tabs>
          <w:tab w:val="left" w:pos="1404"/>
          <w:tab w:val="left" w:pos="1620"/>
        </w:tabs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 Гарантии Поставщика и гарантийные обязательства: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3.1.1.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3.1.2. Гарантийный срок на товар составляет 12 месяцев со дня подписания Заказчиком документа(ов) о приемке (акт/</w:t>
      </w:r>
      <w:r>
        <w:rPr>
          <w:sz w:val="20"/>
          <w:szCs w:val="20"/>
        </w:rPr>
        <w:t>УПД).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Объем предоставляемой гарантии должен соответствовать условиям завода-изготовителя, а также условиям, указанным в пунктах 3.1.3 – 3.1.9 настоящего контракта.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3.1.3. Если в процессе эксплуатации товара в течение гарантийного срока обнаружатся недостат</w:t>
      </w:r>
      <w:r>
        <w:rPr>
          <w:sz w:val="20"/>
          <w:szCs w:val="20"/>
        </w:rPr>
        <w:t xml:space="preserve">ки товара, то они подлежат устранению средствами Поставщика. Срок исполнения гарантийных обязательств по устранению недостатков товара не может превышать 14 (четырнадцати) календарных дней с момента получения уведомления от Заказчика о недостатках товара. 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3.1.4. В случае наступления гарантийного случая, в результате которого возникает необходимость транспортировки товара для его замены, Поставщик вывозит товар и доставляет его обратно Заказчику за свой счёт.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3.1.5. Срок гарантии на непригодный товар прерыв</w:t>
      </w:r>
      <w:r>
        <w:rPr>
          <w:sz w:val="20"/>
          <w:szCs w:val="20"/>
        </w:rPr>
        <w:t>ается на все время, в течение которого производилась замена товара, и по окончании замены продлевается на затраченное количество дней.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3.1.6. Поставщик несет все расходы по замене не соответствующего товара, выявленного Заказчиком в течение гарантийного ср</w:t>
      </w:r>
      <w:r>
        <w:rPr>
          <w:sz w:val="20"/>
          <w:szCs w:val="20"/>
        </w:rPr>
        <w:t>ока.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3.1.7. В случае выявления Заказчиком непригодности товара он обязан  прекратить его эксплуатацию и письменно (по электронной почте или иным способом) уведомить Поставщика о наступлении гарантийного случая. Поставщик не несет ответственности за ущерб, </w:t>
      </w:r>
      <w:r>
        <w:rPr>
          <w:sz w:val="20"/>
          <w:szCs w:val="20"/>
        </w:rPr>
        <w:t>нанесенный в результате продолжения эксплуатации заведомо непригодного товара.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3.1.8. Поставщик освобождается от гарантийных обязательств в случаях, если: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условия эксплуатации или хранения товара не соответствуют требованиям, изложенным в инструкциях по </w:t>
      </w:r>
      <w:r>
        <w:rPr>
          <w:sz w:val="20"/>
          <w:szCs w:val="20"/>
        </w:rPr>
        <w:t>эксплуатации;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имели место химические, электромеханические и механические воздействия и повреждения товара, причиненные по вине Заказчика.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3.1.9. По окончании гарантийного срока гарантийные обязательства Поставщика считаются исполненными в полном объеме.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4. Цена</w:t>
      </w:r>
      <w:r w:rsidR="00976692">
        <w:rPr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контракт</w:t>
      </w:r>
      <w:r>
        <w:rPr>
          <w:b/>
          <w:sz w:val="20"/>
          <w:szCs w:val="20"/>
        </w:rPr>
        <w:t>а и порядок расчетов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4.1. Цена настоящего</w:t>
      </w:r>
      <w:r w:rsidR="00976692"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а составляет __________________________________________________ (_______________________________) рублей _____ копеек,</w:t>
      </w:r>
      <w:r w:rsidR="00976692">
        <w:rPr>
          <w:sz w:val="20"/>
          <w:szCs w:val="20"/>
        </w:rPr>
        <w:t xml:space="preserve"> </w:t>
      </w:r>
      <w:r>
        <w:rPr>
          <w:rStyle w:val="FontStyle12"/>
          <w:sz w:val="20"/>
          <w:szCs w:val="20"/>
        </w:rPr>
        <w:t>в том числе НДС ___ % (или НДС не предусмотрен)</w:t>
      </w:r>
      <w:r>
        <w:rPr>
          <w:sz w:val="20"/>
          <w:szCs w:val="20"/>
        </w:rPr>
        <w:t>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Цена контракта является</w:t>
      </w:r>
      <w:r>
        <w:rPr>
          <w:sz w:val="20"/>
          <w:szCs w:val="20"/>
        </w:rPr>
        <w:t xml:space="preserve"> твердой и определяется на весь срок его исполнения.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Цена настоящего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 xml:space="preserve">а включает в себя поставку и все расходы Поставщика, связанные с исполнением настоящего </w:t>
      </w:r>
      <w:r>
        <w:rPr>
          <w:rFonts w:eastAsia="Times New Roman"/>
          <w:sz w:val="20"/>
          <w:szCs w:val="20"/>
        </w:rPr>
        <w:t>контракта, включая доставку, разгрузку, упаковку, тару,  налоги и сборы</w:t>
      </w:r>
      <w:r>
        <w:rPr>
          <w:sz w:val="20"/>
          <w:szCs w:val="20"/>
        </w:rPr>
        <w:t>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4.3. Оплата т</w:t>
      </w:r>
      <w:r>
        <w:rPr>
          <w:sz w:val="20"/>
          <w:szCs w:val="20"/>
        </w:rPr>
        <w:t>овара по настоящему контракту производится Заказчиком по безналичному расчету</w:t>
      </w:r>
      <w:r w:rsidR="00976692">
        <w:rPr>
          <w:sz w:val="20"/>
          <w:szCs w:val="20"/>
        </w:rPr>
        <w:t xml:space="preserve"> </w:t>
      </w:r>
      <w:r>
        <w:rPr>
          <w:sz w:val="20"/>
          <w:szCs w:val="20"/>
        </w:rPr>
        <w:t>в срок не более 7 рабочих дней с момента подписания Заказчиком документа(ов) о приемке поставленного товара.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Pr="00F76B4F">
        <w:rPr>
          <w:sz w:val="20"/>
          <w:szCs w:val="20"/>
        </w:rPr>
        <w:t>Источник финансирования: за счет средств субсидии, выделяемой в ц</w:t>
      </w:r>
      <w:r w:rsidRPr="00F76B4F">
        <w:rPr>
          <w:sz w:val="20"/>
          <w:szCs w:val="20"/>
        </w:rPr>
        <w:t>елях оказания федеральным государственным учреждениям дополнительной государственной поддержки, в том числе для реализации программ развития федеральных государственных учреждений, кадрового потенциала и материально-технической базы</w:t>
      </w:r>
      <w:r w:rsidRPr="00F76B4F">
        <w:rPr>
          <w:sz w:val="22"/>
          <w:szCs w:val="22"/>
        </w:rPr>
        <w:t>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Стороны договорились, что </w:t>
      </w:r>
      <w:r>
        <w:rPr>
          <w:rFonts w:eastAsia="Arial Unicode MS"/>
          <w:sz w:val="20"/>
          <w:szCs w:val="20"/>
        </w:rPr>
        <w:t xml:space="preserve">оплата Заказчиком товара может осуществляться за вычетом сумм </w:t>
      </w:r>
      <w:r>
        <w:rPr>
          <w:sz w:val="20"/>
          <w:szCs w:val="20"/>
        </w:rPr>
        <w:t>неустойки (штрафа, пени) начисленных им за нарушение условий контракта</w:t>
      </w:r>
      <w:r>
        <w:rPr>
          <w:rFonts w:eastAsia="Arial Unicode MS"/>
          <w:sz w:val="20"/>
          <w:szCs w:val="20"/>
        </w:rPr>
        <w:t>, при условии предварительного уведомления Поставщика о данном зачете.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4.6. В случае досрочно</w:t>
      </w:r>
      <w:r>
        <w:rPr>
          <w:sz w:val="20"/>
          <w:szCs w:val="20"/>
        </w:rPr>
        <w:t>го расторжения настоящего контракта, Сторонами проводятся взаиморасчеты, исходя из стоимости фактически поставленного товара на момент расторжения контракта.</w:t>
      </w:r>
    </w:p>
    <w:p w:rsidR="001747E5" w:rsidRDefault="0056231B">
      <w:pPr>
        <w:keepNext/>
        <w:keepLines/>
        <w:ind w:firstLine="360"/>
        <w:jc w:val="both"/>
        <w:outlineLvl w:val="2"/>
        <w:rPr>
          <w:rFonts w:eastAsia="Times New Roman"/>
          <w:bCs/>
        </w:rPr>
      </w:pPr>
      <w:r>
        <w:rPr>
          <w:sz w:val="20"/>
          <w:szCs w:val="20"/>
          <w:highlight w:val="white"/>
        </w:rPr>
        <w:t>4.7.</w:t>
      </w:r>
      <w:r>
        <w:rPr>
          <w:color w:val="000000"/>
          <w:sz w:val="20"/>
          <w:szCs w:val="20"/>
        </w:rPr>
        <w:t xml:space="preserve">Обязательства Заказчика по оплате считаются исполненными с момента списания </w:t>
      </w:r>
      <w:r>
        <w:rPr>
          <w:color w:val="000000"/>
          <w:sz w:val="20"/>
          <w:szCs w:val="20"/>
        </w:rPr>
        <w:br/>
        <w:t>соответствующих д</w:t>
      </w:r>
      <w:r>
        <w:rPr>
          <w:color w:val="000000"/>
          <w:sz w:val="20"/>
          <w:szCs w:val="20"/>
        </w:rPr>
        <w:t>енежных сумм со счета Заказчика.</w:t>
      </w:r>
    </w:p>
    <w:p w:rsidR="001747E5" w:rsidRDefault="001747E5">
      <w:pPr>
        <w:ind w:firstLine="567"/>
        <w:jc w:val="both"/>
        <w:rPr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5. </w:t>
      </w:r>
      <w:r>
        <w:rPr>
          <w:b/>
          <w:bCs/>
          <w:sz w:val="20"/>
          <w:szCs w:val="20"/>
        </w:rPr>
        <w:t>Порядок и сроки поставки, приемки товара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Срок поставки товара: до </w:t>
      </w:r>
      <w:r w:rsidR="007353DC">
        <w:rPr>
          <w:rFonts w:ascii="Times New Roman" w:hAnsi="Times New Roman" w:cs="Times New Roman"/>
        </w:rPr>
        <w:t>31.07</w:t>
      </w:r>
      <w:r>
        <w:rPr>
          <w:rFonts w:ascii="Times New Roman" w:hAnsi="Times New Roman" w:cs="Times New Roman"/>
        </w:rPr>
        <w:t xml:space="preserve">.2026. 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Поставка товара осуществляется за счет Поставщика</w:t>
      </w:r>
      <w:r w:rsidR="007A60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по </w:t>
      </w:r>
      <w:r>
        <w:rPr>
          <w:color w:val="000000"/>
          <w:sz w:val="20"/>
          <w:szCs w:val="20"/>
        </w:rPr>
        <w:t>месту нахождения</w:t>
      </w:r>
      <w:r>
        <w:rPr>
          <w:color w:val="000000"/>
          <w:sz w:val="20"/>
          <w:szCs w:val="20"/>
        </w:rPr>
        <w:t xml:space="preserve"> Заказчика. Передача товара, вскрытие упаковки, осмотр и проверка целостности товара, а также на соответствие требованиям контракта о наименовании, осуществляется в присутствии уполномоченного представителя Поставщика либо в его отсутств</w:t>
      </w:r>
      <w:r>
        <w:rPr>
          <w:color w:val="000000"/>
          <w:sz w:val="20"/>
          <w:szCs w:val="20"/>
        </w:rPr>
        <w:t>ие  при условии надлежащего уведомления Поставщика о времени приемки.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Товар должен быть поставлен в упаковке (таре), обеспечивающей защиту товара от его повреждения или порчи во время транспортировки и хранения. Упаковка (тара) товара и комплектующих </w:t>
      </w:r>
      <w:r>
        <w:rPr>
          <w:color w:val="000000"/>
          <w:sz w:val="20"/>
          <w:szCs w:val="20"/>
        </w:rPr>
        <w:t xml:space="preserve">товара должна отвечать требованиям </w:t>
      </w:r>
      <w:r>
        <w:rPr>
          <w:rFonts w:eastAsia="Arial Unicode MS"/>
          <w:color w:val="000000"/>
          <w:sz w:val="20"/>
          <w:szCs w:val="20"/>
        </w:rPr>
        <w:t xml:space="preserve">безопасности жизни и здоровья </w:t>
      </w:r>
      <w:r>
        <w:rPr>
          <w:color w:val="000000"/>
          <w:sz w:val="20"/>
          <w:szCs w:val="20"/>
        </w:rPr>
        <w:t>и охраны окружающей среды</w:t>
      </w:r>
      <w:r>
        <w:rPr>
          <w:rFonts w:eastAsia="Arial Unicode MS"/>
          <w:color w:val="000000"/>
          <w:sz w:val="20"/>
          <w:szCs w:val="20"/>
        </w:rPr>
        <w:t xml:space="preserve"> (санитарным нормам и правилам, государственным стандартам)</w:t>
      </w:r>
      <w:r>
        <w:rPr>
          <w:color w:val="000000"/>
          <w:sz w:val="20"/>
          <w:szCs w:val="20"/>
        </w:rPr>
        <w:t>, иметь необходимые маркировки, наклейки, пломбы, а также давать возможность определить количество содержащ</w:t>
      </w:r>
      <w:r>
        <w:rPr>
          <w:color w:val="000000"/>
          <w:sz w:val="20"/>
          <w:szCs w:val="20"/>
        </w:rPr>
        <w:t xml:space="preserve">егося в ней товара (опись, упаковочные ярлыки или листы). Если Производителем товара предусмотрена для него специальная упаковка (тара), отличная от указанной настоящим </w:t>
      </w:r>
      <w:r>
        <w:rPr>
          <w:sz w:val="20"/>
          <w:szCs w:val="20"/>
        </w:rPr>
        <w:lastRenderedPageBreak/>
        <w:t>контрактом</w:t>
      </w:r>
      <w:r>
        <w:rPr>
          <w:color w:val="000000"/>
          <w:sz w:val="20"/>
          <w:szCs w:val="20"/>
        </w:rPr>
        <w:t>, то товар может поставляться в упаковке (таре) Производителя, если она обесп</w:t>
      </w:r>
      <w:r>
        <w:rPr>
          <w:color w:val="000000"/>
          <w:sz w:val="20"/>
          <w:szCs w:val="20"/>
        </w:rPr>
        <w:t>ечивает защиту товара и комплектующих от повреждения или порчи во время транспортировки и хранения. При передаче товара в упаковке (таре), не обеспечивающей возможность его хранения, Заказчик вправе отказаться от его принятия. Если товар поставляется в мно</w:t>
      </w:r>
      <w:r>
        <w:rPr>
          <w:color w:val="000000"/>
          <w:sz w:val="20"/>
          <w:szCs w:val="20"/>
        </w:rPr>
        <w:t xml:space="preserve">гооборотной таре, то возврат многооборотной тары и средств пакетирования, в которых поступил товар, организуется Поставщиком самостоятельно и за свой счет. 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5.3.</w:t>
      </w:r>
      <w:r>
        <w:rPr>
          <w:color w:val="000000"/>
          <w:sz w:val="20"/>
          <w:szCs w:val="20"/>
        </w:rPr>
        <w:t>Товар передается с необходимыми документами к нему, в том числе: инструкции по эксплуатации (па</w:t>
      </w:r>
      <w:r>
        <w:rPr>
          <w:color w:val="000000"/>
          <w:sz w:val="20"/>
          <w:szCs w:val="20"/>
        </w:rPr>
        <w:t>мятки) на русском языке, паспорт на товар, гарантийных талонов (сервисных книжек), документов, подтверждающих соответствие обязательным требованиям (сертификат и/или декларация о соответствии – при наличии обязательности), а также иных документов, предусмо</w:t>
      </w:r>
      <w:r>
        <w:rPr>
          <w:color w:val="000000"/>
          <w:sz w:val="20"/>
          <w:szCs w:val="20"/>
        </w:rPr>
        <w:t xml:space="preserve">тренных Спецификацией и законодательством РФ. 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Риск случайной гибели или случайного повреждения товара, а также право собственности на товар переходит на Заказчика с момента подписания Заказчиком документа(ов) о приемке.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Для проверки соответствия</w:t>
      </w:r>
      <w:r>
        <w:rPr>
          <w:sz w:val="20"/>
          <w:szCs w:val="20"/>
        </w:rPr>
        <w:t xml:space="preserve"> качества и объема поставленного товара требованиям, установленным настоящим контрактом, Заказчик вправе привлекать независимых специалистов (экспертов).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Приёмка результата исполнения контракта осуществляется в порядке, установленном законодательством</w:t>
      </w:r>
      <w:r>
        <w:rPr>
          <w:sz w:val="20"/>
          <w:szCs w:val="20"/>
        </w:rPr>
        <w:t xml:space="preserve"> Российской Федерации и настоящим контрактом.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5.7. Поставщик предоставляет Заказчику документы о приемке товара в 2 экземплярах, подписанные со своей стороны в течение 3 (трех) рабочих дней с даты фактической</w:t>
      </w:r>
      <w:r w:rsidR="007A60D9">
        <w:rPr>
          <w:sz w:val="20"/>
          <w:szCs w:val="20"/>
        </w:rPr>
        <w:t xml:space="preserve"> </w:t>
      </w:r>
      <w:r>
        <w:rPr>
          <w:sz w:val="20"/>
          <w:szCs w:val="20"/>
        </w:rPr>
        <w:t>поставки товара.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5.8. Заказчик осуществляет прие</w:t>
      </w:r>
      <w:r>
        <w:rPr>
          <w:sz w:val="20"/>
          <w:szCs w:val="20"/>
        </w:rPr>
        <w:t xml:space="preserve">мку товара в течение 20 (Двадцати) рабочих дней с момента предоставления Поставщиком документов о приемке. В случае привлечения независимых экспертов в соответствии с правом Заказчика, предусмотренным настоящим контрактом, срок приемки товара продлевается </w:t>
      </w:r>
      <w:r>
        <w:rPr>
          <w:sz w:val="20"/>
          <w:szCs w:val="20"/>
        </w:rPr>
        <w:t>на срок проведения независимой экспертизы в соответствии с условиями контракта, заключенного между Заказчиком и независимым экспертом (экспертной организацией).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5.9. В течение срока, указанного в пункте 5.8. настоящего контракта, Заказчик направляет Постав</w:t>
      </w:r>
      <w:r>
        <w:rPr>
          <w:sz w:val="20"/>
          <w:szCs w:val="20"/>
        </w:rPr>
        <w:t>щику  подписанный документ о приемке товара или мотивированный отказ от приемки  в письменной форме.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5.10. В случае выявления несоответствия условиям контракта, Заказчик вправе не отказывать в приемке результатов исполнения контракта, если выявленное несоо</w:t>
      </w:r>
      <w:r>
        <w:rPr>
          <w:sz w:val="20"/>
          <w:szCs w:val="20"/>
        </w:rPr>
        <w:t>тветствие не препятствует приемке и устранено Поставщиком.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5.11. По итогам приемки при отсутствии претензий Заказчик в течение срока, указанного в пункте 5.8. настоящего контракта, подписывает представленные документы, подтверждающие факт поставки товара.</w:t>
      </w:r>
    </w:p>
    <w:p w:rsidR="001747E5" w:rsidRDefault="001747E5">
      <w:pPr>
        <w:ind w:firstLine="567"/>
        <w:jc w:val="center"/>
        <w:rPr>
          <w:b/>
          <w:bCs/>
          <w:color w:val="000000"/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6. Права и обязанности Сторон</w:t>
      </w:r>
    </w:p>
    <w:p w:rsidR="001747E5" w:rsidRDefault="001747E5">
      <w:pPr>
        <w:ind w:firstLine="567"/>
        <w:jc w:val="center"/>
        <w:rPr>
          <w:b/>
          <w:bCs/>
          <w:color w:val="000000"/>
          <w:sz w:val="20"/>
          <w:szCs w:val="20"/>
        </w:rPr>
      </w:pPr>
    </w:p>
    <w:p w:rsidR="001747E5" w:rsidRDefault="0056231B">
      <w:pPr>
        <w:ind w:firstLine="567"/>
        <w:jc w:val="both"/>
        <w:rPr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>1.Заказчик вправе: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6.1.1. Требовать от Поставщика надлежащей поставки товара, с соблюдением требований</w:t>
      </w:r>
      <w:r w:rsidR="002770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 качеству, технически</w:t>
      </w:r>
      <w:r>
        <w:rPr>
          <w:color w:val="000000"/>
          <w:sz w:val="20"/>
          <w:szCs w:val="20"/>
        </w:rPr>
        <w:t>м, функциональным характеристикам, количеству, срокам поставки и иных условий, предусмотренных настоящим</w:t>
      </w:r>
      <w:r w:rsidR="007A60D9">
        <w:rPr>
          <w:color w:val="00000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color w:val="000000"/>
          <w:sz w:val="20"/>
          <w:szCs w:val="20"/>
        </w:rPr>
        <w:t>.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rFonts w:eastAsia="Arial Unicode M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6.1.2. </w:t>
      </w:r>
      <w:r>
        <w:rPr>
          <w:rFonts w:eastAsia="Arial Unicode MS"/>
          <w:color w:val="000000"/>
          <w:sz w:val="20"/>
          <w:szCs w:val="20"/>
        </w:rPr>
        <w:t>Требовать от Поставщика передачи недостающих отчетных документов, материалов и иной документации, передача которой</w:t>
      </w:r>
      <w:r w:rsidR="007A60D9">
        <w:rPr>
          <w:rFonts w:eastAsia="Arial Unicode MS"/>
          <w:color w:val="000000"/>
          <w:sz w:val="20"/>
          <w:szCs w:val="20"/>
        </w:rPr>
        <w:t xml:space="preserve"> </w:t>
      </w:r>
      <w:r>
        <w:rPr>
          <w:rFonts w:eastAsia="Arial Unicode MS"/>
          <w:color w:val="000000"/>
          <w:sz w:val="20"/>
          <w:szCs w:val="20"/>
        </w:rPr>
        <w:t xml:space="preserve">предусмотрена </w:t>
      </w:r>
      <w:r>
        <w:rPr>
          <w:rFonts w:eastAsia="Arial Unicode MS"/>
          <w:color w:val="000000"/>
          <w:sz w:val="20"/>
          <w:szCs w:val="20"/>
        </w:rPr>
        <w:t xml:space="preserve">настоящим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rFonts w:eastAsia="Arial Unicode MS"/>
          <w:color w:val="000000"/>
          <w:sz w:val="20"/>
          <w:szCs w:val="20"/>
        </w:rPr>
        <w:t>.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6.1.3. П</w:t>
      </w:r>
      <w:r>
        <w:rPr>
          <w:bCs/>
          <w:iCs/>
          <w:color w:val="000000"/>
          <w:sz w:val="20"/>
          <w:szCs w:val="20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для участия в проведении экспертизы исполнения Поставщиком обязательств и пре</w:t>
      </w:r>
      <w:r>
        <w:rPr>
          <w:bCs/>
          <w:iCs/>
          <w:color w:val="000000"/>
          <w:sz w:val="20"/>
          <w:szCs w:val="20"/>
        </w:rPr>
        <w:t>дставленных Поставщиком товара и отчетных документов.</w:t>
      </w:r>
    </w:p>
    <w:p w:rsidR="001747E5" w:rsidRDefault="0056231B">
      <w:pPr>
        <w:tabs>
          <w:tab w:val="left" w:pos="1260"/>
          <w:tab w:val="left" w:pos="1332"/>
          <w:tab w:val="left" w:pos="144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Заказчик обязан: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6.2.1. Определить представителей для участия в сдаче-приемке товара по количеству и качеству.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6.2.2. В разумный срок </w:t>
      </w:r>
      <w:r>
        <w:rPr>
          <w:color w:val="000000"/>
          <w:sz w:val="20"/>
          <w:szCs w:val="20"/>
        </w:rPr>
        <w:t>сообщить в письменной форме Поставщику о недостатках товара, об</w:t>
      </w:r>
      <w:r>
        <w:rPr>
          <w:color w:val="000000"/>
          <w:sz w:val="20"/>
          <w:szCs w:val="20"/>
        </w:rPr>
        <w:t xml:space="preserve">наруженных в ходе его приемки или эксплуатации. 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6.2.3. </w:t>
      </w:r>
      <w:r>
        <w:rPr>
          <w:color w:val="000000"/>
          <w:sz w:val="20"/>
          <w:szCs w:val="20"/>
        </w:rPr>
        <w:t>Обеспечить своевременную приемку исполнения обязательств Поставщика.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6.2.4. </w:t>
      </w:r>
      <w:r>
        <w:rPr>
          <w:color w:val="000000"/>
          <w:sz w:val="20"/>
          <w:szCs w:val="20"/>
        </w:rPr>
        <w:t xml:space="preserve">Обеспечить своевременную оплату товара в соответствии с условиями настоящего </w:t>
      </w:r>
      <w:r>
        <w:rPr>
          <w:rFonts w:eastAsia="Times New Roman"/>
          <w:sz w:val="20"/>
          <w:szCs w:val="20"/>
        </w:rPr>
        <w:t>контракт</w:t>
      </w:r>
      <w:r>
        <w:rPr>
          <w:color w:val="000000"/>
          <w:sz w:val="20"/>
          <w:szCs w:val="20"/>
        </w:rPr>
        <w:t>а.</w:t>
      </w:r>
    </w:p>
    <w:p w:rsidR="001747E5" w:rsidRDefault="0056231B">
      <w:pPr>
        <w:tabs>
          <w:tab w:val="left" w:pos="126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 Поставщик вправе: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6.3.1. Требов</w:t>
      </w:r>
      <w:r>
        <w:rPr>
          <w:color w:val="000000"/>
          <w:sz w:val="20"/>
          <w:szCs w:val="20"/>
        </w:rPr>
        <w:t>ать своевременного</w:t>
      </w:r>
      <w:r w:rsidR="007A60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подписания Заказчиком документов о приемке</w:t>
      </w:r>
      <w:r w:rsidR="007A60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соответствии с настоящим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color w:val="000000"/>
          <w:sz w:val="20"/>
          <w:szCs w:val="20"/>
        </w:rPr>
        <w:t>.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6.3.2. Требовать своевременной оплаты поставленного товара в соответствии с настоящим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bCs/>
          <w:iCs/>
          <w:sz w:val="20"/>
          <w:szCs w:val="20"/>
        </w:rPr>
        <w:t>.</w:t>
      </w:r>
    </w:p>
    <w:p w:rsidR="001747E5" w:rsidRDefault="0056231B">
      <w:pPr>
        <w:tabs>
          <w:tab w:val="left" w:pos="1440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Поставщик обязан: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6.4.1. Своевременно и надлежащим обр</w:t>
      </w:r>
      <w:r>
        <w:rPr>
          <w:color w:val="000000"/>
          <w:sz w:val="20"/>
          <w:szCs w:val="20"/>
        </w:rPr>
        <w:t>азом поставить товар, согласно пункту 1.1 настоящего контракта,</w:t>
      </w:r>
      <w:r w:rsidR="007A60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 предоставить Заказчику отчетные</w:t>
      </w:r>
      <w:r w:rsidR="007A60D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документы, предусмотренные настоящим</w:t>
      </w:r>
      <w:r w:rsidR="007A60D9">
        <w:rPr>
          <w:color w:val="00000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color w:val="000000"/>
          <w:sz w:val="20"/>
          <w:szCs w:val="20"/>
        </w:rPr>
        <w:t>.</w:t>
      </w:r>
    </w:p>
    <w:p w:rsidR="001747E5" w:rsidRDefault="0056231B">
      <w:pPr>
        <w:tabs>
          <w:tab w:val="left" w:pos="1404"/>
          <w:tab w:val="left" w:pos="162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6.4.2. Безвозмездно устранить выявленные недостатки товара или осуществить соответствующую замену товара в поряд</w:t>
      </w:r>
      <w:r>
        <w:rPr>
          <w:color w:val="000000"/>
          <w:sz w:val="20"/>
          <w:szCs w:val="20"/>
        </w:rPr>
        <w:t xml:space="preserve">ке и на условиях, предусмотренных настоящим </w:t>
      </w:r>
      <w:r>
        <w:rPr>
          <w:rFonts w:eastAsia="Times New Roman"/>
          <w:sz w:val="20"/>
          <w:szCs w:val="20"/>
        </w:rPr>
        <w:t>контракт</w:t>
      </w:r>
      <w:r>
        <w:rPr>
          <w:sz w:val="20"/>
          <w:szCs w:val="20"/>
        </w:rPr>
        <w:t>ом</w:t>
      </w:r>
      <w:r>
        <w:rPr>
          <w:color w:val="000000"/>
          <w:sz w:val="20"/>
          <w:szCs w:val="20"/>
        </w:rPr>
        <w:t>.</w:t>
      </w:r>
    </w:p>
    <w:p w:rsidR="001747E5" w:rsidRDefault="0056231B">
      <w:pPr>
        <w:ind w:firstLine="567"/>
        <w:jc w:val="both"/>
        <w:rPr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Поставщик гарантирует, что на момент заключения контракта сведения о нем в перечне юридических лиц, в отношении которых применяются специальные экономические меры, утвержденном постановлением Правител</w:t>
      </w:r>
      <w:r>
        <w:rPr>
          <w:bCs/>
          <w:iCs/>
          <w:color w:val="000000"/>
          <w:sz w:val="20"/>
          <w:szCs w:val="20"/>
        </w:rPr>
        <w:t>ьства РФ от 11.05.2022 № 851 «О мерах по реализации Указа Президента Российской Федерации от 3 мая 2022 г. № 252» отсутствуют.</w:t>
      </w:r>
    </w:p>
    <w:p w:rsidR="001747E5" w:rsidRDefault="001747E5">
      <w:pPr>
        <w:ind w:firstLine="567"/>
        <w:jc w:val="both"/>
        <w:rPr>
          <w:color w:val="000000"/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  <w:highlight w:val="white"/>
        </w:rPr>
        <w:t>7. Ответственность Сторон</w:t>
      </w:r>
    </w:p>
    <w:p w:rsidR="001747E5" w:rsidRDefault="001747E5">
      <w:pPr>
        <w:ind w:firstLine="567"/>
        <w:jc w:val="center"/>
        <w:rPr>
          <w:b/>
          <w:bCs/>
          <w:color w:val="000000"/>
          <w:sz w:val="20"/>
          <w:szCs w:val="20"/>
          <w:highlight w:val="white"/>
        </w:rPr>
      </w:pP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7.1. За неисполнение или ненадлежащее исполнение настоящего контракта Стороны несут ответственность </w:t>
      </w:r>
      <w:r>
        <w:rPr>
          <w:sz w:val="20"/>
          <w:szCs w:val="20"/>
          <w:highlight w:val="white"/>
        </w:rPr>
        <w:t>в соответствии с действующим законодательством Российской Федерации.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7.2. В случае просрочки исполнения Поставщиком  обязательств (в том числе гарантийного обязательства), предусмотренных контрактом, а также в иных случаях неисполнения или ненадлежащего ис</w:t>
      </w:r>
      <w:r>
        <w:rPr>
          <w:sz w:val="20"/>
          <w:szCs w:val="20"/>
          <w:highlight w:val="white"/>
        </w:rPr>
        <w:t xml:space="preserve">полнения поставщиком обязательств, предусмотренных контрактом, Заказчик направляет Поставщику  требование об уплате </w:t>
      </w:r>
      <w:r>
        <w:rPr>
          <w:sz w:val="20"/>
          <w:szCs w:val="20"/>
          <w:highlight w:val="white"/>
        </w:rPr>
        <w:lastRenderedPageBreak/>
        <w:t>неустоек (штрафов, пеней).</w:t>
      </w:r>
    </w:p>
    <w:p w:rsidR="001747E5" w:rsidRDefault="0056231B">
      <w:pPr>
        <w:pStyle w:val="a7"/>
        <w:ind w:firstLine="567"/>
        <w:jc w:val="both"/>
        <w:rPr>
          <w:szCs w:val="20"/>
          <w:highlight w:val="white"/>
        </w:rPr>
      </w:pPr>
      <w:r>
        <w:rPr>
          <w:szCs w:val="20"/>
          <w:highlight w:val="white"/>
        </w:rPr>
        <w:t>7.3. За каждый факт неисполнения или ненадлежащего исполнения Поставщиком</w:t>
      </w:r>
      <w:r w:rsidR="007A60D9">
        <w:rPr>
          <w:szCs w:val="20"/>
          <w:highlight w:val="white"/>
        </w:rPr>
        <w:t xml:space="preserve"> </w:t>
      </w:r>
      <w:r>
        <w:rPr>
          <w:szCs w:val="20"/>
          <w:highlight w:val="white"/>
        </w:rPr>
        <w:t>обязат</w:t>
      </w:r>
      <w:r>
        <w:rPr>
          <w:szCs w:val="20"/>
          <w:highlight w:val="white"/>
        </w:rPr>
        <w:t>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взыскивается штраф в размере 10% от цены контракта, определенном согласно постановлению Правительства</w:t>
      </w:r>
      <w:r>
        <w:rPr>
          <w:szCs w:val="20"/>
          <w:highlight w:val="white"/>
        </w:rPr>
        <w:t xml:space="preserve">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</w:t>
      </w:r>
      <w:r>
        <w:rPr>
          <w:szCs w:val="20"/>
          <w:highlight w:val="white"/>
        </w:rPr>
        <w:t>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</w:t>
      </w:r>
      <w:r>
        <w:rPr>
          <w:szCs w:val="20"/>
          <w:highlight w:val="white"/>
        </w:rPr>
        <w:t xml:space="preserve">ения Правительства Российской Федерации от 25 ноября 2013 г. № 1063»  (далее – Постановление № 1042). 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</w:t>
      </w:r>
      <w:r>
        <w:rPr>
          <w:sz w:val="20"/>
          <w:szCs w:val="20"/>
          <w:highlight w:val="white"/>
        </w:rPr>
        <w:t>ения, (при наличии в контракте таких обязательств) взыскивается штраф в размере 1000 (одна тысяча) рублей 00 копеек, определенном согласно Постановлению № 1042.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7.5. За каждый факт неисполнения Заказчиком обязательств, предусмотренных контрактом, за исключ</w:t>
      </w:r>
      <w:r>
        <w:rPr>
          <w:sz w:val="20"/>
          <w:szCs w:val="20"/>
          <w:highlight w:val="white"/>
        </w:rPr>
        <w:t>ением просрочки исполнения обязательств, предусмотренных контрактом, устанавливается штраф в размере 1000 (одна тысяча) рублей 00 копеек, определенном согласно Постановлению № 1042.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7.6. Пеня начисляется за каждый день просрочки исполнения Поставщиком обяз</w:t>
      </w:r>
      <w:r>
        <w:rPr>
          <w:sz w:val="20"/>
          <w:szCs w:val="20"/>
          <w:highlight w:val="white"/>
        </w:rPr>
        <w:t>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</w:t>
      </w:r>
      <w:r>
        <w:rPr>
          <w:sz w:val="20"/>
          <w:szCs w:val="20"/>
          <w:highlight w:val="white"/>
        </w:rPr>
        <w:t>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</w:t>
      </w:r>
      <w:r>
        <w:rPr>
          <w:sz w:val="20"/>
          <w:szCs w:val="20"/>
          <w:highlight w:val="white"/>
        </w:rPr>
        <w:t>ной порядок начисления пени.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 вправе пот</w:t>
      </w:r>
      <w:r>
        <w:rPr>
          <w:sz w:val="20"/>
          <w:szCs w:val="20"/>
          <w:highlight w:val="white"/>
        </w:rPr>
        <w:t xml:space="preserve">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</w:t>
      </w:r>
      <w:r>
        <w:rPr>
          <w:sz w:val="20"/>
          <w:szCs w:val="20"/>
          <w:highlight w:val="white"/>
        </w:rPr>
        <w:t xml:space="preserve">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7.8. Ответственность Сторон в иных случаях определяется в соответствии с законодат</w:t>
      </w:r>
      <w:r>
        <w:rPr>
          <w:sz w:val="20"/>
          <w:szCs w:val="20"/>
          <w:highlight w:val="white"/>
        </w:rPr>
        <w:t>ельством Российской Федерации.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7.9. Уплата штрафа, пени не освобождает Стороны от необходимости исполнения обязательств или устранения нарушений.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7.10. Сторона освобождается от уплаты неустойки (штрафа, пени), если докажет, что неисполнение или ненадлежаще</w:t>
      </w:r>
      <w:r>
        <w:rPr>
          <w:sz w:val="20"/>
          <w:szCs w:val="20"/>
          <w:highlight w:val="white"/>
        </w:rPr>
        <w:t>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Под обстоятельствами непреодолимой силы понимаются обстоятельства, которые могут возникнуть после заключения настоящего контракта в</w:t>
      </w:r>
      <w:r>
        <w:rPr>
          <w:sz w:val="20"/>
          <w:szCs w:val="20"/>
          <w:highlight w:val="white"/>
        </w:rPr>
        <w:t xml:space="preserve"> результате непредвиденных или непреодолимых Сторонами событий.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Стороны освобождаются  от ответственности за частичное или полное неисполнение своих обязательств по настоящему контракту, если это неисполнение явилось следствием обстоятельств непреодолимой </w:t>
      </w:r>
      <w:r>
        <w:rPr>
          <w:sz w:val="20"/>
          <w:szCs w:val="20"/>
          <w:highlight w:val="white"/>
        </w:rPr>
        <w:t>силы, а именно: пожара, наводнения, землетрясения, войны, запретительных актов государственных органов, носящих общий характер, и их последствий, при условии, что эти обстоятельства и их последствия непосредственно повлияли на исполнение обязательств по на</w:t>
      </w:r>
      <w:r>
        <w:rPr>
          <w:sz w:val="20"/>
          <w:szCs w:val="20"/>
          <w:highlight w:val="white"/>
        </w:rPr>
        <w:t>стоящему контракту. В таком случае срок исполнения обязательств по настоящему контракту продлевается соразмерно времени, в течение которого действовали такие обстоятельства или их последствия. К обстоятельствам непреодолимой силы не относятся, в частности,</w:t>
      </w:r>
      <w:r>
        <w:rPr>
          <w:sz w:val="20"/>
          <w:szCs w:val="20"/>
          <w:highlight w:val="white"/>
        </w:rPr>
        <w:t xml:space="preserve"> нарушение обязательств контрагентами Стороны, отсутствие на рынке необходимых товаров, отсутствие денежных средств.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Сторона, для которой создалась невозможность исполнения обязательств по настоящему контракту, вследствие обстоятельств непреодолимой силы, </w:t>
      </w:r>
      <w:r>
        <w:rPr>
          <w:sz w:val="20"/>
          <w:szCs w:val="20"/>
          <w:highlight w:val="white"/>
        </w:rPr>
        <w:t>должна о наступлении этих обстоятельств известить в письменном виде другую Сторону без промедления, но не позднее 10 (десяти) дней с момента их наступления. Извещение должно содержать данные о наступлении и характере обстоятельств и возможных их последстви</w:t>
      </w:r>
      <w:r>
        <w:rPr>
          <w:sz w:val="20"/>
          <w:szCs w:val="20"/>
          <w:highlight w:val="white"/>
        </w:rPr>
        <w:t>ях. Сторона также без промедления, однако, не позднее 10 (десяти) дней, должна известить другую Сторону в письменном виде о прекращении этих обстоятельств.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Неизвещение или несвоевременное извещение другой Стороны о наступлении обстоятельств непреодолимой с</w:t>
      </w:r>
      <w:r>
        <w:rPr>
          <w:sz w:val="20"/>
          <w:szCs w:val="20"/>
          <w:highlight w:val="white"/>
        </w:rPr>
        <w:t>илы Стороной, для которой создалась невозможность исполнения обязательств по настоящему Контракту, влечет за собой утрату права для этой Стороны ссылаться на указанные обстоятельства.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7.11. Общая сумма начисленных штрафов за неисполнение или ненадлежащее и</w:t>
      </w:r>
      <w:r>
        <w:rPr>
          <w:sz w:val="20"/>
          <w:szCs w:val="20"/>
          <w:highlight w:val="white"/>
        </w:rPr>
        <w:t>сполнение Поставщиком обязательств, предусмотренных контрактом, не может превышать цену контракта.</w:t>
      </w:r>
    </w:p>
    <w:p w:rsidR="001747E5" w:rsidRDefault="0056231B">
      <w:pPr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747E5" w:rsidRDefault="001747E5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1747E5" w:rsidRDefault="0056231B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  <w:b/>
        </w:rPr>
        <w:t>Антикоррупционная оговорка. Конфиденциальность</w:t>
      </w:r>
    </w:p>
    <w:p w:rsidR="001747E5" w:rsidRDefault="001747E5">
      <w:pPr>
        <w:pStyle w:val="ConsPlusNormal0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Каждая из Сторон Контракта,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</w:t>
      </w:r>
      <w:r>
        <w:rPr>
          <w:rFonts w:ascii="Times New Roman" w:hAnsi="Times New Roman" w:cs="Times New Roman"/>
        </w:rPr>
        <w:t xml:space="preserve">одарков, безвозмездного выполнения в их адрес работ (услуг) и другими, не поименованными здесь </w:t>
      </w:r>
      <w:r>
        <w:rPr>
          <w:rFonts w:ascii="Times New Roman" w:hAnsi="Times New Roman" w:cs="Times New Roman"/>
        </w:rPr>
        <w:lastRenderedPageBreak/>
        <w:t>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</w:t>
      </w:r>
      <w:r>
        <w:rPr>
          <w:rFonts w:ascii="Times New Roman" w:hAnsi="Times New Roman" w:cs="Times New Roman"/>
        </w:rPr>
        <w:t>о Стороны.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Под действиями работника, осуществляемыми в пользу стимулирующей его Стороны, понимаются: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8.2.1 предоставление неоправданных преимуществ по сравнению с другими контрагентами;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8.2.2 предоставление каких-либо гарантий;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8.2.3 ускорение существ</w:t>
      </w:r>
      <w:r>
        <w:rPr>
          <w:rFonts w:ascii="Times New Roman" w:hAnsi="Times New Roman" w:cs="Times New Roman"/>
        </w:rPr>
        <w:t>ующих процедур;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8.2.4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 случае возникновения у Стороны подозрений, что произошло и</w:t>
      </w:r>
      <w:r>
        <w:rPr>
          <w:rFonts w:ascii="Times New Roman" w:hAnsi="Times New Roman" w:cs="Times New Roman"/>
        </w:rPr>
        <w:t>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</w:t>
      </w:r>
      <w:r>
        <w:rPr>
          <w:rFonts w:ascii="Times New Roman" w:hAnsi="Times New Roman" w:cs="Times New Roman"/>
        </w:rPr>
        <w:t xml:space="preserve">тельств по настоящему Контракту до получения подтверждения от другой Стороны после проведённой ею проверки, что нарушения не произошло или не произойдет. Это подтверждение должно быть направлено в течение десяти рабочих дней с даты направления письменного </w:t>
      </w:r>
      <w:r>
        <w:rPr>
          <w:rFonts w:ascii="Times New Roman" w:hAnsi="Times New Roman" w:cs="Times New Roman"/>
        </w:rPr>
        <w:t>уведомления.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Контрактом срок подтверждения, что нарушения не произошло или не произойдет, другая</w:t>
      </w:r>
      <w:r>
        <w:rPr>
          <w:rFonts w:ascii="Times New Roman" w:hAnsi="Times New Roman" w:cs="Times New Roman"/>
        </w:rPr>
        <w:t xml:space="preserve"> Сторона имеет право расторгнуть Контракт в одностороннем порядке,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</w:t>
      </w:r>
      <w:r>
        <w:rPr>
          <w:rFonts w:ascii="Times New Roman" w:hAnsi="Times New Roman" w:cs="Times New Roman"/>
        </w:rPr>
        <w:t>ного ущерба, возникшего в результате такого расторжения.</w:t>
      </w:r>
    </w:p>
    <w:p w:rsidR="001747E5" w:rsidRDefault="0056231B">
      <w:pPr>
        <w:pStyle w:val="ConsPlusNormal0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Стороны обязуются </w:t>
      </w:r>
      <w:r>
        <w:rPr>
          <w:rFonts w:ascii="Times New Roman" w:hAnsi="Times New Roman" w:cs="Times New Roman"/>
        </w:rPr>
        <w:t>не раскрывать третьим лицам сведения и документы, полученные при заключении и исполнении настоящего контракта, если такие сведения не являются общедоступными и обозначены передающей стороной как конфиденциальные либо по своему характеру относятся к сведени</w:t>
      </w:r>
      <w:r>
        <w:rPr>
          <w:rFonts w:ascii="Times New Roman" w:hAnsi="Times New Roman" w:cs="Times New Roman"/>
        </w:rPr>
        <w:t>ям ограниченного распространения. Не признаются конфиденциальными сведения, котороые подлежат размещению, раскрытию, предоставлению или хранению в соответствии с требованиями  законодательства Российской Федерации, учредителя, казначейских, контрольных, на</w:t>
      </w:r>
      <w:r>
        <w:rPr>
          <w:rFonts w:ascii="Times New Roman" w:hAnsi="Times New Roman" w:cs="Times New Roman"/>
        </w:rPr>
        <w:t>дзорных, правоохранительных, судебных и иных уполномоченных органов, а также сведения, необходимые для бухгалтерского, налогового, закупочного и иного обязательного учета и отчетности.</w:t>
      </w:r>
    </w:p>
    <w:p w:rsidR="001747E5" w:rsidRDefault="001747E5">
      <w:pPr>
        <w:pStyle w:val="ConsPlusNormal0"/>
        <w:widowControl/>
        <w:tabs>
          <w:tab w:val="left" w:pos="3261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1747E5" w:rsidRDefault="0056231B">
      <w:pPr>
        <w:pStyle w:val="ConsPlusNormal0"/>
        <w:widowControl/>
        <w:tabs>
          <w:tab w:val="left" w:pos="3261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9. Порядок заключения, изменения контракта и срок его действия</w:t>
      </w:r>
    </w:p>
    <w:p w:rsidR="001747E5" w:rsidRDefault="001747E5">
      <w:pPr>
        <w:pStyle w:val="ConsPlusNormal0"/>
        <w:widowControl/>
        <w:tabs>
          <w:tab w:val="left" w:pos="3261"/>
        </w:tabs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1747E5" w:rsidRDefault="0056231B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Настоящий контракт заключается в порядке, предусмотренном Гражданским кодексом РФ, Федеральным законом </w:t>
      </w:r>
      <w:r>
        <w:rPr>
          <w:bCs/>
          <w:sz w:val="20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0"/>
          <w:szCs w:val="20"/>
        </w:rPr>
        <w:t>, иными дейс</w:t>
      </w:r>
      <w:r>
        <w:rPr>
          <w:sz w:val="20"/>
          <w:szCs w:val="20"/>
        </w:rPr>
        <w:t>твующими нормативно-правовыми актами Российской Федерации.</w:t>
      </w:r>
    </w:p>
    <w:p w:rsidR="001747E5" w:rsidRDefault="0056231B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>
        <w:rPr>
          <w:rFonts w:eastAsia="Arial Unicode MS"/>
          <w:sz w:val="20"/>
          <w:szCs w:val="20"/>
        </w:rPr>
        <w:t xml:space="preserve">Настоящий </w:t>
      </w:r>
      <w:r>
        <w:rPr>
          <w:sz w:val="20"/>
          <w:szCs w:val="20"/>
        </w:rPr>
        <w:t>контракт</w:t>
      </w:r>
      <w:r>
        <w:rPr>
          <w:rFonts w:eastAsia="Arial Unicode MS"/>
          <w:sz w:val="20"/>
          <w:szCs w:val="20"/>
        </w:rPr>
        <w:t xml:space="preserve"> считается заключенным с момента его подписания Сторонами и действует до полного исполнения Сторонами своих обязательств.</w:t>
      </w:r>
      <w:r>
        <w:rPr>
          <w:sz w:val="20"/>
          <w:szCs w:val="20"/>
        </w:rPr>
        <w:t>Окончание срока действия настоящего контракта не осво</w:t>
      </w:r>
      <w:r>
        <w:rPr>
          <w:sz w:val="20"/>
          <w:szCs w:val="20"/>
        </w:rPr>
        <w:t>бождает Стороны от ответственности за его нарушение.</w:t>
      </w:r>
    </w:p>
    <w:p w:rsidR="001747E5" w:rsidRDefault="0056231B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9.3. Все изменения и дополнения к настоящему контракту действительны, если они совершены в письменной форме и подписаны обеими Сторонами. Изменения контракта при его исполнении не допускаются, за исключе</w:t>
      </w:r>
      <w:r>
        <w:rPr>
          <w:sz w:val="20"/>
          <w:szCs w:val="20"/>
        </w:rPr>
        <w:t xml:space="preserve">нием случаев, предусмотренных статьей 34 и 95 Федерального закона </w:t>
      </w:r>
      <w:r>
        <w:rPr>
          <w:bCs/>
          <w:sz w:val="20"/>
          <w:szCs w:val="20"/>
        </w:rPr>
        <w:t>от 05.04.2013 № 44-ФЗ«О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0"/>
          <w:szCs w:val="20"/>
        </w:rPr>
        <w:t>.</w:t>
      </w:r>
    </w:p>
    <w:p w:rsidR="001747E5" w:rsidRDefault="0056231B">
      <w:pPr>
        <w:tabs>
          <w:tab w:val="left" w:pos="567"/>
          <w:tab w:val="left" w:pos="10346"/>
        </w:tabs>
        <w:ind w:right="142" w:firstLine="567"/>
        <w:jc w:val="both"/>
        <w:rPr>
          <w:sz w:val="20"/>
          <w:szCs w:val="20"/>
        </w:rPr>
      </w:pPr>
      <w:r>
        <w:rPr>
          <w:sz w:val="20"/>
          <w:szCs w:val="20"/>
        </w:rPr>
        <w:t>9.4. Настоящий контракт может быть расторгнут по согл</w:t>
      </w:r>
      <w:r>
        <w:rPr>
          <w:sz w:val="20"/>
          <w:szCs w:val="20"/>
        </w:rPr>
        <w:t>ашению Сторон, по решению суда, в случае одностороннего отказа одной из Сторон от его исполнения в соответствии с гражданским законодательством.</w:t>
      </w:r>
    </w:p>
    <w:p w:rsidR="001747E5" w:rsidRDefault="0056231B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9.5. Решение Заказчика об одностороннем отказе от исполнения контракта вступает в силу и контракт считается рас</w:t>
      </w:r>
      <w:r>
        <w:rPr>
          <w:sz w:val="20"/>
          <w:szCs w:val="20"/>
        </w:rPr>
        <w:t>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10. Порядок разрешения споров, претензии Сторон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ind w:firstLine="567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10.1. Все споры и разногласия, которые могут возникнуть из настоящего </w:t>
      </w:r>
      <w:r>
        <w:rPr>
          <w:sz w:val="20"/>
          <w:szCs w:val="20"/>
        </w:rPr>
        <w:t>контра</w:t>
      </w:r>
      <w:r>
        <w:rPr>
          <w:sz w:val="20"/>
          <w:szCs w:val="20"/>
        </w:rPr>
        <w:t>кта</w:t>
      </w:r>
      <w:r>
        <w:rPr>
          <w:rFonts w:eastAsia="Arial Unicode MS"/>
          <w:sz w:val="20"/>
          <w:szCs w:val="20"/>
        </w:rPr>
        <w:t xml:space="preserve"> между Сторонами, разрешаются путем переговоров, в том числе в претензионном порядке.</w:t>
      </w:r>
    </w:p>
    <w:p w:rsidR="001747E5" w:rsidRDefault="0056231B">
      <w:pPr>
        <w:ind w:firstLine="567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Претензия оформляется в письменной форме и направляется той Стороне по настоящему </w:t>
      </w:r>
      <w:r>
        <w:rPr>
          <w:sz w:val="20"/>
          <w:szCs w:val="20"/>
        </w:rPr>
        <w:t>контракт</w:t>
      </w:r>
      <w:r>
        <w:rPr>
          <w:rFonts w:eastAsia="Arial Unicode MS"/>
          <w:sz w:val="20"/>
          <w:szCs w:val="20"/>
        </w:rPr>
        <w:t>у, которой допущены нарушения его условий. В претензии перечисляются допущенн</w:t>
      </w:r>
      <w:r>
        <w:rPr>
          <w:rFonts w:eastAsia="Arial Unicode MS"/>
          <w:sz w:val="20"/>
          <w:szCs w:val="20"/>
        </w:rPr>
        <w:t xml:space="preserve">ые при исполнении настоящего </w:t>
      </w:r>
      <w:r>
        <w:rPr>
          <w:sz w:val="20"/>
          <w:szCs w:val="20"/>
        </w:rPr>
        <w:t>контракта</w:t>
      </w:r>
      <w:r>
        <w:rPr>
          <w:rFonts w:eastAsia="Arial Unicode MS"/>
          <w:sz w:val="20"/>
          <w:szCs w:val="20"/>
        </w:rPr>
        <w:t xml:space="preserve"> нарушения со ссылкой на соответствующие положения настоящего </w:t>
      </w:r>
      <w:r>
        <w:rPr>
          <w:sz w:val="20"/>
          <w:szCs w:val="20"/>
        </w:rPr>
        <w:t>контракта</w:t>
      </w:r>
      <w:r>
        <w:rPr>
          <w:rFonts w:eastAsia="Arial Unicode MS"/>
          <w:sz w:val="20"/>
          <w:szCs w:val="20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</w:t>
      </w:r>
      <w:r>
        <w:rPr>
          <w:rFonts w:eastAsia="Arial Unicode MS"/>
          <w:sz w:val="20"/>
          <w:szCs w:val="20"/>
        </w:rPr>
        <w:t>анения нарушений. Срок ответа на претензию составляет 7 (семь) календарных дней, если иной срок не установлен претензией.</w:t>
      </w:r>
    </w:p>
    <w:p w:rsidR="001747E5" w:rsidRDefault="0056231B">
      <w:pPr>
        <w:ind w:firstLine="567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10.2. Срок рассмотрения писем, уведомлений не может превышать 14 (четырнадцать) календарных дней с момента их получения, если иные сро</w:t>
      </w:r>
      <w:r>
        <w:rPr>
          <w:rFonts w:eastAsia="Arial Unicode MS"/>
          <w:sz w:val="20"/>
          <w:szCs w:val="20"/>
        </w:rPr>
        <w:t xml:space="preserve">ки рассмотрения не предусмотрены настоящим </w:t>
      </w:r>
      <w:r>
        <w:rPr>
          <w:sz w:val="20"/>
          <w:szCs w:val="20"/>
        </w:rPr>
        <w:t>контрактом</w:t>
      </w:r>
      <w:r>
        <w:rPr>
          <w:rFonts w:eastAsia="Arial Unicode MS"/>
          <w:sz w:val="20"/>
          <w:szCs w:val="20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1747E5" w:rsidRDefault="0056231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10.3. При неу</w:t>
      </w:r>
      <w:r>
        <w:rPr>
          <w:sz w:val="20"/>
          <w:szCs w:val="20"/>
        </w:rPr>
        <w:t>регулировании Сторонами спора в досудебном порядке, спор передается на рассмотрение в Арбитражный суд Краснодарского края.</w:t>
      </w:r>
    </w:p>
    <w:p w:rsidR="001747E5" w:rsidRDefault="001747E5">
      <w:pPr>
        <w:ind w:firstLine="567"/>
        <w:jc w:val="both"/>
        <w:rPr>
          <w:sz w:val="20"/>
          <w:szCs w:val="20"/>
        </w:rPr>
      </w:pPr>
    </w:p>
    <w:p w:rsidR="001747E5" w:rsidRDefault="001747E5">
      <w:pPr>
        <w:ind w:firstLine="567"/>
        <w:jc w:val="both"/>
        <w:rPr>
          <w:sz w:val="20"/>
          <w:szCs w:val="20"/>
        </w:rPr>
      </w:pPr>
    </w:p>
    <w:p w:rsidR="001747E5" w:rsidRDefault="001747E5">
      <w:pPr>
        <w:ind w:firstLine="567"/>
        <w:jc w:val="both"/>
        <w:rPr>
          <w:sz w:val="20"/>
          <w:szCs w:val="20"/>
        </w:rPr>
      </w:pPr>
    </w:p>
    <w:p w:rsidR="001747E5" w:rsidRDefault="0056231B">
      <w:pPr>
        <w:ind w:firstLine="567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11. Заключительные положения</w:t>
      </w:r>
    </w:p>
    <w:p w:rsidR="001747E5" w:rsidRDefault="001747E5">
      <w:pPr>
        <w:ind w:firstLine="567"/>
        <w:jc w:val="center"/>
        <w:rPr>
          <w:b/>
          <w:bCs/>
          <w:sz w:val="20"/>
          <w:szCs w:val="20"/>
        </w:rPr>
      </w:pPr>
    </w:p>
    <w:p w:rsidR="001747E5" w:rsidRDefault="0056231B">
      <w:pPr>
        <w:pStyle w:val="afe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Взаимоотношения Сторон, не урегулированные настоящим контрактом, регулируются действующим </w:t>
      </w:r>
      <w:r>
        <w:rPr>
          <w:rFonts w:ascii="Times New Roman" w:hAnsi="Times New Roman" w:cs="Times New Roman"/>
        </w:rPr>
        <w:t>законодательством  Российской Федерации.</w:t>
      </w:r>
    </w:p>
    <w:p w:rsidR="001747E5" w:rsidRDefault="0056231B">
      <w:pPr>
        <w:pStyle w:val="afe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Стороны, в случае изменения банковских и других реквизитов, обязуются письменно извещать друг друга не позднее 5 (пяти) календарных дней со дня вступления в силу указанных изменений. </w:t>
      </w:r>
    </w:p>
    <w:p w:rsidR="001747E5" w:rsidRDefault="001747E5">
      <w:pPr>
        <w:ind w:firstLine="567"/>
        <w:rPr>
          <w:sz w:val="20"/>
          <w:szCs w:val="20"/>
        </w:rPr>
      </w:pPr>
    </w:p>
    <w:p w:rsidR="001747E5" w:rsidRDefault="0056231B">
      <w:pPr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12. Реквизиты и подписи Сторон</w:t>
      </w:r>
    </w:p>
    <w:p w:rsidR="001747E5" w:rsidRDefault="001747E5">
      <w:pPr>
        <w:jc w:val="center"/>
        <w:rPr>
          <w:b/>
          <w:bCs/>
          <w:sz w:val="20"/>
          <w:szCs w:val="20"/>
        </w:rPr>
      </w:pPr>
    </w:p>
    <w:tbl>
      <w:tblPr>
        <w:tblW w:w="10380" w:type="dxa"/>
        <w:tblInd w:w="216" w:type="dxa"/>
        <w:tblLayout w:type="fixed"/>
        <w:tblLook w:val="04A0"/>
      </w:tblPr>
      <w:tblGrid>
        <w:gridCol w:w="5635"/>
        <w:gridCol w:w="4745"/>
      </w:tblGrid>
      <w:tr w:rsidR="001747E5">
        <w:tc>
          <w:tcPr>
            <w:tcW w:w="5635" w:type="dxa"/>
            <w:noWrap/>
          </w:tcPr>
          <w:p w:rsidR="001747E5" w:rsidRDefault="00562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:rsidR="001747E5" w:rsidRDefault="00562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Федеральное государственное бюджетное</w:t>
            </w:r>
          </w:p>
          <w:p w:rsidR="001747E5" w:rsidRDefault="00562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образовательное учреждение высшего</w:t>
            </w:r>
          </w:p>
          <w:p w:rsidR="001747E5" w:rsidRDefault="00562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образования «Краснодарский государственный</w:t>
            </w:r>
          </w:p>
          <w:p w:rsidR="001747E5" w:rsidRDefault="00562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институт культуры»</w:t>
            </w:r>
          </w:p>
          <w:p w:rsidR="001747E5" w:rsidRDefault="001747E5">
            <w:pPr>
              <w:rPr>
                <w:sz w:val="20"/>
                <w:szCs w:val="20"/>
              </w:rPr>
            </w:pP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Юр., факт. адрес: 350072, г. Краснодар, ул. им. 40-летия Победы, д. 33,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</w:t>
            </w:r>
            <w:r>
              <w:rPr>
                <w:rFonts w:ascii="Times New Roman" w:hAnsi="Times New Roman"/>
              </w:rPr>
              <w:t>кс: (861) 257-76-32, e-mail: kguki@list.ru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2311021085  КПП 231101001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21186Х41930)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 (номер казначейского счета) 03214643000000011800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 40102810945370000010</w:t>
            </w:r>
          </w:p>
          <w:p w:rsidR="001747E5" w:rsidRDefault="0056231B">
            <w:pPr>
              <w:pStyle w:val="ConsPlusNormal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 1 ЮГУ Банка России//УФК по Краснодарскому краю, г Краснодар БИК 010349101</w:t>
            </w:r>
          </w:p>
          <w:p w:rsidR="001747E5" w:rsidRDefault="001747E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747E5" w:rsidRDefault="00562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правовой и</w:t>
            </w:r>
          </w:p>
          <w:p w:rsidR="001747E5" w:rsidRDefault="00562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организационно-кадровой работы</w:t>
            </w:r>
          </w:p>
          <w:p w:rsidR="001747E5" w:rsidRDefault="001747E5">
            <w:pPr>
              <w:rPr>
                <w:sz w:val="20"/>
                <w:szCs w:val="20"/>
              </w:rPr>
            </w:pPr>
          </w:p>
          <w:p w:rsidR="001747E5" w:rsidRDefault="00562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 Е.Б. Василенко</w:t>
            </w:r>
          </w:p>
          <w:p w:rsidR="001747E5" w:rsidRDefault="0056231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М.П.   </w:t>
            </w:r>
          </w:p>
        </w:tc>
        <w:tc>
          <w:tcPr>
            <w:tcW w:w="4745" w:type="dxa"/>
            <w:noWrap/>
          </w:tcPr>
          <w:p w:rsidR="001747E5" w:rsidRDefault="0056231B">
            <w:pPr>
              <w:tabs>
                <w:tab w:val="left" w:pos="1800"/>
                <w:tab w:val="left" w:pos="28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</w:p>
          <w:p w:rsidR="001747E5" w:rsidRDefault="001747E5">
            <w:pPr>
              <w:tabs>
                <w:tab w:val="left" w:pos="1800"/>
                <w:tab w:val="left" w:pos="2880"/>
              </w:tabs>
              <w:ind w:left="34"/>
              <w:jc w:val="center"/>
              <w:rPr>
                <w:sz w:val="20"/>
                <w:szCs w:val="20"/>
              </w:rPr>
            </w:pPr>
          </w:p>
          <w:p w:rsidR="001747E5" w:rsidRDefault="001747E5">
            <w:pPr>
              <w:tabs>
                <w:tab w:val="left" w:pos="1800"/>
                <w:tab w:val="left" w:pos="2880"/>
              </w:tabs>
              <w:rPr>
                <w:sz w:val="20"/>
                <w:szCs w:val="20"/>
              </w:rPr>
            </w:pPr>
          </w:p>
        </w:tc>
      </w:tr>
    </w:tbl>
    <w:p w:rsidR="001747E5" w:rsidRDefault="001747E5">
      <w:pPr>
        <w:widowControl/>
        <w:ind w:firstLine="6236"/>
        <w:rPr>
          <w:rFonts w:eastAsia="Times New Roman"/>
          <w:sz w:val="20"/>
          <w:szCs w:val="20"/>
        </w:rPr>
      </w:pPr>
    </w:p>
    <w:p w:rsidR="001747E5" w:rsidRDefault="001747E5">
      <w:pPr>
        <w:widowControl/>
        <w:ind w:firstLine="6236"/>
        <w:rPr>
          <w:rFonts w:eastAsia="Times New Roman"/>
          <w:sz w:val="22"/>
          <w:szCs w:val="22"/>
        </w:rPr>
      </w:pPr>
    </w:p>
    <w:p w:rsidR="001747E5" w:rsidRDefault="001747E5">
      <w:pPr>
        <w:widowControl/>
        <w:ind w:firstLine="6236"/>
        <w:rPr>
          <w:rFonts w:eastAsia="Times New Roman"/>
          <w:sz w:val="22"/>
          <w:szCs w:val="22"/>
        </w:rPr>
      </w:pPr>
    </w:p>
    <w:p w:rsidR="001747E5" w:rsidRDefault="001747E5">
      <w:pPr>
        <w:widowControl/>
        <w:ind w:firstLine="6236"/>
        <w:rPr>
          <w:rFonts w:eastAsia="Times New Roman"/>
          <w:sz w:val="22"/>
          <w:szCs w:val="22"/>
        </w:rPr>
      </w:pPr>
    </w:p>
    <w:p w:rsidR="001747E5" w:rsidRDefault="001747E5">
      <w:pPr>
        <w:widowControl/>
        <w:ind w:firstLine="6236"/>
        <w:rPr>
          <w:rFonts w:eastAsia="Times New Roman"/>
          <w:sz w:val="20"/>
          <w:szCs w:val="20"/>
        </w:rPr>
      </w:pPr>
    </w:p>
    <w:p w:rsidR="001747E5" w:rsidRDefault="001747E5">
      <w:pPr>
        <w:widowControl/>
        <w:ind w:firstLine="6236"/>
        <w:rPr>
          <w:rFonts w:eastAsia="Times New Roman"/>
          <w:sz w:val="20"/>
          <w:szCs w:val="20"/>
        </w:rPr>
      </w:pPr>
    </w:p>
    <w:sectPr w:rsidR="001747E5" w:rsidSect="001747E5">
      <w:headerReference w:type="even" r:id="rId8"/>
      <w:footnotePr>
        <w:pos w:val="beneathText"/>
      </w:footnotePr>
      <w:pgSz w:w="11905" w:h="16837"/>
      <w:pgMar w:top="567" w:right="850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1B" w:rsidRDefault="0056231B">
      <w:r>
        <w:separator/>
      </w:r>
    </w:p>
  </w:endnote>
  <w:endnote w:type="continuationSeparator" w:id="1">
    <w:p w:rsidR="0056231B" w:rsidRDefault="0056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1B" w:rsidRDefault="0056231B">
      <w:r>
        <w:separator/>
      </w:r>
    </w:p>
  </w:footnote>
  <w:footnote w:type="continuationSeparator" w:id="1">
    <w:p w:rsidR="0056231B" w:rsidRDefault="00562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E5" w:rsidRDefault="001747E5">
    <w:pPr>
      <w:pStyle w:val="Header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56231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747E5" w:rsidRDefault="001747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D2C"/>
    <w:multiLevelType w:val="hybridMultilevel"/>
    <w:tmpl w:val="F5CE976E"/>
    <w:lvl w:ilvl="0" w:tplc="FA3C7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5407BA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</w:lvl>
    <w:lvl w:ilvl="2" w:tplc="EC60A446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</w:lvl>
    <w:lvl w:ilvl="3" w:tplc="7C08BE38">
      <w:start w:val="1"/>
      <w:numFmt w:val="none"/>
      <w:lvlText w:val=""/>
      <w:lvlJc w:val="left"/>
      <w:pPr>
        <w:tabs>
          <w:tab w:val="num" w:pos="360"/>
        </w:tabs>
      </w:pPr>
    </w:lvl>
    <w:lvl w:ilvl="4" w:tplc="DC14754E">
      <w:start w:val="1"/>
      <w:numFmt w:val="none"/>
      <w:lvlText w:val=""/>
      <w:lvlJc w:val="left"/>
      <w:pPr>
        <w:tabs>
          <w:tab w:val="num" w:pos="360"/>
        </w:tabs>
      </w:pPr>
    </w:lvl>
    <w:lvl w:ilvl="5" w:tplc="D6DAE366">
      <w:start w:val="1"/>
      <w:numFmt w:val="none"/>
      <w:lvlText w:val=""/>
      <w:lvlJc w:val="left"/>
      <w:pPr>
        <w:tabs>
          <w:tab w:val="num" w:pos="360"/>
        </w:tabs>
      </w:pPr>
    </w:lvl>
    <w:lvl w:ilvl="6" w:tplc="75A0F3F2">
      <w:start w:val="1"/>
      <w:numFmt w:val="none"/>
      <w:lvlText w:val=""/>
      <w:lvlJc w:val="left"/>
      <w:pPr>
        <w:tabs>
          <w:tab w:val="num" w:pos="360"/>
        </w:tabs>
      </w:pPr>
    </w:lvl>
    <w:lvl w:ilvl="7" w:tplc="22A6905C">
      <w:start w:val="1"/>
      <w:numFmt w:val="none"/>
      <w:lvlText w:val=""/>
      <w:lvlJc w:val="left"/>
      <w:pPr>
        <w:tabs>
          <w:tab w:val="num" w:pos="360"/>
        </w:tabs>
      </w:pPr>
    </w:lvl>
    <w:lvl w:ilvl="8" w:tplc="898681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163B0A"/>
    <w:multiLevelType w:val="hybridMultilevel"/>
    <w:tmpl w:val="6C44E73A"/>
    <w:lvl w:ilvl="0" w:tplc="432A1FA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7C29C0">
      <w:start w:val="1"/>
      <w:numFmt w:val="none"/>
      <w:lvlText w:val=""/>
      <w:lvlJc w:val="left"/>
      <w:pPr>
        <w:tabs>
          <w:tab w:val="num" w:pos="360"/>
        </w:tabs>
      </w:pPr>
    </w:lvl>
    <w:lvl w:ilvl="2" w:tplc="0C183368">
      <w:start w:val="1"/>
      <w:numFmt w:val="none"/>
      <w:lvlText w:val=""/>
      <w:lvlJc w:val="left"/>
      <w:pPr>
        <w:tabs>
          <w:tab w:val="num" w:pos="360"/>
        </w:tabs>
      </w:pPr>
    </w:lvl>
    <w:lvl w:ilvl="3" w:tplc="ABEAB224">
      <w:start w:val="1"/>
      <w:numFmt w:val="none"/>
      <w:lvlText w:val=""/>
      <w:lvlJc w:val="left"/>
      <w:pPr>
        <w:tabs>
          <w:tab w:val="num" w:pos="360"/>
        </w:tabs>
      </w:pPr>
    </w:lvl>
    <w:lvl w:ilvl="4" w:tplc="AB94C9AA">
      <w:start w:val="1"/>
      <w:numFmt w:val="none"/>
      <w:lvlText w:val=""/>
      <w:lvlJc w:val="left"/>
      <w:pPr>
        <w:tabs>
          <w:tab w:val="num" w:pos="360"/>
        </w:tabs>
      </w:pPr>
    </w:lvl>
    <w:lvl w:ilvl="5" w:tplc="03762BEC">
      <w:start w:val="1"/>
      <w:numFmt w:val="none"/>
      <w:lvlText w:val=""/>
      <w:lvlJc w:val="left"/>
      <w:pPr>
        <w:tabs>
          <w:tab w:val="num" w:pos="360"/>
        </w:tabs>
      </w:pPr>
    </w:lvl>
    <w:lvl w:ilvl="6" w:tplc="6640187E">
      <w:start w:val="1"/>
      <w:numFmt w:val="none"/>
      <w:lvlText w:val=""/>
      <w:lvlJc w:val="left"/>
      <w:pPr>
        <w:tabs>
          <w:tab w:val="num" w:pos="360"/>
        </w:tabs>
      </w:pPr>
    </w:lvl>
    <w:lvl w:ilvl="7" w:tplc="03D2F98C">
      <w:start w:val="1"/>
      <w:numFmt w:val="none"/>
      <w:lvlText w:val=""/>
      <w:lvlJc w:val="left"/>
      <w:pPr>
        <w:tabs>
          <w:tab w:val="num" w:pos="360"/>
        </w:tabs>
      </w:pPr>
    </w:lvl>
    <w:lvl w:ilvl="8" w:tplc="097057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093914"/>
    <w:multiLevelType w:val="hybridMultilevel"/>
    <w:tmpl w:val="D870F88C"/>
    <w:lvl w:ilvl="0" w:tplc="D36218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9A7F76">
      <w:start w:val="1"/>
      <w:numFmt w:val="none"/>
      <w:lvlText w:val=""/>
      <w:lvlJc w:val="left"/>
      <w:pPr>
        <w:tabs>
          <w:tab w:val="num" w:pos="360"/>
        </w:tabs>
      </w:pPr>
    </w:lvl>
    <w:lvl w:ilvl="2" w:tplc="6DE68B18">
      <w:start w:val="1"/>
      <w:numFmt w:val="none"/>
      <w:lvlText w:val=""/>
      <w:lvlJc w:val="left"/>
      <w:pPr>
        <w:tabs>
          <w:tab w:val="num" w:pos="360"/>
        </w:tabs>
      </w:pPr>
    </w:lvl>
    <w:lvl w:ilvl="3" w:tplc="AEA81326">
      <w:start w:val="1"/>
      <w:numFmt w:val="none"/>
      <w:lvlText w:val=""/>
      <w:lvlJc w:val="left"/>
      <w:pPr>
        <w:tabs>
          <w:tab w:val="num" w:pos="360"/>
        </w:tabs>
      </w:pPr>
    </w:lvl>
    <w:lvl w:ilvl="4" w:tplc="DAE062DC">
      <w:start w:val="1"/>
      <w:numFmt w:val="none"/>
      <w:lvlText w:val=""/>
      <w:lvlJc w:val="left"/>
      <w:pPr>
        <w:tabs>
          <w:tab w:val="num" w:pos="360"/>
        </w:tabs>
      </w:pPr>
    </w:lvl>
    <w:lvl w:ilvl="5" w:tplc="02E4519C">
      <w:start w:val="1"/>
      <w:numFmt w:val="none"/>
      <w:lvlText w:val=""/>
      <w:lvlJc w:val="left"/>
      <w:pPr>
        <w:tabs>
          <w:tab w:val="num" w:pos="360"/>
        </w:tabs>
      </w:pPr>
    </w:lvl>
    <w:lvl w:ilvl="6" w:tplc="2AC06D66">
      <w:start w:val="1"/>
      <w:numFmt w:val="none"/>
      <w:lvlText w:val=""/>
      <w:lvlJc w:val="left"/>
      <w:pPr>
        <w:tabs>
          <w:tab w:val="num" w:pos="360"/>
        </w:tabs>
      </w:pPr>
    </w:lvl>
    <w:lvl w:ilvl="7" w:tplc="592C6A72">
      <w:start w:val="1"/>
      <w:numFmt w:val="none"/>
      <w:lvlText w:val=""/>
      <w:lvlJc w:val="left"/>
      <w:pPr>
        <w:tabs>
          <w:tab w:val="num" w:pos="360"/>
        </w:tabs>
      </w:pPr>
    </w:lvl>
    <w:lvl w:ilvl="8" w:tplc="3418FAD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C92BA1"/>
    <w:multiLevelType w:val="hybridMultilevel"/>
    <w:tmpl w:val="CD1A0DC4"/>
    <w:lvl w:ilvl="0" w:tplc="567C69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824A0E">
      <w:numFmt w:val="none"/>
      <w:lvlText w:val=""/>
      <w:lvlJc w:val="left"/>
      <w:pPr>
        <w:tabs>
          <w:tab w:val="num" w:pos="360"/>
        </w:tabs>
      </w:pPr>
    </w:lvl>
    <w:lvl w:ilvl="2" w:tplc="4BF2EBBA">
      <w:numFmt w:val="none"/>
      <w:lvlText w:val=""/>
      <w:lvlJc w:val="left"/>
      <w:pPr>
        <w:tabs>
          <w:tab w:val="num" w:pos="360"/>
        </w:tabs>
      </w:pPr>
    </w:lvl>
    <w:lvl w:ilvl="3" w:tplc="BCA223BE">
      <w:numFmt w:val="none"/>
      <w:lvlText w:val=""/>
      <w:lvlJc w:val="left"/>
      <w:pPr>
        <w:tabs>
          <w:tab w:val="num" w:pos="360"/>
        </w:tabs>
      </w:pPr>
    </w:lvl>
    <w:lvl w:ilvl="4" w:tplc="73C6E3A6">
      <w:numFmt w:val="none"/>
      <w:lvlText w:val=""/>
      <w:lvlJc w:val="left"/>
      <w:pPr>
        <w:tabs>
          <w:tab w:val="num" w:pos="360"/>
        </w:tabs>
      </w:pPr>
    </w:lvl>
    <w:lvl w:ilvl="5" w:tplc="1BBE92B0">
      <w:numFmt w:val="none"/>
      <w:lvlText w:val=""/>
      <w:lvlJc w:val="left"/>
      <w:pPr>
        <w:tabs>
          <w:tab w:val="num" w:pos="360"/>
        </w:tabs>
      </w:pPr>
    </w:lvl>
    <w:lvl w:ilvl="6" w:tplc="E28E2188">
      <w:numFmt w:val="none"/>
      <w:lvlText w:val=""/>
      <w:lvlJc w:val="left"/>
      <w:pPr>
        <w:tabs>
          <w:tab w:val="num" w:pos="360"/>
        </w:tabs>
      </w:pPr>
    </w:lvl>
    <w:lvl w:ilvl="7" w:tplc="BBD8F7EE">
      <w:numFmt w:val="none"/>
      <w:lvlText w:val=""/>
      <w:lvlJc w:val="left"/>
      <w:pPr>
        <w:tabs>
          <w:tab w:val="num" w:pos="360"/>
        </w:tabs>
      </w:pPr>
    </w:lvl>
    <w:lvl w:ilvl="8" w:tplc="03CE5F3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9DB1B65"/>
    <w:multiLevelType w:val="hybridMultilevel"/>
    <w:tmpl w:val="67940D14"/>
    <w:lvl w:ilvl="0" w:tplc="3E163F3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1AD174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</w:lvl>
    <w:lvl w:ilvl="2" w:tplc="E0D4CBA8">
      <w:start w:val="1"/>
      <w:numFmt w:val="none"/>
      <w:lvlText w:val=""/>
      <w:lvlJc w:val="left"/>
      <w:pPr>
        <w:tabs>
          <w:tab w:val="num" w:pos="360"/>
        </w:tabs>
      </w:pPr>
    </w:lvl>
    <w:lvl w:ilvl="3" w:tplc="8AB47B8C">
      <w:start w:val="1"/>
      <w:numFmt w:val="none"/>
      <w:lvlText w:val=""/>
      <w:lvlJc w:val="left"/>
      <w:pPr>
        <w:tabs>
          <w:tab w:val="num" w:pos="360"/>
        </w:tabs>
      </w:pPr>
    </w:lvl>
    <w:lvl w:ilvl="4" w:tplc="2A5670F8">
      <w:start w:val="1"/>
      <w:numFmt w:val="none"/>
      <w:lvlText w:val=""/>
      <w:lvlJc w:val="left"/>
      <w:pPr>
        <w:tabs>
          <w:tab w:val="num" w:pos="360"/>
        </w:tabs>
      </w:pPr>
    </w:lvl>
    <w:lvl w:ilvl="5" w:tplc="687CEEF2">
      <w:start w:val="1"/>
      <w:numFmt w:val="none"/>
      <w:lvlText w:val=""/>
      <w:lvlJc w:val="left"/>
      <w:pPr>
        <w:tabs>
          <w:tab w:val="num" w:pos="360"/>
        </w:tabs>
      </w:pPr>
    </w:lvl>
    <w:lvl w:ilvl="6" w:tplc="55A4E4BA">
      <w:start w:val="1"/>
      <w:numFmt w:val="none"/>
      <w:lvlText w:val=""/>
      <w:lvlJc w:val="left"/>
      <w:pPr>
        <w:tabs>
          <w:tab w:val="num" w:pos="360"/>
        </w:tabs>
      </w:pPr>
    </w:lvl>
    <w:lvl w:ilvl="7" w:tplc="615C9E58">
      <w:start w:val="1"/>
      <w:numFmt w:val="none"/>
      <w:lvlText w:val=""/>
      <w:lvlJc w:val="left"/>
      <w:pPr>
        <w:tabs>
          <w:tab w:val="num" w:pos="360"/>
        </w:tabs>
      </w:pPr>
    </w:lvl>
    <w:lvl w:ilvl="8" w:tplc="2F02A52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741689"/>
    <w:multiLevelType w:val="hybridMultilevel"/>
    <w:tmpl w:val="91CCDE52"/>
    <w:lvl w:ilvl="0" w:tplc="AEEE58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E6E25C">
      <w:start w:val="1"/>
      <w:numFmt w:val="none"/>
      <w:lvlText w:val=""/>
      <w:lvlJc w:val="left"/>
      <w:pPr>
        <w:tabs>
          <w:tab w:val="num" w:pos="360"/>
        </w:tabs>
      </w:pPr>
    </w:lvl>
    <w:lvl w:ilvl="2" w:tplc="6720B132">
      <w:start w:val="1"/>
      <w:numFmt w:val="none"/>
      <w:lvlText w:val=""/>
      <w:lvlJc w:val="left"/>
      <w:pPr>
        <w:tabs>
          <w:tab w:val="num" w:pos="360"/>
        </w:tabs>
      </w:pPr>
    </w:lvl>
    <w:lvl w:ilvl="3" w:tplc="7536FF2A">
      <w:start w:val="1"/>
      <w:numFmt w:val="none"/>
      <w:lvlText w:val=""/>
      <w:lvlJc w:val="left"/>
      <w:pPr>
        <w:tabs>
          <w:tab w:val="num" w:pos="360"/>
        </w:tabs>
      </w:pPr>
    </w:lvl>
    <w:lvl w:ilvl="4" w:tplc="B63A7338">
      <w:start w:val="1"/>
      <w:numFmt w:val="none"/>
      <w:lvlText w:val=""/>
      <w:lvlJc w:val="left"/>
      <w:pPr>
        <w:tabs>
          <w:tab w:val="num" w:pos="360"/>
        </w:tabs>
      </w:pPr>
    </w:lvl>
    <w:lvl w:ilvl="5" w:tplc="977881E0">
      <w:start w:val="1"/>
      <w:numFmt w:val="none"/>
      <w:lvlText w:val=""/>
      <w:lvlJc w:val="left"/>
      <w:pPr>
        <w:tabs>
          <w:tab w:val="num" w:pos="360"/>
        </w:tabs>
      </w:pPr>
    </w:lvl>
    <w:lvl w:ilvl="6" w:tplc="E53CC120">
      <w:start w:val="1"/>
      <w:numFmt w:val="none"/>
      <w:lvlText w:val=""/>
      <w:lvlJc w:val="left"/>
      <w:pPr>
        <w:tabs>
          <w:tab w:val="num" w:pos="360"/>
        </w:tabs>
      </w:pPr>
    </w:lvl>
    <w:lvl w:ilvl="7" w:tplc="9C60B148">
      <w:start w:val="1"/>
      <w:numFmt w:val="none"/>
      <w:lvlText w:val=""/>
      <w:lvlJc w:val="left"/>
      <w:pPr>
        <w:tabs>
          <w:tab w:val="num" w:pos="360"/>
        </w:tabs>
      </w:pPr>
    </w:lvl>
    <w:lvl w:ilvl="8" w:tplc="BFD878F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E43A41"/>
    <w:multiLevelType w:val="hybridMultilevel"/>
    <w:tmpl w:val="4044C07C"/>
    <w:lvl w:ilvl="0" w:tplc="10585DF4">
      <w:start w:val="1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E3DACC7C">
      <w:start w:val="1"/>
      <w:numFmt w:val="none"/>
      <w:lvlText w:val=""/>
      <w:lvlJc w:val="left"/>
      <w:pPr>
        <w:tabs>
          <w:tab w:val="num" w:pos="360"/>
        </w:tabs>
      </w:pPr>
    </w:lvl>
    <w:lvl w:ilvl="2" w:tplc="5EB6D5B4">
      <w:start w:val="1"/>
      <w:numFmt w:val="none"/>
      <w:lvlText w:val=""/>
      <w:lvlJc w:val="left"/>
      <w:pPr>
        <w:tabs>
          <w:tab w:val="num" w:pos="360"/>
        </w:tabs>
      </w:pPr>
    </w:lvl>
    <w:lvl w:ilvl="3" w:tplc="E2C07BBE">
      <w:start w:val="1"/>
      <w:numFmt w:val="none"/>
      <w:lvlText w:val=""/>
      <w:lvlJc w:val="left"/>
      <w:pPr>
        <w:tabs>
          <w:tab w:val="num" w:pos="360"/>
        </w:tabs>
      </w:pPr>
    </w:lvl>
    <w:lvl w:ilvl="4" w:tplc="C31A5EC4">
      <w:start w:val="1"/>
      <w:numFmt w:val="none"/>
      <w:lvlText w:val=""/>
      <w:lvlJc w:val="left"/>
      <w:pPr>
        <w:tabs>
          <w:tab w:val="num" w:pos="360"/>
        </w:tabs>
      </w:pPr>
    </w:lvl>
    <w:lvl w:ilvl="5" w:tplc="F0268FBA">
      <w:start w:val="1"/>
      <w:numFmt w:val="none"/>
      <w:lvlText w:val=""/>
      <w:lvlJc w:val="left"/>
      <w:pPr>
        <w:tabs>
          <w:tab w:val="num" w:pos="360"/>
        </w:tabs>
      </w:pPr>
    </w:lvl>
    <w:lvl w:ilvl="6" w:tplc="58145C44">
      <w:start w:val="1"/>
      <w:numFmt w:val="none"/>
      <w:lvlText w:val=""/>
      <w:lvlJc w:val="left"/>
      <w:pPr>
        <w:tabs>
          <w:tab w:val="num" w:pos="360"/>
        </w:tabs>
      </w:pPr>
    </w:lvl>
    <w:lvl w:ilvl="7" w:tplc="22B2796C">
      <w:start w:val="1"/>
      <w:numFmt w:val="none"/>
      <w:lvlText w:val=""/>
      <w:lvlJc w:val="left"/>
      <w:pPr>
        <w:tabs>
          <w:tab w:val="num" w:pos="360"/>
        </w:tabs>
      </w:pPr>
    </w:lvl>
    <w:lvl w:ilvl="8" w:tplc="CB1ED9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D09425D"/>
    <w:multiLevelType w:val="hybridMultilevel"/>
    <w:tmpl w:val="51E08AC6"/>
    <w:lvl w:ilvl="0" w:tplc="6F42D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60FEC">
      <w:start w:val="1"/>
      <w:numFmt w:val="lowerLetter"/>
      <w:lvlText w:val="%2."/>
      <w:lvlJc w:val="left"/>
      <w:pPr>
        <w:ind w:left="1440" w:hanging="360"/>
      </w:pPr>
    </w:lvl>
    <w:lvl w:ilvl="2" w:tplc="529C9F9E">
      <w:start w:val="1"/>
      <w:numFmt w:val="lowerRoman"/>
      <w:lvlText w:val="%3."/>
      <w:lvlJc w:val="right"/>
      <w:pPr>
        <w:ind w:left="2160" w:hanging="180"/>
      </w:pPr>
    </w:lvl>
    <w:lvl w:ilvl="3" w:tplc="18745C6C">
      <w:start w:val="1"/>
      <w:numFmt w:val="decimal"/>
      <w:lvlText w:val="%4."/>
      <w:lvlJc w:val="left"/>
      <w:pPr>
        <w:ind w:left="2880" w:hanging="360"/>
      </w:pPr>
    </w:lvl>
    <w:lvl w:ilvl="4" w:tplc="F0AC75F0">
      <w:start w:val="1"/>
      <w:numFmt w:val="lowerLetter"/>
      <w:lvlText w:val="%5."/>
      <w:lvlJc w:val="left"/>
      <w:pPr>
        <w:ind w:left="3600" w:hanging="360"/>
      </w:pPr>
    </w:lvl>
    <w:lvl w:ilvl="5" w:tplc="FAA88D62">
      <w:start w:val="1"/>
      <w:numFmt w:val="lowerRoman"/>
      <w:lvlText w:val="%6."/>
      <w:lvlJc w:val="right"/>
      <w:pPr>
        <w:ind w:left="4320" w:hanging="180"/>
      </w:pPr>
    </w:lvl>
    <w:lvl w:ilvl="6" w:tplc="93909292">
      <w:start w:val="1"/>
      <w:numFmt w:val="decimal"/>
      <w:lvlText w:val="%7."/>
      <w:lvlJc w:val="left"/>
      <w:pPr>
        <w:ind w:left="5040" w:hanging="360"/>
      </w:pPr>
    </w:lvl>
    <w:lvl w:ilvl="7" w:tplc="6D0852C6">
      <w:start w:val="1"/>
      <w:numFmt w:val="lowerLetter"/>
      <w:lvlText w:val="%8."/>
      <w:lvlJc w:val="left"/>
      <w:pPr>
        <w:ind w:left="5760" w:hanging="360"/>
      </w:pPr>
    </w:lvl>
    <w:lvl w:ilvl="8" w:tplc="0A327EE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5473B"/>
    <w:multiLevelType w:val="hybridMultilevel"/>
    <w:tmpl w:val="DCD8DA72"/>
    <w:lvl w:ilvl="0" w:tplc="D9508A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21BE8">
      <w:start w:val="1"/>
      <w:numFmt w:val="none"/>
      <w:lvlText w:val=""/>
      <w:lvlJc w:val="left"/>
      <w:pPr>
        <w:tabs>
          <w:tab w:val="num" w:pos="360"/>
        </w:tabs>
      </w:pPr>
    </w:lvl>
    <w:lvl w:ilvl="2" w:tplc="D3D067DC">
      <w:start w:val="1"/>
      <w:numFmt w:val="none"/>
      <w:lvlText w:val=""/>
      <w:lvlJc w:val="left"/>
      <w:pPr>
        <w:tabs>
          <w:tab w:val="num" w:pos="360"/>
        </w:tabs>
      </w:pPr>
    </w:lvl>
    <w:lvl w:ilvl="3" w:tplc="C0BA3C9A">
      <w:start w:val="1"/>
      <w:numFmt w:val="none"/>
      <w:lvlText w:val=""/>
      <w:lvlJc w:val="left"/>
      <w:pPr>
        <w:tabs>
          <w:tab w:val="num" w:pos="360"/>
        </w:tabs>
      </w:pPr>
    </w:lvl>
    <w:lvl w:ilvl="4" w:tplc="5296BEB0">
      <w:start w:val="1"/>
      <w:numFmt w:val="none"/>
      <w:lvlText w:val=""/>
      <w:lvlJc w:val="left"/>
      <w:pPr>
        <w:tabs>
          <w:tab w:val="num" w:pos="360"/>
        </w:tabs>
      </w:pPr>
    </w:lvl>
    <w:lvl w:ilvl="5" w:tplc="EFE8331C">
      <w:start w:val="1"/>
      <w:numFmt w:val="none"/>
      <w:lvlText w:val=""/>
      <w:lvlJc w:val="left"/>
      <w:pPr>
        <w:tabs>
          <w:tab w:val="num" w:pos="360"/>
        </w:tabs>
      </w:pPr>
    </w:lvl>
    <w:lvl w:ilvl="6" w:tplc="0396CEFE">
      <w:start w:val="1"/>
      <w:numFmt w:val="none"/>
      <w:lvlText w:val=""/>
      <w:lvlJc w:val="left"/>
      <w:pPr>
        <w:tabs>
          <w:tab w:val="num" w:pos="360"/>
        </w:tabs>
      </w:pPr>
    </w:lvl>
    <w:lvl w:ilvl="7" w:tplc="5E3CB8EC">
      <w:start w:val="1"/>
      <w:numFmt w:val="none"/>
      <w:lvlText w:val=""/>
      <w:lvlJc w:val="left"/>
      <w:pPr>
        <w:tabs>
          <w:tab w:val="num" w:pos="360"/>
        </w:tabs>
      </w:pPr>
    </w:lvl>
    <w:lvl w:ilvl="8" w:tplc="C5F022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AB54F5B"/>
    <w:multiLevelType w:val="hybridMultilevel"/>
    <w:tmpl w:val="3A4E1732"/>
    <w:lvl w:ilvl="0" w:tplc="281A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60484">
      <w:start w:val="1"/>
      <w:numFmt w:val="none"/>
      <w:lvlText w:val="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BD6693A6">
      <w:start w:val="1"/>
      <w:numFmt w:val="none"/>
      <w:lvlText w:val=""/>
      <w:lvlJc w:val="left"/>
      <w:pPr>
        <w:tabs>
          <w:tab w:val="num" w:pos="360"/>
        </w:tabs>
      </w:pPr>
    </w:lvl>
    <w:lvl w:ilvl="3" w:tplc="C5F83C0E">
      <w:start w:val="1"/>
      <w:numFmt w:val="none"/>
      <w:lvlText w:val=""/>
      <w:lvlJc w:val="left"/>
      <w:pPr>
        <w:tabs>
          <w:tab w:val="num" w:pos="360"/>
        </w:tabs>
      </w:pPr>
    </w:lvl>
    <w:lvl w:ilvl="4" w:tplc="4242608C">
      <w:start w:val="1"/>
      <w:numFmt w:val="none"/>
      <w:lvlText w:val=""/>
      <w:lvlJc w:val="left"/>
      <w:pPr>
        <w:tabs>
          <w:tab w:val="num" w:pos="360"/>
        </w:tabs>
      </w:pPr>
    </w:lvl>
    <w:lvl w:ilvl="5" w:tplc="3C4E067C">
      <w:start w:val="1"/>
      <w:numFmt w:val="none"/>
      <w:lvlText w:val=""/>
      <w:lvlJc w:val="left"/>
      <w:pPr>
        <w:tabs>
          <w:tab w:val="num" w:pos="360"/>
        </w:tabs>
      </w:pPr>
    </w:lvl>
    <w:lvl w:ilvl="6" w:tplc="47CA86A0">
      <w:start w:val="1"/>
      <w:numFmt w:val="none"/>
      <w:lvlText w:val=""/>
      <w:lvlJc w:val="left"/>
      <w:pPr>
        <w:tabs>
          <w:tab w:val="num" w:pos="360"/>
        </w:tabs>
      </w:pPr>
    </w:lvl>
    <w:lvl w:ilvl="7" w:tplc="38740388">
      <w:start w:val="1"/>
      <w:numFmt w:val="none"/>
      <w:lvlText w:val=""/>
      <w:lvlJc w:val="left"/>
      <w:pPr>
        <w:tabs>
          <w:tab w:val="num" w:pos="360"/>
        </w:tabs>
      </w:pPr>
    </w:lvl>
    <w:lvl w:ilvl="8" w:tplc="F43C462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D60D1D"/>
    <w:multiLevelType w:val="hybridMultilevel"/>
    <w:tmpl w:val="7722C810"/>
    <w:lvl w:ilvl="0" w:tplc="91922CD0">
      <w:start w:val="1"/>
      <w:numFmt w:val="bullet"/>
      <w:lvlText w:val="*"/>
      <w:lvlJc w:val="left"/>
    </w:lvl>
    <w:lvl w:ilvl="1" w:tplc="8CD2DA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0E3F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E0B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B02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8896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1E1A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E47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0418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0E44356"/>
    <w:multiLevelType w:val="hybridMultilevel"/>
    <w:tmpl w:val="F3C687D4"/>
    <w:lvl w:ilvl="0" w:tplc="5164C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B6EC70">
      <w:start w:val="1"/>
      <w:numFmt w:val="none"/>
      <w:lvlText w:val=""/>
      <w:lvlJc w:val="left"/>
      <w:pPr>
        <w:tabs>
          <w:tab w:val="num" w:pos="360"/>
        </w:tabs>
      </w:pPr>
    </w:lvl>
    <w:lvl w:ilvl="2" w:tplc="34D09BFA">
      <w:start w:val="1"/>
      <w:numFmt w:val="none"/>
      <w:lvlText w:val=""/>
      <w:lvlJc w:val="left"/>
      <w:pPr>
        <w:tabs>
          <w:tab w:val="num" w:pos="360"/>
        </w:tabs>
      </w:pPr>
    </w:lvl>
    <w:lvl w:ilvl="3" w:tplc="505A1C58">
      <w:start w:val="1"/>
      <w:numFmt w:val="none"/>
      <w:lvlText w:val=""/>
      <w:lvlJc w:val="left"/>
      <w:pPr>
        <w:tabs>
          <w:tab w:val="num" w:pos="360"/>
        </w:tabs>
      </w:pPr>
    </w:lvl>
    <w:lvl w:ilvl="4" w:tplc="C352AED8">
      <w:start w:val="1"/>
      <w:numFmt w:val="none"/>
      <w:lvlText w:val=""/>
      <w:lvlJc w:val="left"/>
      <w:pPr>
        <w:tabs>
          <w:tab w:val="num" w:pos="360"/>
        </w:tabs>
      </w:pPr>
    </w:lvl>
    <w:lvl w:ilvl="5" w:tplc="4426B87C">
      <w:start w:val="1"/>
      <w:numFmt w:val="none"/>
      <w:lvlText w:val=""/>
      <w:lvlJc w:val="left"/>
      <w:pPr>
        <w:tabs>
          <w:tab w:val="num" w:pos="360"/>
        </w:tabs>
      </w:pPr>
    </w:lvl>
    <w:lvl w:ilvl="6" w:tplc="0EFEA8C6">
      <w:start w:val="1"/>
      <w:numFmt w:val="none"/>
      <w:lvlText w:val=""/>
      <w:lvlJc w:val="left"/>
      <w:pPr>
        <w:tabs>
          <w:tab w:val="num" w:pos="360"/>
        </w:tabs>
      </w:pPr>
    </w:lvl>
    <w:lvl w:ilvl="7" w:tplc="53E285E0">
      <w:start w:val="1"/>
      <w:numFmt w:val="none"/>
      <w:lvlText w:val=""/>
      <w:lvlJc w:val="left"/>
      <w:pPr>
        <w:tabs>
          <w:tab w:val="num" w:pos="360"/>
        </w:tabs>
      </w:pPr>
    </w:lvl>
    <w:lvl w:ilvl="8" w:tplc="7C02F35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8264130"/>
    <w:multiLevelType w:val="hybridMultilevel"/>
    <w:tmpl w:val="24BE0C34"/>
    <w:lvl w:ilvl="0" w:tplc="9C6C828C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97D8CC02">
      <w:start w:val="1"/>
      <w:numFmt w:val="none"/>
      <w:lvlText w:val=""/>
      <w:lvlJc w:val="left"/>
      <w:pPr>
        <w:tabs>
          <w:tab w:val="num" w:pos="360"/>
        </w:tabs>
      </w:pPr>
    </w:lvl>
    <w:lvl w:ilvl="2" w:tplc="03BC8252">
      <w:start w:val="1"/>
      <w:numFmt w:val="none"/>
      <w:lvlText w:val=""/>
      <w:lvlJc w:val="left"/>
      <w:pPr>
        <w:tabs>
          <w:tab w:val="num" w:pos="360"/>
        </w:tabs>
      </w:pPr>
    </w:lvl>
    <w:lvl w:ilvl="3" w:tplc="F9AE3862">
      <w:start w:val="1"/>
      <w:numFmt w:val="none"/>
      <w:lvlText w:val=""/>
      <w:lvlJc w:val="left"/>
      <w:pPr>
        <w:tabs>
          <w:tab w:val="num" w:pos="360"/>
        </w:tabs>
      </w:pPr>
    </w:lvl>
    <w:lvl w:ilvl="4" w:tplc="57027D16">
      <w:start w:val="1"/>
      <w:numFmt w:val="none"/>
      <w:lvlText w:val=""/>
      <w:lvlJc w:val="left"/>
      <w:pPr>
        <w:tabs>
          <w:tab w:val="num" w:pos="360"/>
        </w:tabs>
      </w:pPr>
    </w:lvl>
    <w:lvl w:ilvl="5" w:tplc="359864C2">
      <w:start w:val="1"/>
      <w:numFmt w:val="none"/>
      <w:lvlText w:val=""/>
      <w:lvlJc w:val="left"/>
      <w:pPr>
        <w:tabs>
          <w:tab w:val="num" w:pos="360"/>
        </w:tabs>
      </w:pPr>
    </w:lvl>
    <w:lvl w:ilvl="6" w:tplc="BBC8884E">
      <w:start w:val="1"/>
      <w:numFmt w:val="none"/>
      <w:lvlText w:val=""/>
      <w:lvlJc w:val="left"/>
      <w:pPr>
        <w:tabs>
          <w:tab w:val="num" w:pos="360"/>
        </w:tabs>
      </w:pPr>
    </w:lvl>
    <w:lvl w:ilvl="7" w:tplc="A21C7A62">
      <w:start w:val="1"/>
      <w:numFmt w:val="none"/>
      <w:lvlText w:val=""/>
      <w:lvlJc w:val="left"/>
      <w:pPr>
        <w:tabs>
          <w:tab w:val="num" w:pos="360"/>
        </w:tabs>
      </w:pPr>
    </w:lvl>
    <w:lvl w:ilvl="8" w:tplc="930CCF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FB70D13"/>
    <w:multiLevelType w:val="hybridMultilevel"/>
    <w:tmpl w:val="92A42E78"/>
    <w:lvl w:ilvl="0" w:tplc="05CE20E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621F9C">
      <w:start w:val="1"/>
      <w:numFmt w:val="none"/>
      <w:lvlText w:val=""/>
      <w:lvlJc w:val="left"/>
      <w:pPr>
        <w:tabs>
          <w:tab w:val="num" w:pos="360"/>
        </w:tabs>
      </w:pPr>
    </w:lvl>
    <w:lvl w:ilvl="2" w:tplc="0938E64C">
      <w:start w:val="1"/>
      <w:numFmt w:val="none"/>
      <w:lvlText w:val=""/>
      <w:lvlJc w:val="left"/>
      <w:pPr>
        <w:tabs>
          <w:tab w:val="num" w:pos="360"/>
        </w:tabs>
      </w:pPr>
    </w:lvl>
    <w:lvl w:ilvl="3" w:tplc="B6B6F620">
      <w:start w:val="1"/>
      <w:numFmt w:val="none"/>
      <w:lvlText w:val=""/>
      <w:lvlJc w:val="left"/>
      <w:pPr>
        <w:tabs>
          <w:tab w:val="num" w:pos="360"/>
        </w:tabs>
      </w:pPr>
    </w:lvl>
    <w:lvl w:ilvl="4" w:tplc="B07AC982">
      <w:start w:val="1"/>
      <w:numFmt w:val="none"/>
      <w:lvlText w:val=""/>
      <w:lvlJc w:val="left"/>
      <w:pPr>
        <w:tabs>
          <w:tab w:val="num" w:pos="360"/>
        </w:tabs>
      </w:pPr>
    </w:lvl>
    <w:lvl w:ilvl="5" w:tplc="1A324B9E">
      <w:start w:val="1"/>
      <w:numFmt w:val="none"/>
      <w:lvlText w:val=""/>
      <w:lvlJc w:val="left"/>
      <w:pPr>
        <w:tabs>
          <w:tab w:val="num" w:pos="360"/>
        </w:tabs>
      </w:pPr>
    </w:lvl>
    <w:lvl w:ilvl="6" w:tplc="48D0D7B4">
      <w:start w:val="1"/>
      <w:numFmt w:val="none"/>
      <w:lvlText w:val=""/>
      <w:lvlJc w:val="left"/>
      <w:pPr>
        <w:tabs>
          <w:tab w:val="num" w:pos="360"/>
        </w:tabs>
      </w:pPr>
    </w:lvl>
    <w:lvl w:ilvl="7" w:tplc="B9D23AF0">
      <w:start w:val="1"/>
      <w:numFmt w:val="none"/>
      <w:lvlText w:val=""/>
      <w:lvlJc w:val="left"/>
      <w:pPr>
        <w:tabs>
          <w:tab w:val="num" w:pos="360"/>
        </w:tabs>
      </w:pPr>
    </w:lvl>
    <w:lvl w:ilvl="8" w:tplc="7F66FBB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5"/>
  </w:num>
  <w:num w:numId="12">
    <w:abstractNumId w:val="7"/>
  </w:num>
  <w:num w:numId="13">
    <w:abstractNumId w:val="10"/>
    <w:lvlOverride w:ilvl="0">
      <w:lvl w:ilvl="0" w:tplc="91922CD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balanceSingleByteDoubleByteWidth/>
    <w:ulTrailSpace/>
  </w:compat>
  <w:rsids>
    <w:rsidRoot w:val="001747E5"/>
    <w:rsid w:val="001747E5"/>
    <w:rsid w:val="002770B8"/>
    <w:rsid w:val="0056231B"/>
    <w:rsid w:val="005B02F6"/>
    <w:rsid w:val="007353DC"/>
    <w:rsid w:val="007A60D9"/>
    <w:rsid w:val="00976692"/>
    <w:rsid w:val="009D75AA"/>
    <w:rsid w:val="00A77892"/>
    <w:rsid w:val="00F7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E5"/>
    <w:pPr>
      <w:widowControl w:val="0"/>
    </w:pPr>
    <w:rPr>
      <w:rFonts w:eastAsia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1747E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747E5"/>
    <w:rPr>
      <w:sz w:val="24"/>
      <w:szCs w:val="24"/>
    </w:rPr>
  </w:style>
  <w:style w:type="character" w:customStyle="1" w:styleId="QuoteChar">
    <w:name w:val="Quote Char"/>
    <w:link w:val="2"/>
    <w:uiPriority w:val="29"/>
    <w:rsid w:val="001747E5"/>
    <w:rPr>
      <w:i/>
    </w:rPr>
  </w:style>
  <w:style w:type="character" w:customStyle="1" w:styleId="IntenseQuoteChar">
    <w:name w:val="Intense Quote Char"/>
    <w:link w:val="a5"/>
    <w:uiPriority w:val="30"/>
    <w:rsid w:val="001747E5"/>
    <w:rPr>
      <w:i/>
    </w:rPr>
  </w:style>
  <w:style w:type="character" w:customStyle="1" w:styleId="FootnoteTextChar">
    <w:name w:val="Footnote Text Char"/>
    <w:link w:val="a6"/>
    <w:uiPriority w:val="99"/>
    <w:rsid w:val="001747E5"/>
    <w:rPr>
      <w:sz w:val="18"/>
    </w:rPr>
  </w:style>
  <w:style w:type="character" w:customStyle="1" w:styleId="EndnoteTextChar">
    <w:name w:val="Endnote Text Char"/>
    <w:link w:val="a7"/>
    <w:uiPriority w:val="99"/>
    <w:rsid w:val="001747E5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1747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747E5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747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747E5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747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747E5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747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747E5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747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747E5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747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47E5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747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47E5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747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47E5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747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1747E5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1747E5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1747E5"/>
    <w:pPr>
      <w:spacing w:before="200" w:after="200"/>
    </w:pPr>
  </w:style>
  <w:style w:type="character" w:customStyle="1" w:styleId="a9">
    <w:name w:val="Подзаголовок Знак"/>
    <w:basedOn w:val="a0"/>
    <w:link w:val="a4"/>
    <w:uiPriority w:val="11"/>
    <w:rsid w:val="001747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47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47E5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1747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1747E5"/>
    <w:rPr>
      <w:i/>
    </w:rPr>
  </w:style>
  <w:style w:type="character" w:customStyle="1" w:styleId="HeaderChar">
    <w:name w:val="Header Char"/>
    <w:basedOn w:val="a0"/>
    <w:link w:val="Header"/>
    <w:uiPriority w:val="99"/>
    <w:rsid w:val="001747E5"/>
  </w:style>
  <w:style w:type="character" w:customStyle="1" w:styleId="FooterChar">
    <w:name w:val="Footer Char"/>
    <w:basedOn w:val="a0"/>
    <w:link w:val="Footer"/>
    <w:uiPriority w:val="99"/>
    <w:rsid w:val="001747E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747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747E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74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4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1747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4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47E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4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47E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47E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47E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b"/>
    <w:uiPriority w:val="99"/>
    <w:semiHidden/>
    <w:unhideWhenUsed/>
    <w:rsid w:val="001747E5"/>
    <w:pPr>
      <w:spacing w:after="40"/>
    </w:pPr>
    <w:rPr>
      <w:sz w:val="18"/>
    </w:rPr>
  </w:style>
  <w:style w:type="character" w:customStyle="1" w:styleId="ab">
    <w:name w:val="Текст сноски Знак"/>
    <w:link w:val="a6"/>
    <w:uiPriority w:val="99"/>
    <w:rsid w:val="001747E5"/>
    <w:rPr>
      <w:sz w:val="18"/>
    </w:rPr>
  </w:style>
  <w:style w:type="character" w:styleId="ac">
    <w:name w:val="footnote reference"/>
    <w:basedOn w:val="a0"/>
    <w:uiPriority w:val="99"/>
    <w:unhideWhenUsed/>
    <w:rsid w:val="001747E5"/>
    <w:rPr>
      <w:vertAlign w:val="superscript"/>
    </w:rPr>
  </w:style>
  <w:style w:type="paragraph" w:styleId="a7">
    <w:name w:val="endnote text"/>
    <w:basedOn w:val="a"/>
    <w:link w:val="ad"/>
    <w:uiPriority w:val="99"/>
    <w:semiHidden/>
    <w:unhideWhenUsed/>
    <w:rsid w:val="001747E5"/>
    <w:rPr>
      <w:sz w:val="20"/>
    </w:rPr>
  </w:style>
  <w:style w:type="character" w:customStyle="1" w:styleId="ad">
    <w:name w:val="Текст концевой сноски Знак"/>
    <w:link w:val="a7"/>
    <w:uiPriority w:val="99"/>
    <w:rsid w:val="001747E5"/>
    <w:rPr>
      <w:sz w:val="20"/>
    </w:rPr>
  </w:style>
  <w:style w:type="character" w:styleId="ae">
    <w:name w:val="endnote reference"/>
    <w:basedOn w:val="a0"/>
    <w:uiPriority w:val="99"/>
    <w:semiHidden/>
    <w:unhideWhenUsed/>
    <w:rsid w:val="001747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747E5"/>
    <w:pPr>
      <w:spacing w:after="57"/>
    </w:pPr>
  </w:style>
  <w:style w:type="paragraph" w:styleId="21">
    <w:name w:val="toc 2"/>
    <w:basedOn w:val="a"/>
    <w:next w:val="a"/>
    <w:uiPriority w:val="39"/>
    <w:unhideWhenUsed/>
    <w:rsid w:val="001747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47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47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47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47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47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47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47E5"/>
    <w:pPr>
      <w:spacing w:after="57"/>
      <w:ind w:left="2268"/>
    </w:pPr>
  </w:style>
  <w:style w:type="paragraph" w:styleId="af">
    <w:name w:val="TOC Heading"/>
    <w:uiPriority w:val="39"/>
    <w:unhideWhenUsed/>
    <w:rsid w:val="001747E5"/>
  </w:style>
  <w:style w:type="paragraph" w:styleId="af0">
    <w:name w:val="table of figures"/>
    <w:basedOn w:val="a"/>
    <w:next w:val="a"/>
    <w:uiPriority w:val="99"/>
    <w:unhideWhenUsed/>
    <w:rsid w:val="001747E5"/>
  </w:style>
  <w:style w:type="paragraph" w:customStyle="1" w:styleId="Heading1">
    <w:name w:val="Heading 1"/>
    <w:basedOn w:val="a"/>
    <w:next w:val="a"/>
    <w:link w:val="10"/>
    <w:qFormat/>
    <w:rsid w:val="001747E5"/>
    <w:pPr>
      <w:keepNext/>
      <w:widowControl/>
      <w:ind w:left="4962"/>
      <w:jc w:val="both"/>
      <w:outlineLvl w:val="0"/>
    </w:pPr>
    <w:rPr>
      <w:rFonts w:eastAsia="Times New Roman"/>
      <w:sz w:val="28"/>
      <w:szCs w:val="28"/>
    </w:rPr>
  </w:style>
  <w:style w:type="character" w:customStyle="1" w:styleId="WW8Num39z2">
    <w:name w:val="WW8Num39z2"/>
    <w:rsid w:val="001747E5"/>
    <w:rPr>
      <w:color w:val="auto"/>
    </w:rPr>
  </w:style>
  <w:style w:type="paragraph" w:customStyle="1" w:styleId="af1">
    <w:name w:val="Заголовок"/>
    <w:basedOn w:val="a"/>
    <w:next w:val="af2"/>
    <w:rsid w:val="001747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Body Text"/>
    <w:basedOn w:val="a"/>
    <w:rsid w:val="001747E5"/>
    <w:pPr>
      <w:spacing w:after="120"/>
    </w:pPr>
  </w:style>
  <w:style w:type="paragraph" w:styleId="af3">
    <w:name w:val="List"/>
    <w:basedOn w:val="af2"/>
    <w:rsid w:val="001747E5"/>
    <w:rPr>
      <w:rFonts w:cs="Tahoma"/>
    </w:rPr>
  </w:style>
  <w:style w:type="paragraph" w:customStyle="1" w:styleId="11">
    <w:name w:val="Название1"/>
    <w:basedOn w:val="a"/>
    <w:rsid w:val="001747E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747E5"/>
    <w:pPr>
      <w:suppressLineNumbers/>
    </w:pPr>
    <w:rPr>
      <w:rFonts w:cs="Tahoma"/>
    </w:rPr>
  </w:style>
  <w:style w:type="paragraph" w:customStyle="1" w:styleId="23">
    <w:name w:val="Основной текст 23"/>
    <w:basedOn w:val="a"/>
    <w:rsid w:val="001747E5"/>
    <w:pPr>
      <w:spacing w:after="120" w:line="480" w:lineRule="auto"/>
    </w:pPr>
  </w:style>
  <w:style w:type="paragraph" w:customStyle="1" w:styleId="22">
    <w:name w:val="Основной текст 22"/>
    <w:basedOn w:val="a"/>
    <w:rsid w:val="001747E5"/>
    <w:pPr>
      <w:spacing w:after="120" w:line="480" w:lineRule="auto"/>
    </w:pPr>
  </w:style>
  <w:style w:type="paragraph" w:customStyle="1" w:styleId="210">
    <w:name w:val="Основной текст 21"/>
    <w:basedOn w:val="a"/>
    <w:rsid w:val="001747E5"/>
    <w:pPr>
      <w:jc w:val="both"/>
    </w:pPr>
    <w:rPr>
      <w:i/>
      <w:sz w:val="22"/>
      <w:lang w:val="en-US"/>
    </w:rPr>
  </w:style>
  <w:style w:type="paragraph" w:styleId="af4">
    <w:name w:val="Body Text Indent"/>
    <w:basedOn w:val="a"/>
    <w:link w:val="af5"/>
    <w:rsid w:val="001747E5"/>
    <w:pPr>
      <w:ind w:firstLine="567"/>
      <w:jc w:val="both"/>
    </w:pPr>
    <w:rPr>
      <w:spacing w:val="-4"/>
    </w:rPr>
  </w:style>
  <w:style w:type="paragraph" w:styleId="af6">
    <w:name w:val="Document Map"/>
    <w:basedOn w:val="a"/>
    <w:semiHidden/>
    <w:rsid w:val="001747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er">
    <w:name w:val="Header"/>
    <w:basedOn w:val="a"/>
    <w:link w:val="HeaderChar"/>
    <w:rsid w:val="001747E5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1747E5"/>
  </w:style>
  <w:style w:type="paragraph" w:customStyle="1" w:styleId="ConsPlusTitle">
    <w:name w:val="ConsPlusTitle"/>
    <w:rsid w:val="001747E5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Footer">
    <w:name w:val="Footer"/>
    <w:basedOn w:val="a"/>
    <w:link w:val="af8"/>
    <w:rsid w:val="001747E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Footer"/>
    <w:rsid w:val="001747E5"/>
    <w:rPr>
      <w:rFonts w:eastAsia="Arial"/>
      <w:sz w:val="24"/>
      <w:szCs w:val="24"/>
    </w:rPr>
  </w:style>
  <w:style w:type="paragraph" w:customStyle="1" w:styleId="13">
    <w:name w:val="Абзац списка1"/>
    <w:basedOn w:val="a"/>
    <w:rsid w:val="001747E5"/>
    <w:pPr>
      <w:ind w:left="720"/>
    </w:pPr>
    <w:rPr>
      <w:rFonts w:eastAsia="Calibri"/>
      <w:sz w:val="20"/>
      <w:szCs w:val="20"/>
    </w:rPr>
  </w:style>
  <w:style w:type="paragraph" w:customStyle="1" w:styleId="14">
    <w:name w:val="Знак1 Знак Знак Знак"/>
    <w:basedOn w:val="a"/>
    <w:rsid w:val="001747E5"/>
    <w:pPr>
      <w:widowControl/>
      <w:spacing w:after="160" w:line="240" w:lineRule="exact"/>
    </w:pPr>
    <w:rPr>
      <w:rFonts w:eastAsia="Times New Roman"/>
      <w:sz w:val="20"/>
      <w:szCs w:val="20"/>
    </w:rPr>
  </w:style>
  <w:style w:type="character" w:customStyle="1" w:styleId="10">
    <w:name w:val="Заголовок 1 Знак"/>
    <w:link w:val="Heading1"/>
    <w:rsid w:val="001747E5"/>
    <w:rPr>
      <w:sz w:val="28"/>
      <w:szCs w:val="28"/>
    </w:rPr>
  </w:style>
  <w:style w:type="paragraph" w:styleId="af9">
    <w:name w:val="Balloon Text"/>
    <w:basedOn w:val="a"/>
    <w:link w:val="afa"/>
    <w:rsid w:val="001747E5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1747E5"/>
    <w:rPr>
      <w:rFonts w:ascii="Tahoma" w:eastAsia="Arial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rsid w:val="001747E5"/>
    <w:rPr>
      <w:rFonts w:eastAsia="Arial"/>
      <w:spacing w:val="-4"/>
      <w:sz w:val="24"/>
      <w:szCs w:val="24"/>
    </w:rPr>
  </w:style>
  <w:style w:type="paragraph" w:customStyle="1" w:styleId="ConsNormal">
    <w:name w:val="ConsNormal"/>
    <w:uiPriority w:val="99"/>
    <w:rsid w:val="001747E5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747E5"/>
    <w:pPr>
      <w:ind w:right="19772"/>
    </w:pPr>
    <w:rPr>
      <w:rFonts w:ascii="Courier New" w:hAnsi="Courier New" w:cs="Courier New"/>
    </w:rPr>
  </w:style>
  <w:style w:type="paragraph" w:customStyle="1" w:styleId="afb">
    <w:name w:val="Îñíîâíîé òåêñò"/>
    <w:basedOn w:val="a"/>
    <w:uiPriority w:val="99"/>
    <w:rsid w:val="001747E5"/>
    <w:pPr>
      <w:widowControl/>
      <w:jc w:val="both"/>
    </w:pPr>
    <w:rPr>
      <w:rFonts w:eastAsia="Times New Roman"/>
    </w:rPr>
  </w:style>
  <w:style w:type="paragraph" w:customStyle="1" w:styleId="afc">
    <w:name w:val="Обычный + полужирный"/>
    <w:basedOn w:val="a"/>
    <w:uiPriority w:val="99"/>
    <w:rsid w:val="001747E5"/>
    <w:pPr>
      <w:widowControl/>
      <w:jc w:val="center"/>
    </w:pPr>
    <w:rPr>
      <w:rFonts w:eastAsia="Times New Roman"/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rsid w:val="001747E5"/>
    <w:pPr>
      <w:widowControl/>
      <w:spacing w:after="160" w:line="240" w:lineRule="exact"/>
    </w:pPr>
    <w:rPr>
      <w:rFonts w:eastAsia="Times New Roman"/>
      <w:sz w:val="20"/>
      <w:szCs w:val="20"/>
    </w:rPr>
  </w:style>
  <w:style w:type="paragraph" w:customStyle="1" w:styleId="consplusnormal">
    <w:name w:val="consplusnormal"/>
    <w:basedOn w:val="a"/>
    <w:rsid w:val="001747E5"/>
    <w:pPr>
      <w:widowControl/>
      <w:spacing w:before="187" w:after="187"/>
      <w:ind w:left="187" w:right="187"/>
    </w:pPr>
    <w:rPr>
      <w:rFonts w:eastAsia="Times New Roman"/>
      <w:lang w:eastAsia="ar-SA"/>
    </w:rPr>
  </w:style>
  <w:style w:type="paragraph" w:customStyle="1" w:styleId="15">
    <w:name w:val="Знак Знак1"/>
    <w:basedOn w:val="a"/>
    <w:rsid w:val="001747E5"/>
    <w:pPr>
      <w:widowControl/>
      <w:spacing w:after="160" w:line="240" w:lineRule="exact"/>
    </w:pPr>
    <w:rPr>
      <w:rFonts w:eastAsia="Times New Roman"/>
      <w:sz w:val="20"/>
      <w:szCs w:val="20"/>
    </w:rPr>
  </w:style>
  <w:style w:type="character" w:styleId="afd">
    <w:name w:val="Hyperlink"/>
    <w:rsid w:val="001747E5"/>
    <w:rPr>
      <w:color w:val="0000FF"/>
      <w:u w:val="single"/>
    </w:rPr>
  </w:style>
  <w:style w:type="paragraph" w:customStyle="1" w:styleId="16">
    <w:name w:val="Абзац списка1"/>
    <w:basedOn w:val="a"/>
    <w:uiPriority w:val="99"/>
    <w:rsid w:val="001747E5"/>
    <w:pPr>
      <w:ind w:left="720"/>
    </w:pPr>
    <w:rPr>
      <w:rFonts w:eastAsia="Times New Roman"/>
      <w:sz w:val="20"/>
      <w:szCs w:val="20"/>
    </w:rPr>
  </w:style>
  <w:style w:type="character" w:customStyle="1" w:styleId="FontStyle12">
    <w:name w:val="Font Style12"/>
    <w:rsid w:val="001747E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rsid w:val="001747E5"/>
    <w:rPr>
      <w:rFonts w:eastAsia="Times New Roman"/>
    </w:rPr>
  </w:style>
  <w:style w:type="character" w:customStyle="1" w:styleId="FontStyle13">
    <w:name w:val="Font Style13"/>
    <w:rsid w:val="001747E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747E5"/>
    <w:rPr>
      <w:rFonts w:ascii="Times New Roman" w:hAnsi="Times New Roman" w:cs="Times New Roman"/>
      <w:b/>
      <w:bCs/>
      <w:sz w:val="20"/>
      <w:szCs w:val="20"/>
    </w:rPr>
  </w:style>
  <w:style w:type="paragraph" w:customStyle="1" w:styleId="afe">
    <w:name w:val="Таблицы (моноширинный)"/>
    <w:basedOn w:val="a"/>
    <w:next w:val="a"/>
    <w:rsid w:val="001747E5"/>
    <w:pPr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0">
    <w:name w:val="ConsPlusNormal"/>
    <w:link w:val="ConsPlusNormal1"/>
    <w:uiPriority w:val="99"/>
    <w:rsid w:val="001747E5"/>
    <w:pPr>
      <w:widowControl w:val="0"/>
      <w:ind w:firstLine="720"/>
    </w:pPr>
    <w:rPr>
      <w:rFonts w:ascii="Arial" w:eastAsia="Arial" w:hAnsi="Arial" w:cs="Arial"/>
      <w:lang w:eastAsia="ar-SA"/>
    </w:rPr>
  </w:style>
  <w:style w:type="table" w:styleId="aff">
    <w:name w:val="Table Grid"/>
    <w:basedOn w:val="a1"/>
    <w:rsid w:val="0017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qFormat/>
    <w:rsid w:val="001747E5"/>
    <w:rPr>
      <w:rFonts w:ascii="Calibri" w:eastAsia="Calibri" w:hAnsi="Calibri"/>
      <w:sz w:val="22"/>
      <w:szCs w:val="22"/>
      <w:lang w:eastAsia="en-US"/>
    </w:rPr>
  </w:style>
  <w:style w:type="paragraph" w:styleId="aff1">
    <w:name w:val="List Paragraph"/>
    <w:basedOn w:val="a"/>
    <w:uiPriority w:val="99"/>
    <w:qFormat/>
    <w:rsid w:val="001747E5"/>
    <w:pPr>
      <w:widowControl/>
      <w:ind w:left="720"/>
      <w:contextualSpacing/>
    </w:pPr>
    <w:rPr>
      <w:rFonts w:eastAsia="Calibri"/>
    </w:rPr>
  </w:style>
  <w:style w:type="paragraph" w:styleId="aff2">
    <w:name w:val="Normal (Web)"/>
    <w:basedOn w:val="a"/>
    <w:uiPriority w:val="99"/>
    <w:unhideWhenUsed/>
    <w:rsid w:val="001747E5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ConsPlusNormal1">
    <w:name w:val="ConsPlusNormal Знак"/>
    <w:link w:val="ConsPlusNormal0"/>
    <w:uiPriority w:val="99"/>
    <w:rsid w:val="001747E5"/>
    <w:rPr>
      <w:rFonts w:ascii="Arial" w:eastAsia="Arial" w:hAnsi="Arial" w:cs="Arial"/>
      <w:lang w:eastAsia="ar-SA"/>
    </w:rPr>
  </w:style>
  <w:style w:type="character" w:customStyle="1" w:styleId="17">
    <w:name w:val="Знак примечания1"/>
    <w:rsid w:val="001747E5"/>
    <w:rPr>
      <w:sz w:val="16"/>
      <w:szCs w:val="16"/>
    </w:rPr>
  </w:style>
  <w:style w:type="character" w:customStyle="1" w:styleId="character">
    <w:name w:val="ррр_character"/>
    <w:link w:val="aff3"/>
    <w:rsid w:val="001747E5"/>
    <w:rPr>
      <w:sz w:val="20"/>
      <w:szCs w:val="20"/>
    </w:rPr>
  </w:style>
  <w:style w:type="paragraph" w:customStyle="1" w:styleId="aff3">
    <w:name w:val="ррр"/>
    <w:basedOn w:val="a"/>
    <w:link w:val="character"/>
    <w:qFormat/>
    <w:rsid w:val="001747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ind w:firstLine="567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E187-C72C-47B4-911D-E992B35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</vt:lpstr>
    </vt:vector>
  </TitlesOfParts>
  <Company/>
  <LinksUpToDate>false</LinksUpToDate>
  <CharactersWithSpaces>25664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</dc:title>
  <dc:creator>Хлобышева</dc:creator>
  <cp:lastModifiedBy>Пользователь Windows</cp:lastModifiedBy>
  <cp:revision>13</cp:revision>
  <dcterms:created xsi:type="dcterms:W3CDTF">2025-09-04T06:02:00Z</dcterms:created>
  <dcterms:modified xsi:type="dcterms:W3CDTF">2026-05-29T07:31:00Z</dcterms:modified>
</cp:coreProperties>
</file>