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9E7266">
      <w:pPr>
        <w:ind w:hanging="284"/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E22E1F" w:rsidRPr="00F63AC4" w:rsidRDefault="00FD31D7" w:rsidP="003A125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Изделия а</w:t>
      </w:r>
      <w:r w:rsidR="00E22E1F">
        <w:rPr>
          <w:b/>
          <w:bCs/>
          <w:sz w:val="22"/>
          <w:szCs w:val="22"/>
        </w:rPr>
        <w:t>бразивные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8737A3">
        <w:rPr>
          <w:b/>
          <w:bCs/>
          <w:color w:val="000000" w:themeColor="text1"/>
          <w:sz w:val="22"/>
          <w:szCs w:val="22"/>
        </w:rPr>
        <w:t>53</w:t>
      </w:r>
      <w:r w:rsidR="008737A3" w:rsidRPr="008737A3">
        <w:rPr>
          <w:b/>
          <w:bCs/>
          <w:color w:val="000000" w:themeColor="text1"/>
          <w:sz w:val="22"/>
          <w:szCs w:val="22"/>
        </w:rPr>
        <w:t>219</w:t>
      </w:r>
      <w:r w:rsidR="00E22E1F" w:rsidRPr="008737A3">
        <w:rPr>
          <w:b/>
          <w:bCs/>
          <w:color w:val="000000" w:themeColor="text1"/>
          <w:sz w:val="22"/>
          <w:szCs w:val="22"/>
        </w:rPr>
        <w:t>239</w:t>
      </w:r>
      <w:r w:rsidR="00E22E1F">
        <w:rPr>
          <w:b/>
          <w:bCs/>
          <w:color w:val="000000" w:themeColor="text1"/>
          <w:sz w:val="22"/>
          <w:szCs w:val="22"/>
        </w:rPr>
        <w:t>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E22E1F">
        <w:rPr>
          <w:bCs/>
          <w:sz w:val="22"/>
          <w:szCs w:val="22"/>
        </w:rPr>
        <w:t xml:space="preserve"> и</w:t>
      </w:r>
      <w:r w:rsidR="00FD31D7">
        <w:rPr>
          <w:bCs/>
          <w:sz w:val="22"/>
          <w:szCs w:val="22"/>
        </w:rPr>
        <w:t>зделия а</w:t>
      </w:r>
      <w:r w:rsidR="00E22E1F" w:rsidRPr="00E22E1F">
        <w:rPr>
          <w:bCs/>
          <w:sz w:val="22"/>
          <w:szCs w:val="22"/>
        </w:rPr>
        <w:t>бразивные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D4058F">
        <w:rPr>
          <w:bCs/>
          <w:sz w:val="22"/>
          <w:szCs w:val="22"/>
        </w:rPr>
        <w:t>10</w:t>
      </w:r>
      <w:r w:rsidR="00572ABD">
        <w:rPr>
          <w:bCs/>
          <w:sz w:val="22"/>
          <w:szCs w:val="22"/>
        </w:rPr>
        <w:t xml:space="preserve"> (</w:t>
      </w:r>
      <w:r w:rsidR="00642B4D">
        <w:rPr>
          <w:bCs/>
          <w:sz w:val="22"/>
          <w:szCs w:val="22"/>
        </w:rPr>
        <w:t>десяти</w:t>
      </w:r>
      <w:r w:rsidR="00F63AC4">
        <w:rPr>
          <w:bCs/>
          <w:sz w:val="22"/>
          <w:szCs w:val="22"/>
        </w:rPr>
        <w:t xml:space="preserve">) </w:t>
      </w:r>
      <w:r w:rsidR="00642B4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42B4D">
        <w:rPr>
          <w:color w:val="000000"/>
          <w:sz w:val="22"/>
          <w:szCs w:val="22"/>
        </w:rPr>
        <w:t>после</w:t>
      </w:r>
      <w:r w:rsidR="006E7AFC" w:rsidRPr="006E7AFC">
        <w:rPr>
          <w:color w:val="000000"/>
          <w:sz w:val="22"/>
          <w:szCs w:val="22"/>
        </w:rPr>
        <w:t xml:space="preserve">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 xml:space="preserve">142402 </w:t>
      </w:r>
      <w:r w:rsidR="00C9307C" w:rsidRPr="00C9307C">
        <w:rPr>
          <w:color w:val="000000"/>
          <w:sz w:val="22"/>
          <w:szCs w:val="22"/>
        </w:rPr>
        <w:t>Московская обл., д. Починки, ул. Горького,</w:t>
      </w:r>
      <w:r w:rsidR="00D5048F" w:rsidRPr="00D5048F">
        <w:rPr>
          <w:color w:val="000000"/>
          <w:sz w:val="22"/>
          <w:szCs w:val="22"/>
        </w:rPr>
        <w:t xml:space="preserve"> ФГКУ «Ногинский спасательный центр МЧС России», </w:t>
      </w:r>
      <w:r w:rsidR="00C9307C">
        <w:rPr>
          <w:color w:val="000000"/>
          <w:sz w:val="22"/>
          <w:szCs w:val="22"/>
        </w:rPr>
        <w:t>въезд через КПП № 2,</w:t>
      </w:r>
      <w:r w:rsidR="00D5048F" w:rsidRPr="00D5048F">
        <w:rPr>
          <w:color w:val="000000"/>
          <w:sz w:val="22"/>
          <w:szCs w:val="22"/>
        </w:rPr>
        <w:t xml:space="preserve"> автотранспортом Поставщика</w:t>
      </w:r>
      <w:r w:rsidR="00D5048F" w:rsidRPr="00C9307C">
        <w:rPr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>: в соответствии с действующим законодательством РФ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Default="00C44FAF" w:rsidP="00C9307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4" w:name="_Hlk198541964"/>
    </w:p>
    <w:p w:rsidR="00642B4D" w:rsidRDefault="00642B4D" w:rsidP="00C9307C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-294" w:tblpY="9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567"/>
        <w:gridCol w:w="851"/>
        <w:gridCol w:w="567"/>
        <w:gridCol w:w="1701"/>
        <w:gridCol w:w="3572"/>
        <w:gridCol w:w="1701"/>
      </w:tblGrid>
      <w:tr w:rsidR="00642B4D" w:rsidRPr="00642B4D" w:rsidTr="009E7266"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Предмет контракта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характеристик Товара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показателей характеристик товара, ед.изм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значению показателя</w:t>
            </w:r>
          </w:p>
        </w:tc>
      </w:tr>
      <w:tr w:rsidR="00642B4D" w:rsidRPr="00642B4D" w:rsidTr="009E7266">
        <w:tc>
          <w:tcPr>
            <w:tcW w:w="1536" w:type="dxa"/>
            <w:vMerge w:val="restart"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sz w:val="22"/>
                <w:szCs w:val="22"/>
                <w:lang w:eastAsia="en-US"/>
              </w:rPr>
              <w:t>Изделия абразивные</w:t>
            </w:r>
          </w:p>
        </w:tc>
        <w:tc>
          <w:tcPr>
            <w:tcW w:w="567" w:type="dxa"/>
            <w:vMerge w:val="restart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</w:tcPr>
          <w:p w:rsidR="00642B4D" w:rsidRPr="008737A3" w:rsidRDefault="00FB004A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vMerge w:val="restart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Круг зачистной корал</w:t>
            </w:r>
            <w:r w:rsidR="001844D0" w:rsidRPr="008737A3">
              <w:rPr>
                <w:sz w:val="22"/>
                <w:szCs w:val="22"/>
              </w:rPr>
              <w:t>л</w:t>
            </w:r>
            <w:r w:rsidRPr="008737A3">
              <w:rPr>
                <w:sz w:val="22"/>
                <w:szCs w:val="22"/>
              </w:rPr>
              <w:t xml:space="preserve">овый (высокая жёсткость)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125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Посадочный 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22,2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Толщина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14 мм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вогнутый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Применимость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УШМ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Жёсткость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высокая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642B4D" w:rsidRPr="008737A3" w:rsidRDefault="00FB004A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vMerge w:val="restart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Круг зачистной корал</w:t>
            </w:r>
            <w:r w:rsidR="001844D0" w:rsidRPr="008737A3">
              <w:rPr>
                <w:sz w:val="22"/>
                <w:szCs w:val="22"/>
              </w:rPr>
              <w:t>л</w:t>
            </w:r>
            <w:r w:rsidRPr="008737A3">
              <w:rPr>
                <w:sz w:val="22"/>
                <w:szCs w:val="22"/>
              </w:rPr>
              <w:t xml:space="preserve">овый (средняя </w:t>
            </w:r>
            <w:bookmarkStart w:id="5" w:name="_GoBack"/>
            <w:bookmarkEnd w:id="5"/>
            <w:r w:rsidRPr="008737A3">
              <w:rPr>
                <w:sz w:val="22"/>
                <w:szCs w:val="22"/>
              </w:rPr>
              <w:t xml:space="preserve">жёсткость)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125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Посадочный 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22,2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Толщина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14 мм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вогнутый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Применимость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УШМ</w:t>
            </w:r>
          </w:p>
        </w:tc>
      </w:tr>
      <w:tr w:rsidR="00642B4D" w:rsidRPr="00642B4D" w:rsidTr="009E7266"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Жёсткость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средняя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Merge w:val="restart"/>
          </w:tcPr>
          <w:p w:rsidR="00642B4D" w:rsidRPr="008737A3" w:rsidRDefault="00FB004A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vMerge w:val="restart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Круг зачистной корал</w:t>
            </w:r>
            <w:r w:rsidR="001844D0" w:rsidRPr="008737A3">
              <w:rPr>
                <w:sz w:val="22"/>
                <w:szCs w:val="22"/>
              </w:rPr>
              <w:t>л</w:t>
            </w:r>
            <w:r w:rsidRPr="008737A3">
              <w:rPr>
                <w:sz w:val="22"/>
                <w:szCs w:val="22"/>
              </w:rPr>
              <w:t xml:space="preserve">овый (низкая жёсткость)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125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Посадочный 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22,2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Толщина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14 мм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вогнутый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Применимость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УШМ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Жёсткость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низкая</w:t>
            </w:r>
          </w:p>
        </w:tc>
      </w:tr>
      <w:tr w:rsidR="00642B4D" w:rsidRPr="00642B4D" w:rsidTr="009E7266">
        <w:trPr>
          <w:trHeight w:val="348"/>
        </w:trPr>
        <w:tc>
          <w:tcPr>
            <w:tcW w:w="1536" w:type="dxa"/>
            <w:vMerge/>
            <w:shd w:val="clear" w:color="auto" w:fill="auto"/>
            <w:textDirection w:val="btLr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8737A3">
              <w:rPr>
                <w:sz w:val="22"/>
                <w:szCs w:val="22"/>
                <w:shd w:val="clear" w:color="auto" w:fill="FFFFFF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4D" w:rsidRPr="008737A3" w:rsidRDefault="00642B4D" w:rsidP="009E726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7F68CC" w:rsidRPr="007F68CC" w:rsidRDefault="007F68CC" w:rsidP="009E7266">
      <w:pPr>
        <w:ind w:left="-284"/>
        <w:jc w:val="both"/>
        <w:rPr>
          <w:bCs/>
          <w:sz w:val="22"/>
          <w:szCs w:val="22"/>
        </w:rPr>
      </w:pPr>
      <w:r w:rsidRPr="007F68CC">
        <w:rPr>
          <w:bCs/>
          <w:sz w:val="22"/>
          <w:szCs w:val="22"/>
        </w:rP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7F68CC" w:rsidRPr="007F68CC" w:rsidRDefault="007F68CC" w:rsidP="009E7266">
      <w:pPr>
        <w:ind w:left="-284"/>
        <w:jc w:val="both"/>
        <w:rPr>
          <w:b/>
          <w:bCs/>
          <w:sz w:val="22"/>
          <w:szCs w:val="22"/>
        </w:rPr>
      </w:pPr>
    </w:p>
    <w:p w:rsidR="007F68CC" w:rsidRPr="007F68CC" w:rsidRDefault="007F68CC" w:rsidP="009E7266">
      <w:pPr>
        <w:ind w:left="-284"/>
        <w:jc w:val="both"/>
        <w:rPr>
          <w:b/>
          <w:bCs/>
          <w:sz w:val="22"/>
          <w:szCs w:val="22"/>
        </w:rPr>
      </w:pPr>
      <w:r w:rsidRPr="007F68CC">
        <w:rPr>
          <w:b/>
          <w:bCs/>
          <w:sz w:val="22"/>
          <w:szCs w:val="22"/>
        </w:rPr>
        <w:t>Обоснование невозможности соблюдения запрета: В соответствии с пп. «и» п.5 Постановления Правительства РФ от 23.12.2024 года № 1875.</w:t>
      </w:r>
    </w:p>
    <w:p w:rsidR="00642B4D" w:rsidRDefault="00642B4D" w:rsidP="009E7266">
      <w:pPr>
        <w:ind w:left="-284"/>
        <w:jc w:val="both"/>
        <w:rPr>
          <w:b/>
          <w:bCs/>
          <w:sz w:val="22"/>
          <w:szCs w:val="22"/>
        </w:rPr>
      </w:pPr>
    </w:p>
    <w:p w:rsidR="00642B4D" w:rsidRPr="00C9307C" w:rsidRDefault="00642B4D" w:rsidP="001844D0">
      <w:pPr>
        <w:rPr>
          <w:b/>
          <w:bCs/>
          <w:sz w:val="22"/>
          <w:szCs w:val="22"/>
        </w:rPr>
      </w:pPr>
    </w:p>
    <w:bookmarkEnd w:id="4"/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="008A2778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</w:t>
      </w:r>
      <w:r w:rsidR="008A2778">
        <w:rPr>
          <w:bCs/>
          <w:sz w:val="22"/>
          <w:szCs w:val="22"/>
        </w:rPr>
        <w:t xml:space="preserve">                      </w:t>
      </w:r>
      <w:r w:rsidRPr="00AE0F5D">
        <w:rPr>
          <w:bCs/>
          <w:sz w:val="22"/>
          <w:szCs w:val="22"/>
        </w:rPr>
        <w:t xml:space="preserve">м.п.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1844D0" w:rsidRDefault="001844D0" w:rsidP="000C2384">
      <w:pPr>
        <w:rPr>
          <w:bCs/>
          <w:sz w:val="22"/>
          <w:szCs w:val="22"/>
        </w:rPr>
      </w:pPr>
    </w:p>
    <w:p w:rsidR="008737A3" w:rsidRPr="00AE0F5D" w:rsidRDefault="008737A3" w:rsidP="000C2384">
      <w:pPr>
        <w:rPr>
          <w:bCs/>
          <w:sz w:val="22"/>
          <w:szCs w:val="22"/>
        </w:rPr>
        <w:sectPr w:rsidR="008737A3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B705E" w:rsidRDefault="00AB705E" w:rsidP="00D04996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1844D0" w:rsidRDefault="00F357EF" w:rsidP="001844D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1844D0" w:rsidRDefault="001844D0" w:rsidP="001844D0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9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3289"/>
        <w:gridCol w:w="709"/>
        <w:gridCol w:w="567"/>
        <w:gridCol w:w="1843"/>
        <w:gridCol w:w="1984"/>
      </w:tblGrid>
      <w:tr w:rsidR="00B20C86" w:rsidRPr="008737A3" w:rsidTr="00F828B9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Предмет контракта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 за ед. изм.</w:t>
            </w:r>
          </w:p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 НДС (руб.)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Всего </w:t>
            </w:r>
          </w:p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 НДС (руб.)</w:t>
            </w:r>
          </w:p>
        </w:tc>
      </w:tr>
      <w:tr w:rsidR="00B20C86" w:rsidRPr="008737A3" w:rsidTr="00F828B9">
        <w:trPr>
          <w:trHeight w:val="418"/>
        </w:trPr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sz w:val="22"/>
                <w:szCs w:val="22"/>
                <w:lang w:eastAsia="en-US"/>
              </w:rPr>
              <w:t>Изделия абразивные</w:t>
            </w:r>
          </w:p>
        </w:tc>
        <w:tc>
          <w:tcPr>
            <w:tcW w:w="567" w:type="dxa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1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 xml:space="preserve">Круг зачистной коралловый (высокая жёсткость)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0C86" w:rsidRPr="008737A3" w:rsidRDefault="009E726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B20C86" w:rsidRPr="008737A3" w:rsidTr="00F828B9">
        <w:trPr>
          <w:trHeight w:val="512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 xml:space="preserve">Круг зачистной коралловый (средняя жёсткость)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0C86" w:rsidRPr="008737A3" w:rsidRDefault="009E726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B20C86" w:rsidRPr="008737A3" w:rsidTr="00F828B9">
        <w:trPr>
          <w:trHeight w:val="508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3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 xml:space="preserve">Круг зачистной коралловый (низкая жёсткость)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0C86" w:rsidRPr="008737A3" w:rsidRDefault="009E726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20C86" w:rsidRPr="008737A3" w:rsidRDefault="00B20C86" w:rsidP="00B20C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B20C86" w:rsidRDefault="00B20C86" w:rsidP="006F1BFD">
      <w:pPr>
        <w:jc w:val="both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F828B9" w:rsidRDefault="00F828B9" w:rsidP="006E7AFC">
      <w:pPr>
        <w:rPr>
          <w:bCs/>
          <w:sz w:val="22"/>
          <w:szCs w:val="22"/>
        </w:rPr>
      </w:pPr>
    </w:p>
    <w:p w:rsidR="00D04996" w:rsidRDefault="00D04996" w:rsidP="006E7AFC">
      <w:pPr>
        <w:rPr>
          <w:bCs/>
          <w:sz w:val="22"/>
          <w:szCs w:val="22"/>
        </w:rPr>
      </w:pPr>
    </w:p>
    <w:p w:rsidR="00F828B9" w:rsidRDefault="00F828B9" w:rsidP="006E7AFC">
      <w:pPr>
        <w:rPr>
          <w:bCs/>
          <w:sz w:val="22"/>
          <w:szCs w:val="22"/>
        </w:rPr>
      </w:pPr>
    </w:p>
    <w:p w:rsidR="002B1B7F" w:rsidRDefault="002B1B7F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A3" w:rsidRDefault="008737A3" w:rsidP="003A1257">
      <w:r>
        <w:separator/>
      </w:r>
    </w:p>
  </w:endnote>
  <w:endnote w:type="continuationSeparator" w:id="0">
    <w:p w:rsidR="008737A3" w:rsidRDefault="008737A3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A3" w:rsidRDefault="008737A3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FB004A">
      <w:rPr>
        <w:rFonts w:ascii="Liberation Serif" w:hAnsi="Liberation Serif"/>
        <w:noProof/>
      </w:rPr>
      <w:t>8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A3" w:rsidRDefault="008737A3" w:rsidP="003A1257">
      <w:r>
        <w:separator/>
      </w:r>
    </w:p>
  </w:footnote>
  <w:footnote w:type="continuationSeparator" w:id="0">
    <w:p w:rsidR="008737A3" w:rsidRDefault="008737A3" w:rsidP="003A1257">
      <w:r>
        <w:continuationSeparator/>
      </w:r>
    </w:p>
  </w:footnote>
  <w:footnote w:id="1">
    <w:p w:rsidR="008737A3" w:rsidRDefault="008737A3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8737A3" w:rsidRDefault="008737A3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8737A3" w:rsidRDefault="008737A3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44D0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1A1A"/>
    <w:rsid w:val="002A48E3"/>
    <w:rsid w:val="002B1B7F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56318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154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12D7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2B4D"/>
    <w:rsid w:val="00643831"/>
    <w:rsid w:val="00647F13"/>
    <w:rsid w:val="006528AA"/>
    <w:rsid w:val="0065558A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7F68C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737A3"/>
    <w:rsid w:val="008801BB"/>
    <w:rsid w:val="00880BC7"/>
    <w:rsid w:val="0088585F"/>
    <w:rsid w:val="00885FA7"/>
    <w:rsid w:val="00892CF9"/>
    <w:rsid w:val="008A2778"/>
    <w:rsid w:val="008A33D9"/>
    <w:rsid w:val="008A5A66"/>
    <w:rsid w:val="008A5DA6"/>
    <w:rsid w:val="008A684D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266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0C86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9307C"/>
    <w:rsid w:val="00CC3800"/>
    <w:rsid w:val="00CC5346"/>
    <w:rsid w:val="00CD10CE"/>
    <w:rsid w:val="00CD5902"/>
    <w:rsid w:val="00D04996"/>
    <w:rsid w:val="00D22CAC"/>
    <w:rsid w:val="00D268DB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2E1F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28B9"/>
    <w:rsid w:val="00F84E4F"/>
    <w:rsid w:val="00F953B3"/>
    <w:rsid w:val="00F95818"/>
    <w:rsid w:val="00FA58C7"/>
    <w:rsid w:val="00FB004A"/>
    <w:rsid w:val="00FB6438"/>
    <w:rsid w:val="00FB7DB4"/>
    <w:rsid w:val="00FC68C7"/>
    <w:rsid w:val="00FD31D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B55B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86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A3E8-A9B8-4D4D-A254-D9A8EBBF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15</Pages>
  <Words>5336</Words>
  <Characters>42734</Characters>
  <Application>Microsoft Office Word</Application>
  <DocSecurity>0</DocSecurity>
  <Lines>356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186</cp:revision>
  <cp:lastPrinted>2018-10-24T12:25:00Z</cp:lastPrinted>
  <dcterms:created xsi:type="dcterms:W3CDTF">2024-03-06T07:03:00Z</dcterms:created>
  <dcterms:modified xsi:type="dcterms:W3CDTF">2026-06-15T07:12:00Z</dcterms:modified>
</cp:coreProperties>
</file>