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5319E">
      <w:pPr>
        <w:pStyle w:val="6"/>
        <w:widowControl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ДОГОВОР № </w:t>
      </w:r>
      <w:r>
        <w:rPr>
          <w:b/>
          <w:color w:val="29303F"/>
          <w:sz w:val="24"/>
          <w:szCs w:val="24"/>
          <w:shd w:val="clear" w:color="auto" w:fill="FFFFFF"/>
        </w:rPr>
        <w:t>___________________</w:t>
      </w:r>
    </w:p>
    <w:p w14:paraId="11F187F7">
      <w:pPr>
        <w:pStyle w:val="6"/>
        <w:widowControl w:val="0"/>
        <w:jc w:val="center"/>
        <w:rPr>
          <w:b/>
          <w:color w:val="000000"/>
          <w:sz w:val="24"/>
          <w:szCs w:val="24"/>
        </w:rPr>
      </w:pPr>
    </w:p>
    <w:p w14:paraId="323909DD">
      <w:pPr>
        <w:pStyle w:val="6"/>
        <w:widowControl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 ПРЕДОСТАВЛЕНИИ ТЕЛЕМАТИЧЕСКИХ УСЛУГ СВЯЗИ</w:t>
      </w:r>
    </w:p>
    <w:p w14:paraId="552123EA">
      <w:pPr>
        <w:pStyle w:val="6"/>
        <w:widowControl w:val="0"/>
        <w:ind w:left="60"/>
        <w:rPr>
          <w:color w:val="000000"/>
          <w:sz w:val="24"/>
          <w:szCs w:val="24"/>
        </w:rPr>
      </w:pPr>
    </w:p>
    <w:p w14:paraId="25DD553D">
      <w:pPr>
        <w:pStyle w:val="6"/>
        <w:widowControl w:val="0"/>
        <w:ind w:left="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Владивосток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>
        <w:rPr>
          <w:color w:val="000000"/>
          <w:sz w:val="24"/>
          <w:szCs w:val="24"/>
        </w:rPr>
        <w:t>«__» ________ 2026 г.</w:t>
      </w:r>
    </w:p>
    <w:p w14:paraId="716D3044">
      <w:pPr>
        <w:pStyle w:val="6"/>
        <w:widowControl w:val="0"/>
        <w:ind w:left="60"/>
        <w:rPr>
          <w:color w:val="000000"/>
          <w:sz w:val="18"/>
        </w:rPr>
      </w:pPr>
    </w:p>
    <w:p w14:paraId="3752E75C">
      <w:pPr>
        <w:spacing w:before="120"/>
        <w:jc w:val="both"/>
        <w:rPr>
          <w:color w:val="000000"/>
        </w:rPr>
      </w:pPr>
      <w:r>
        <w:rPr>
          <w:b/>
        </w:rPr>
        <w:t>______________________________________,</w:t>
      </w:r>
      <w:r>
        <w:t xml:space="preserve"> </w:t>
      </w:r>
      <w:r>
        <w:rPr>
          <w:color w:val="000000"/>
        </w:rPr>
        <w:t xml:space="preserve"> именуемое далее «Оператор», в лице ___________________________________, действующий на основании ___________________________________________, с одной стороны, и </w:t>
      </w:r>
      <w:r>
        <w:rPr>
          <w:b/>
          <w:color w:val="000000"/>
        </w:rPr>
        <w:t>Дальневосточное межрегиональное территориальное управление воздушного транспорта Федерального агентства воздушного транспорта (Дальневосточное МТУ Росавиации)</w:t>
      </w:r>
      <w:r>
        <w:t xml:space="preserve">, </w:t>
      </w:r>
      <w:r>
        <w:rPr>
          <w:color w:val="000000"/>
        </w:rPr>
        <w:t xml:space="preserve">именуемое далее «Абонент», </w:t>
      </w:r>
      <w:r>
        <w:t>в лице и.о. начальника управления Паращенко Екатерины Александровны, действующей на основании Приказа об исполнении обязанностей от 15.07.2026 № 875/к и Положения об управлении от 21.06.2012 № 376</w:t>
      </w:r>
      <w:r>
        <w:rPr>
          <w:color w:val="000000"/>
        </w:rPr>
        <w:t xml:space="preserve">, с другой стороны, а совместно именуемые «Стороны», на основании пункта 4 части 1 статьи 93 Федерального закона № 44-ФЗ «О контрактной системе в сфере закупок товаров, работ, услуг для обеспечения государственных и муниципальных нужд» (далее Федеральный закон № 44-ФЗ) заключили настоящий Договор  об оказании телематических услуг связи (далее – Договор) о нижеследующем: </w:t>
      </w:r>
    </w:p>
    <w:p w14:paraId="5D488F3B">
      <w:pPr>
        <w:spacing w:before="120"/>
        <w:jc w:val="center"/>
        <w:rPr>
          <w:b/>
          <w:color w:val="000000"/>
        </w:rPr>
      </w:pPr>
    </w:p>
    <w:p w14:paraId="701E015B">
      <w:pPr>
        <w:numPr>
          <w:ilvl w:val="0"/>
          <w:numId w:val="1"/>
        </w:numPr>
        <w:spacing w:before="120"/>
        <w:jc w:val="center"/>
        <w:rPr>
          <w:b/>
          <w:color w:val="000000"/>
        </w:rPr>
      </w:pPr>
      <w:r>
        <w:rPr>
          <w:b/>
          <w:color w:val="000000"/>
        </w:rPr>
        <w:t>ПРЕДМЕТ ДОГОВОРА</w:t>
      </w:r>
    </w:p>
    <w:p w14:paraId="67C39B38">
      <w:pPr>
        <w:spacing w:before="120"/>
        <w:jc w:val="both"/>
        <w:rPr>
          <w:b/>
          <w:color w:val="000000"/>
        </w:rPr>
      </w:pPr>
      <w:r>
        <w:rPr>
          <w:color w:val="000000"/>
        </w:rPr>
        <w:t>1.1. Предмет Договора: «</w:t>
      </w:r>
      <w:r>
        <w:rPr>
          <w:rStyle w:val="4"/>
          <w:b w:val="0"/>
          <w:shd w:val="clear" w:color="auto" w:fill="FFFFFF"/>
        </w:rPr>
        <w:t>Оказание телематических услуг связи (предоставление доступа к сети Интернет)».</w:t>
      </w:r>
    </w:p>
    <w:p w14:paraId="31575325">
      <w:pPr>
        <w:pStyle w:val="6"/>
        <w:widowControl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 Оператор предоставляет Абоненту услуги, указанные в пункте 1.1. Договора согласно тарифа, указанного в приложении № 1 Договора</w:t>
      </w:r>
      <w:r>
        <w:rPr>
          <w:sz w:val="24"/>
          <w:szCs w:val="24"/>
        </w:rPr>
        <w:t>, а Абонент</w:t>
      </w:r>
      <w:r>
        <w:rPr>
          <w:color w:val="000000"/>
          <w:sz w:val="24"/>
          <w:szCs w:val="24"/>
        </w:rPr>
        <w:t xml:space="preserve"> принимает и оплачивает оказанные услуги. </w:t>
      </w:r>
    </w:p>
    <w:p w14:paraId="653E4B89">
      <w:pPr>
        <w:pStyle w:val="6"/>
        <w:widowControl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1.3. Идентификационный код закупки: </w:t>
      </w:r>
      <w:r>
        <w:rPr>
          <w:color w:val="000000"/>
          <w:sz w:val="24"/>
          <w:szCs w:val="24"/>
          <w:shd w:val="clear" w:color="auto" w:fill="FAFAFA"/>
        </w:rPr>
        <w:t>261272116125527210100100140000000244.</w:t>
      </w:r>
    </w:p>
    <w:p w14:paraId="4BB84F19">
      <w:pPr>
        <w:pStyle w:val="6"/>
        <w:widowControl w:val="0"/>
        <w:jc w:val="both"/>
        <w:rPr>
          <w:color w:val="000000"/>
          <w:sz w:val="24"/>
          <w:szCs w:val="24"/>
        </w:rPr>
      </w:pPr>
    </w:p>
    <w:p w14:paraId="3FB50908">
      <w:pPr>
        <w:jc w:val="center"/>
        <w:rPr>
          <w:bCs/>
          <w:spacing w:val="-1"/>
        </w:rPr>
      </w:pPr>
      <w:r>
        <w:rPr>
          <w:b/>
          <w:bCs/>
          <w:kern w:val="2"/>
        </w:rPr>
        <w:t>2. ПРАВА И ОБЯЗАННОСТИ СТОРОН</w:t>
      </w:r>
    </w:p>
    <w:p w14:paraId="2565C704">
      <w:pPr>
        <w:jc w:val="both"/>
        <w:rPr>
          <w:bCs/>
          <w:spacing w:val="-1"/>
        </w:rPr>
      </w:pPr>
      <w:r>
        <w:rPr>
          <w:color w:val="000000"/>
        </w:rPr>
        <w:t>2.1. Абонент имеет право:</w:t>
      </w:r>
    </w:p>
    <w:p w14:paraId="24F7B904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ind w:right="-285"/>
        <w:jc w:val="both"/>
        <w:rPr>
          <w:bCs/>
          <w:kern w:val="2"/>
        </w:rPr>
      </w:pPr>
      <w:r>
        <w:rPr>
          <w:color w:val="000000"/>
        </w:rPr>
        <w:t xml:space="preserve">2.1.1. </w:t>
      </w:r>
      <w:r>
        <w:rPr>
          <w:bCs/>
        </w:rPr>
        <w:t>Т</w:t>
      </w:r>
      <w:r>
        <w:t xml:space="preserve">ребовать от Оператора надлежащего выполнения обязательств в соответствии с настоящим договором.  </w:t>
      </w:r>
    </w:p>
    <w:p w14:paraId="21954E94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ind w:right="-285"/>
        <w:jc w:val="both"/>
        <w:rPr>
          <w:rFonts w:eastAsia="Calibri"/>
          <w:lang w:eastAsia="en-US"/>
        </w:rPr>
      </w:pPr>
      <w:r>
        <w:rPr>
          <w:color w:val="000000"/>
        </w:rPr>
        <w:t>2.1.2. Требовать от Оператора предоставления надлежаще оформленных документов:</w:t>
      </w:r>
      <w:r>
        <w:rPr>
          <w:bCs/>
        </w:rPr>
        <w:t xml:space="preserve"> счет (счет-фактуру)</w:t>
      </w:r>
      <w:r>
        <w:rPr>
          <w:color w:val="000000"/>
        </w:rPr>
        <w:t xml:space="preserve">, акт оказанных услуг подтверждающих исполнение принятых им обязательств, </w:t>
      </w:r>
      <w:r>
        <w:rPr>
          <w:bCs/>
        </w:rPr>
        <w:t>оформленные ненадлежащим образом документы к оплате не принимаются.</w:t>
      </w:r>
    </w:p>
    <w:p w14:paraId="1544DE53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ind w:right="-285"/>
        <w:jc w:val="both"/>
        <w:rPr>
          <w:color w:val="000000"/>
        </w:rPr>
      </w:pPr>
      <w:r>
        <w:rPr>
          <w:rFonts w:eastAsia="Calibri"/>
          <w:lang w:eastAsia="en-US"/>
        </w:rPr>
        <w:t>2.1.3. При обнаружении недостатков оказанной услуги, Стороны составляют акт об обнаруженных недостатках, с указанием срока устранения.</w:t>
      </w:r>
    </w:p>
    <w:p w14:paraId="130B185B">
      <w:pPr>
        <w:pStyle w:val="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2.1.4. Требовать возмещения неустойки и (или) убытков, причиненных по вине Оператора.</w:t>
      </w:r>
    </w:p>
    <w:p w14:paraId="4DFE2B74">
      <w:pPr>
        <w:pStyle w:val="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2.1.5. Привлекать экспертов, экспертные организации для проверки соответствия качества оказываемых услуг требованиям, установленным договором.</w:t>
      </w:r>
    </w:p>
    <w:p w14:paraId="4A50087A">
      <w:pPr>
        <w:pStyle w:val="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2.1.6. Требовать проведения взаимосверки по оказанным услугам. </w:t>
      </w:r>
    </w:p>
    <w:p w14:paraId="3DC8236E">
      <w:pPr>
        <w:pStyle w:val="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2.2. Абонент обязан:</w:t>
      </w:r>
    </w:p>
    <w:p w14:paraId="6483554A">
      <w:pPr>
        <w:widowControl w:val="0"/>
        <w:shd w:val="clear" w:color="auto" w:fill="FFFFFF"/>
        <w:tabs>
          <w:tab w:val="left" w:pos="1061"/>
        </w:tabs>
        <w:ind w:right="-285"/>
        <w:jc w:val="both"/>
      </w:pPr>
      <w:r>
        <w:rPr>
          <w:rFonts w:eastAsia="Calibri"/>
          <w:lang w:eastAsia="en-US"/>
        </w:rPr>
        <w:t>2.2.1.</w:t>
      </w:r>
      <w:r>
        <w:t xml:space="preserve"> Производить своевременную оплату оказанных услуг в порядке, предусмотренном настоящим договором.</w:t>
      </w:r>
    </w:p>
    <w:p w14:paraId="5AE6CFA7">
      <w:pPr>
        <w:pStyle w:val="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2.2.2. Обеспечить приемку оказанных услуг по объему и качеству. </w:t>
      </w:r>
    </w:p>
    <w:p w14:paraId="43E06504">
      <w:pPr>
        <w:pStyle w:val="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2.2.3. Своевременно предоставить Оператору информацию, необходимую для исполнения договора, </w:t>
      </w:r>
      <w:r>
        <w:rPr>
          <w:rFonts w:eastAsia="Calibri"/>
          <w:iCs/>
          <w:lang w:eastAsia="en-US"/>
        </w:rPr>
        <w:t>а</w:t>
      </w:r>
      <w:r>
        <w:rPr>
          <w:rFonts w:eastAsia="Calibri"/>
          <w:i/>
          <w:iCs/>
          <w:lang w:eastAsia="en-US"/>
        </w:rPr>
        <w:t xml:space="preserve"> </w:t>
      </w:r>
      <w:r>
        <w:rPr>
          <w:rFonts w:eastAsia="Calibri"/>
          <w:iCs/>
          <w:lang w:eastAsia="en-US"/>
        </w:rPr>
        <w:t>также при необходимости письменную заявку с указанием наименования</w:t>
      </w:r>
      <w:r>
        <w:rPr>
          <w:rFonts w:eastAsia="Calibri"/>
          <w:i/>
          <w:iCs/>
          <w:lang w:eastAsia="en-US"/>
        </w:rPr>
        <w:t xml:space="preserve">, </w:t>
      </w:r>
      <w:r>
        <w:rPr>
          <w:rFonts w:eastAsia="Calibri"/>
          <w:iCs/>
          <w:lang w:eastAsia="en-US"/>
        </w:rPr>
        <w:t>состава и объема услуг</w:t>
      </w:r>
      <w:r>
        <w:rPr>
          <w:rFonts w:eastAsia="Calibri"/>
          <w:lang w:eastAsia="en-US"/>
        </w:rPr>
        <w:t xml:space="preserve">. </w:t>
      </w:r>
    </w:p>
    <w:p w14:paraId="4938C636">
      <w:pPr>
        <w:pStyle w:val="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2.2.4. Выполнять иные обязанности, предусмотренные договором. </w:t>
      </w:r>
    </w:p>
    <w:p w14:paraId="5315B0F5">
      <w:pPr>
        <w:pStyle w:val="7"/>
        <w:jc w:val="both"/>
      </w:pPr>
      <w:r>
        <w:t xml:space="preserve">2.3. Оператор вправе: </w:t>
      </w:r>
    </w:p>
    <w:p w14:paraId="094A4880">
      <w:pPr>
        <w:pStyle w:val="7"/>
        <w:jc w:val="both"/>
      </w:pPr>
      <w:r>
        <w:t xml:space="preserve">2.3.1. Требовать приемки и оплаты услуг в порядке, сроки и на условиях, предусмотренных договором. </w:t>
      </w:r>
    </w:p>
    <w:p w14:paraId="731BD57F">
      <w:pPr>
        <w:widowControl w:val="0"/>
        <w:shd w:val="clear" w:color="auto" w:fill="FFFFFF"/>
        <w:tabs>
          <w:tab w:val="left" w:pos="2549"/>
        </w:tabs>
        <w:autoSpaceDE w:val="0"/>
        <w:autoSpaceDN w:val="0"/>
        <w:adjustRightInd w:val="0"/>
        <w:ind w:right="-285"/>
        <w:jc w:val="both"/>
        <w:rPr>
          <w:bCs/>
        </w:rPr>
      </w:pPr>
      <w:r>
        <w:t>2.3.</w:t>
      </w:r>
      <w:r>
        <w:rPr>
          <w:bCs/>
          <w:kern w:val="2"/>
        </w:rPr>
        <w:t xml:space="preserve">2. </w:t>
      </w:r>
      <w:r>
        <w:rPr>
          <w:bCs/>
        </w:rPr>
        <w:t>Обращаться к Заказчику за организационным содействием в целях проведения мероприятий по улучшению качества оказываемых услуг.</w:t>
      </w:r>
    </w:p>
    <w:p w14:paraId="6269F490">
      <w:pPr>
        <w:widowControl w:val="0"/>
        <w:shd w:val="clear" w:color="auto" w:fill="FFFFFF"/>
        <w:tabs>
          <w:tab w:val="left" w:pos="1061"/>
        </w:tabs>
        <w:ind w:right="-285"/>
        <w:jc w:val="both"/>
      </w:pPr>
      <w:r>
        <w:rPr>
          <w:bCs/>
          <w:kern w:val="2"/>
        </w:rPr>
        <w:t xml:space="preserve">2.3.3. </w:t>
      </w:r>
      <w:r>
        <w:rPr>
          <w:color w:val="000000"/>
        </w:rPr>
        <w:t xml:space="preserve">Осуществлять иные права в соответствии с </w:t>
      </w:r>
      <w:r>
        <w:t>действующим законодательством Российской Федерации.</w:t>
      </w:r>
    </w:p>
    <w:p w14:paraId="64E4681F">
      <w:pPr>
        <w:pStyle w:val="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2.4. Оператор обязан:</w:t>
      </w:r>
    </w:p>
    <w:p w14:paraId="1AE41B96">
      <w:pPr>
        <w:pStyle w:val="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2.4.1. Оказать услуги в сроки, в объемах, предусмотренных договором.</w:t>
      </w:r>
    </w:p>
    <w:p w14:paraId="28C6D22D">
      <w:pPr>
        <w:widowControl w:val="0"/>
        <w:ind w:right="-285"/>
        <w:jc w:val="both"/>
        <w:rPr>
          <w:bCs/>
          <w:kern w:val="2"/>
        </w:rPr>
      </w:pPr>
      <w:r>
        <w:rPr>
          <w:bCs/>
          <w:kern w:val="2"/>
        </w:rPr>
        <w:t>2.4.2.</w:t>
      </w:r>
      <w:r>
        <w:rPr>
          <w:color w:val="000000"/>
        </w:rPr>
        <w:t xml:space="preserve"> Предоставить надлежаще оформленные документы, </w:t>
      </w:r>
      <w:r>
        <w:t>предусмотренные подпунктом 4.1 настоящего договора.</w:t>
      </w:r>
    </w:p>
    <w:p w14:paraId="6854BDF0">
      <w:pPr>
        <w:pStyle w:val="7"/>
        <w:jc w:val="both"/>
        <w:rPr>
          <w:rFonts w:eastAsia="Calibri"/>
          <w:lang w:eastAsia="en-US"/>
        </w:rPr>
      </w:pPr>
      <w:r>
        <w:t>2.4.3.</w:t>
      </w:r>
      <w:r>
        <w:rPr>
          <w:rFonts w:eastAsia="Calibri"/>
          <w:lang w:eastAsia="en-US"/>
        </w:rPr>
        <w:t xml:space="preserve"> По требованию Абонента своими средствами и за свой счет в срок, согласованный с Абонентом, устранить допущенные по своей вине в оказанных услугах недостатки, в (том числе скрытые).</w:t>
      </w:r>
    </w:p>
    <w:p w14:paraId="2DFC2D0E">
      <w:pPr>
        <w:pStyle w:val="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2.4.4. Предоставлять своевременно Абоненту достоверную информацию о ходе исполнения своих обязательств, в том числе о сложностях, возникающих при исполнении договора. </w:t>
      </w:r>
    </w:p>
    <w:p w14:paraId="5A00D042">
      <w:pPr>
        <w:pStyle w:val="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2.4.5. Не предоставлять другим лицам или разглашать иным способом конфиденциальную информацию, полученную в результате исполнения обязательств по договору.</w:t>
      </w:r>
    </w:p>
    <w:p w14:paraId="45998AFA">
      <w:pPr>
        <w:widowControl w:val="0"/>
        <w:shd w:val="clear" w:color="auto" w:fill="FFFFFF"/>
        <w:tabs>
          <w:tab w:val="left" w:pos="-2268"/>
        </w:tabs>
        <w:ind w:left="5"/>
        <w:jc w:val="both"/>
      </w:pPr>
      <w:r>
        <w:rPr>
          <w:rFonts w:eastAsia="Calibri"/>
          <w:lang w:eastAsia="en-US"/>
        </w:rPr>
        <w:t xml:space="preserve">2.4.6. Оператор обязан обеспечивать </w:t>
      </w:r>
      <w:r>
        <w:t>доступ к сети интернет без перерывов в течение 24 (двадцати четырех) часов 7 (семь) дней в неделю, принимать все меры к обеспечению его работоспособности. Оповещать Абонента о проведении ремонтно-настроечных работ в письменном форме или по средствам телефонной связи связанных с закрытием связей или с кратковременными перерывами связей, не менее чем за 2 (двое) суток до начала ремонтно-настроечных работ. Планировать проведение ремонтно-настроечных работ на предоставленных в пользование Абоненту сети в часы их наименьшей загрузки. Фиксировать время начала и окончания простоя в работе сети.</w:t>
      </w:r>
    </w:p>
    <w:p w14:paraId="580A2034">
      <w:pPr>
        <w:pStyle w:val="6"/>
        <w:widowControl w:val="0"/>
        <w:jc w:val="both"/>
        <w:rPr>
          <w:color w:val="000000"/>
          <w:sz w:val="24"/>
          <w:szCs w:val="24"/>
        </w:rPr>
      </w:pPr>
    </w:p>
    <w:p w14:paraId="7EA4FB0A">
      <w:pPr>
        <w:pStyle w:val="6"/>
        <w:widowControl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 УСЛОВИЯ РАСЧЕТА</w:t>
      </w:r>
    </w:p>
    <w:p w14:paraId="611B9072">
      <w:pPr>
        <w:pStyle w:val="5"/>
        <w:spacing w:after="0"/>
        <w:jc w:val="both"/>
        <w:rPr>
          <w:color w:val="000000"/>
        </w:rPr>
      </w:pPr>
      <w:r>
        <w:rPr>
          <w:color w:val="000000"/>
        </w:rPr>
        <w:t xml:space="preserve">3.1. Общая стоимость услуг по Договору составляет: ________ (________) рублей __ копеек, в том числе НДС 22% - _____ (______) рублей __ копеек, в том числе: </w:t>
      </w:r>
    </w:p>
    <w:p w14:paraId="4BEC3E01">
      <w:pPr>
        <w:pStyle w:val="5"/>
        <w:spacing w:after="0"/>
        <w:jc w:val="both"/>
        <w:rPr>
          <w:color w:val="000000"/>
        </w:rPr>
      </w:pPr>
      <w:r>
        <w:rPr>
          <w:color w:val="000000"/>
        </w:rPr>
        <w:t xml:space="preserve">- за оказанные услуги в период с 01.01.2027 по 30.11.2027, на сумму ____ (__) рублей __копеек      - за счет лимитов на 2027 год; </w:t>
      </w:r>
    </w:p>
    <w:p w14:paraId="12E6C65D">
      <w:pPr>
        <w:pStyle w:val="5"/>
        <w:spacing w:after="0"/>
        <w:jc w:val="both"/>
        <w:rPr>
          <w:color w:val="000000"/>
        </w:rPr>
      </w:pPr>
      <w:r>
        <w:rPr>
          <w:color w:val="000000"/>
        </w:rPr>
        <w:t xml:space="preserve">– за оказанные услуги в период с 01.12.2027 по 30.11.2028, на сумму ___ (___) рублей __ копеек     - за счет лимитов на 2028 год; </w:t>
      </w:r>
    </w:p>
    <w:p w14:paraId="4DE78DCC">
      <w:pPr>
        <w:pStyle w:val="5"/>
        <w:spacing w:after="0"/>
        <w:jc w:val="both"/>
        <w:rPr>
          <w:color w:val="000000"/>
        </w:rPr>
      </w:pPr>
      <w:r>
        <w:rPr>
          <w:color w:val="000000"/>
        </w:rPr>
        <w:t>– за оказанные услуги в период с 01.12.2028 по 31.12.2028, на сумму ____ (____) рублей __ копеек – за счет лимитов на 2029 год. Аванс по Договору не предусмотрен.</w:t>
      </w:r>
    </w:p>
    <w:p w14:paraId="71D1B687">
      <w:pPr>
        <w:tabs>
          <w:tab w:val="left" w:pos="0"/>
          <w:tab w:val="left" w:pos="675"/>
        </w:tabs>
        <w:jc w:val="both"/>
      </w:pPr>
      <w:r>
        <w:rPr>
          <w:color w:val="000000"/>
        </w:rPr>
        <w:t xml:space="preserve">3.2. </w:t>
      </w:r>
      <w:r>
        <w:t>Цена Договора является твердой и определяется на весь срок исполнения Договора. При заключении и исполнении контракта изменение его условий не допускается, за исключением случаев, предусмотренных статьей 34 и по Контракту не предусмотрен.</w:t>
      </w:r>
    </w:p>
    <w:p w14:paraId="33F21AA1">
      <w:pPr>
        <w:shd w:val="clear" w:color="auto" w:fill="FFFFFF"/>
        <w:jc w:val="both"/>
      </w:pPr>
      <w:r>
        <w:rPr>
          <w:color w:val="000000"/>
        </w:rPr>
        <w:t xml:space="preserve">3.3. </w:t>
      </w:r>
      <w:r>
        <w:rPr>
          <w:color w:val="000000"/>
          <w:shd w:val="clear" w:color="auto" w:fill="FFFFFF"/>
        </w:rPr>
        <w:t>Оплата по Договору осуществляется по безналичному расчету из средств Федерального бюджета платежным поручением, путем перечисления в течении 7 рабочих дней Абонентом денежных средств в российских рублях на расчетный счет Оператора, указанный в настоящем Договоре.</w:t>
      </w:r>
      <w:r>
        <w:rPr>
          <w:rFonts w:cs="Calibri"/>
          <w:shd w:val="clear" w:color="auto" w:fill="FFFFFF"/>
        </w:rPr>
        <w:t xml:space="preserve"> </w:t>
      </w:r>
      <w:r>
        <w:t xml:space="preserve">Датой оплаты считается дата зачисления денежных средств на расчетный счет Абонента указанный в разделе 8 настоящего Договора. В случае изменения банковских реквизитов Оператор обязан уведомить Абонента в течении 5 рабочих дней с даты указанных изменений. </w:t>
      </w:r>
      <w:r>
        <w:rPr>
          <w:rStyle w:val="8"/>
        </w:rPr>
        <w:t>В случае отсутствия уведомления от Оператора об изменении банковских реквизитов все риски, связанные с непоступлением денежных средств на счёт Оператора, несёт Оператор.</w:t>
      </w:r>
    </w:p>
    <w:p w14:paraId="605FF3C1">
      <w:pPr>
        <w:pStyle w:val="6"/>
        <w:widowControl w:val="0"/>
        <w:jc w:val="both"/>
        <w:rPr>
          <w:color w:val="000000"/>
          <w:sz w:val="24"/>
          <w:szCs w:val="24"/>
        </w:rPr>
      </w:pPr>
    </w:p>
    <w:p w14:paraId="53A1B812">
      <w:pPr>
        <w:pStyle w:val="6"/>
        <w:widowControl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 УСЛОВИЯ ВЫСТАВЛЕНИЯ ДОКУМЕНТОВ НА ОПЛАТУ</w:t>
      </w:r>
    </w:p>
    <w:p w14:paraId="119A352A">
      <w:pPr>
        <w:pStyle w:val="6"/>
        <w:widowControl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4.1. Оператор ежемесячно в течение 5 (Пяти) рабочих дней с момента окончания Расчетного периода (календарного месяца) выставляет Абоненту счет, акт оказанных услуг или УПД, счет-фактуру (при наличии).</w:t>
      </w:r>
    </w:p>
    <w:p w14:paraId="15FE5B86">
      <w:pPr>
        <w:pStyle w:val="6"/>
        <w:widowControl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 Абонент в течении 5 (пяти) рабочих дней с даты выставления Оператором документов, указанных в пункте 4.1. Договора, проводит экспертизу оказанных услуг и по результатам экспертизы осуществляет одно из следующих действий:</w:t>
      </w:r>
    </w:p>
    <w:p w14:paraId="0F9C4BCF">
      <w:pPr>
        <w:pStyle w:val="6"/>
        <w:widowControl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 подписывает акт оказанных услуг;</w:t>
      </w:r>
    </w:p>
    <w:p w14:paraId="2B23CFDB">
      <w:pPr>
        <w:pStyle w:val="6"/>
        <w:widowControl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 направляет в течении 3 (трех) рабочих дней мотивированный отказ от подписания выставленных документов. В случае направления мотивированного отказа Оператор обязана в течении 3 (трех) рабочих дней устранить указанные замечания или дать ответ, по существу.</w:t>
      </w:r>
    </w:p>
    <w:p w14:paraId="16A71AC4">
      <w:pPr>
        <w:pStyle w:val="6"/>
        <w:widowControl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 При наличии технической возможности у обеих сторон документы, указанные в пункте 4.1. Договора подписываются электронно-цифровой подписью. При отсутствии технической возможности указанные документы подписываются Сторонами на бумажном носителе.</w:t>
      </w:r>
    </w:p>
    <w:p w14:paraId="74F0B958">
      <w:pPr>
        <w:pStyle w:val="6"/>
        <w:widowControl w:val="0"/>
        <w:jc w:val="both"/>
        <w:rPr>
          <w:color w:val="000000"/>
          <w:sz w:val="24"/>
          <w:szCs w:val="24"/>
        </w:rPr>
      </w:pPr>
    </w:p>
    <w:p w14:paraId="422396A2">
      <w:pPr>
        <w:autoSpaceDN w:val="0"/>
        <w:ind w:left="357"/>
        <w:jc w:val="center"/>
        <w:rPr>
          <w:b/>
        </w:rPr>
      </w:pPr>
      <w:r>
        <w:rPr>
          <w:b/>
          <w:bCs/>
          <w:kern w:val="2"/>
        </w:rPr>
        <w:t xml:space="preserve">5. </w:t>
      </w:r>
      <w:r>
        <w:rPr>
          <w:b/>
        </w:rPr>
        <w:t>ОТВЕТСТВЕННОСТЬ СТОРОН</w:t>
      </w:r>
    </w:p>
    <w:p w14:paraId="4EF33030">
      <w:pPr>
        <w:jc w:val="both"/>
        <w:rPr>
          <w:bCs/>
        </w:rPr>
      </w:pPr>
      <w:r>
        <w:rPr>
          <w:bCs/>
        </w:rPr>
        <w:t>5.1. За неисполнение или ненадлежащее исполнение принятых на себя обязательств Стороны по Договору несут ответственность в соответствии с действующим законодательством.</w:t>
      </w:r>
    </w:p>
    <w:p w14:paraId="58507CCC">
      <w:pPr>
        <w:jc w:val="both"/>
        <w:rPr>
          <w:bCs/>
        </w:rPr>
      </w:pPr>
      <w:r>
        <w:rPr>
          <w:bCs/>
        </w:rPr>
        <w:t>5.2. Ответственность Абонента:</w:t>
      </w:r>
    </w:p>
    <w:p w14:paraId="29FFD37D">
      <w:pPr>
        <w:jc w:val="both"/>
        <w:rPr>
          <w:bCs/>
        </w:rPr>
      </w:pPr>
      <w:r>
        <w:rPr>
          <w:bCs/>
        </w:rPr>
        <w:t>5.2.1. В случае просрочки исполнения Абонентом обязательств, предусмотренных Договором, а также в иных случаях неисполнения или ненадлежащего исполнения Абонентом договорных обязательств Оператор вправе потребовать уплаты неустоек (штрафов, пеней).</w:t>
      </w:r>
    </w:p>
    <w:p w14:paraId="43810347">
      <w:pPr>
        <w:jc w:val="both"/>
        <w:rPr>
          <w:bCs/>
        </w:rPr>
      </w:pPr>
      <w:r>
        <w:rPr>
          <w:bCs/>
        </w:rPr>
        <w:t>5.2.2. Пени начисляются Абоненту за каждый день просрочки исполнения предусмотренного Договором обязательства начиная со дня, следующего за днем истечения установленного Договором срока исполнения обязательства. Размер пеней устанавливается как 1/300 действующей на дату уплаты пеней ключевой ставки Банка России от суммы, не уплаченной в срок.</w:t>
      </w:r>
    </w:p>
    <w:p w14:paraId="6028B873">
      <w:pPr>
        <w:jc w:val="both"/>
        <w:rPr>
          <w:bCs/>
        </w:rPr>
      </w:pPr>
      <w:r>
        <w:rPr>
          <w:bCs/>
        </w:rPr>
        <w:t>5.2.3. За каждый факт неисполнения Абонентом обязательств, предусмотренных Договором, за исключением просрочки исполнения обязательств, Оператор вправе взыскать с Абонента штраф.</w:t>
      </w:r>
    </w:p>
    <w:p w14:paraId="1F93914F">
      <w:pPr>
        <w:jc w:val="both"/>
        <w:rPr>
          <w:bCs/>
        </w:rPr>
      </w:pPr>
      <w:r>
        <w:rPr>
          <w:bCs/>
        </w:rPr>
        <w:t>Размер штрафа за ненадлежащее исполнение Абонентом обязательств по Договору определяется в соответствии с Правилами, утвержденными Постановлением Правительства РФ от 30.08.2017 № 1042.</w:t>
      </w:r>
    </w:p>
    <w:p w14:paraId="74580A68">
      <w:pPr>
        <w:jc w:val="both"/>
        <w:rPr>
          <w:bCs/>
        </w:rPr>
      </w:pPr>
      <w:r>
        <w:rPr>
          <w:bCs/>
        </w:rPr>
        <w:t>За каждый факт неисполнения обязательств по Договору, за исключением просрочки исполнения обязательств, Абонент уплачивает 1 000 (одну тысячу) рублей 00 копеек.</w:t>
      </w:r>
    </w:p>
    <w:p w14:paraId="74A7ADFD">
      <w:pPr>
        <w:jc w:val="both"/>
        <w:rPr>
          <w:bCs/>
        </w:rPr>
      </w:pPr>
      <w:r>
        <w:rPr>
          <w:bCs/>
        </w:rPr>
        <w:t>5.2.4. Общая сумма начисленных штрафов за ненадлежащее исполнение Оператором обязательств по Договору не может превышать цену Договора.</w:t>
      </w:r>
    </w:p>
    <w:p w14:paraId="1898C327">
      <w:pPr>
        <w:jc w:val="both"/>
        <w:rPr>
          <w:bCs/>
        </w:rPr>
      </w:pPr>
      <w:r>
        <w:rPr>
          <w:bCs/>
        </w:rPr>
        <w:t>5.3. Ответственность Оператора:</w:t>
      </w:r>
    </w:p>
    <w:p w14:paraId="5B70C383">
      <w:pPr>
        <w:jc w:val="both"/>
        <w:rPr>
          <w:bCs/>
        </w:rPr>
      </w:pPr>
      <w:r>
        <w:rPr>
          <w:bCs/>
        </w:rPr>
        <w:t>5.3.1. В случае просрочки исполнения Оператором обязательств, предусмотренных Договором, а также в иных случаях неисполнения или ненадлежащего исполнения Оператором договорных обязательств Абонент направляет Оператору требование об уплате неустоек (штрафов, пеней).</w:t>
      </w:r>
    </w:p>
    <w:p w14:paraId="5654F51A">
      <w:pPr>
        <w:jc w:val="both"/>
        <w:rPr>
          <w:bCs/>
        </w:rPr>
      </w:pPr>
      <w:r>
        <w:rPr>
          <w:bCs/>
        </w:rPr>
        <w:t>5.3.2. Пени начисляются за каждый день просрочки исполнения Оператором обязательства, предусмотренного Договором, в размере 1/300 действующей на дату уплаты пеней ключевой ставки Банка России от цены Договора, уменьшенной на сумму, пропорциональную объему обязательств, предусмотренных Договором и фактически исполненных Оператором.</w:t>
      </w:r>
    </w:p>
    <w:p w14:paraId="48D88F55">
      <w:pPr>
        <w:jc w:val="both"/>
        <w:rPr>
          <w:bCs/>
        </w:rPr>
      </w:pPr>
      <w:r>
        <w:rPr>
          <w:bCs/>
        </w:rPr>
        <w:t>5.3.3. За каждый факт неисполнения или ненадлежащего исполнения Оператором обязательств, предусмотренных Договором, за исключением просрочки исполнения обязательств (в том числе гарантийного обязательства), Оператор обязан уплатить Абоненту штраф.</w:t>
      </w:r>
    </w:p>
    <w:p w14:paraId="2633D4E5">
      <w:pPr>
        <w:jc w:val="both"/>
        <w:rPr>
          <w:bCs/>
        </w:rPr>
      </w:pPr>
      <w:r>
        <w:rPr>
          <w:bCs/>
        </w:rPr>
        <w:t>Размер штрафа за неисполнение или ненадлежащее исполнение Оператором обязательств по Договору определяется в соответствии с Правилами, утвержденными Постановлением Правительства РФ от 30.08.2017 № 1042.</w:t>
      </w:r>
    </w:p>
    <w:p w14:paraId="0C4CF740">
      <w:pPr>
        <w:jc w:val="both"/>
        <w:rPr>
          <w:bCs/>
        </w:rPr>
      </w:pPr>
      <w:r>
        <w:rPr>
          <w:bCs/>
        </w:rPr>
        <w:t>5.3.4. Если не исполнено или исполнено ненадлежащим образом обязательство по Договору, которое имеет стоимостное выражение, размер штрафа составляет 10% цены Договора.</w:t>
      </w:r>
    </w:p>
    <w:p w14:paraId="53C74EEA">
      <w:pPr>
        <w:jc w:val="both"/>
        <w:rPr>
          <w:bCs/>
        </w:rPr>
      </w:pPr>
      <w:r>
        <w:rPr>
          <w:bCs/>
        </w:rPr>
        <w:t>5.3.5. Если не исполнено или исполнено ненадлежащим образом обязательство по Договору, которое не имеет стоимостного выражения, размер штрафа составляет 1 000 (одна тысяча) рублей 00 копеек.</w:t>
      </w:r>
    </w:p>
    <w:p w14:paraId="569D946F">
      <w:pPr>
        <w:jc w:val="both"/>
        <w:rPr>
          <w:bCs/>
        </w:rPr>
      </w:pPr>
      <w:r>
        <w:rPr>
          <w:bCs/>
        </w:rPr>
        <w:t>5.3.6. Общая сумма начисленных штрафов за неисполнение или ненадлежащее исполнение Оператором обязательств по Договору не может превышать цену Договора.</w:t>
      </w:r>
    </w:p>
    <w:p w14:paraId="02E5E1C8">
      <w:pPr>
        <w:jc w:val="both"/>
        <w:rPr>
          <w:bCs/>
        </w:rPr>
      </w:pPr>
      <w:r>
        <w:rPr>
          <w:bCs/>
        </w:rPr>
        <w:t>5.3.7. В случае не оплаты Оператором неустойки (штрафов, пеней), Абонент в праве удержать сумму неустойки из суммы оплаты по Договору.</w:t>
      </w:r>
    </w:p>
    <w:p w14:paraId="640644FF">
      <w:pPr>
        <w:jc w:val="both"/>
        <w:rPr>
          <w:bCs/>
        </w:rPr>
      </w:pPr>
      <w:r>
        <w:rPr>
          <w:bCs/>
        </w:rPr>
        <w:t>5.4. Сторона освобождается от уплаты неустойки (штрафа, 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14D59F4E">
      <w:pPr>
        <w:jc w:val="both"/>
        <w:rPr>
          <w:bCs/>
        </w:rPr>
      </w:pPr>
      <w:r>
        <w:rPr>
          <w:bCs/>
        </w:rPr>
        <w:t>5.5. Уплата неустойки (штрафа, пени) не освобождает Стороны от выполнения возложенных на них обязательств или устранения нарушений, а также от возмещения убытков, причиненных неисполнением или ненадлежащим исполнением обязательств, предусмотренных настоящим Договором.</w:t>
      </w:r>
    </w:p>
    <w:p w14:paraId="22794545">
      <w:pPr>
        <w:jc w:val="both"/>
        <w:rPr>
          <w:bCs/>
        </w:rPr>
      </w:pPr>
      <w:r>
        <w:rPr>
          <w:bCs/>
        </w:rPr>
        <w:t>5.7. Стороны несут ответственность только за неисполнение или ненадлежащее исполнение обязательств, предусмотренных настоящим Договором, прямые доказанные убытки, причиненные одной Стороной другой в ходе исполнения Договора. Косвенные убытки, а также упущенная выгода возмещению не подлежат.</w:t>
      </w:r>
    </w:p>
    <w:p w14:paraId="6E5C8687">
      <w:pPr>
        <w:jc w:val="both"/>
        <w:rPr>
          <w:bCs/>
        </w:rPr>
      </w:pPr>
      <w:r>
        <w:rPr>
          <w:bCs/>
        </w:rPr>
        <w:t>5.8. Сторона, не исполнившая или ненадлежащим образом исполнившая обязательства по Договору, несет ответственность, если не докажет, что надлежащее исполнение оказалось невозможным вследствие действия непреодолимой силы (т.е. чрезвычайных и непредотвратимых при данных условиях обстоятельств), находящейся вне контроля сторон и непосредственно повлиявшей на возможность исполнения обязательств. При чрезвычайных ситуациях природного и техногенного характера Оператор в соответствии с законодательством вправе временно прекращать или ограничивать Абоненту оказание Услуг.</w:t>
      </w:r>
    </w:p>
    <w:p w14:paraId="3B4AA7A9">
      <w:pPr>
        <w:jc w:val="both"/>
        <w:rPr>
          <w:bCs/>
        </w:rPr>
      </w:pPr>
      <w:r>
        <w:rPr>
          <w:bCs/>
        </w:rPr>
        <w:t xml:space="preserve">5.9. При возникновении обстоятельств непреодолимой силы (“форс-мажор”), сторона по Договору, не имеющая возможности выполнять обязанности по Договору, должна незамедлительно направить другой стороне уведомление о случившемся, о причинах случившегося, со ссылкой на документ, выданный соответствующим независимым компетентным органом, подтверждающий наличие и продолжительность действия обстоятельства непреодолимой силы.     </w:t>
      </w:r>
    </w:p>
    <w:p w14:paraId="5FD7F812">
      <w:pPr>
        <w:jc w:val="both"/>
        <w:rPr>
          <w:color w:val="000000"/>
        </w:rPr>
      </w:pPr>
      <w:r>
        <w:rPr>
          <w:bCs/>
        </w:rPr>
        <w:t xml:space="preserve">     </w:t>
      </w:r>
    </w:p>
    <w:p w14:paraId="5E81E885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6. ПОРЯДОК РАЗРЕШЕНИЯ СПОРОВ</w:t>
      </w:r>
    </w:p>
    <w:p w14:paraId="25BC2750">
      <w:pPr>
        <w:jc w:val="both"/>
        <w:rPr>
          <w:color w:val="000000"/>
        </w:rPr>
      </w:pPr>
      <w:r>
        <w:rPr>
          <w:color w:val="000000"/>
        </w:rPr>
        <w:t>6.1. Все споры и разногласия, которые могут возникнуть в связи с выполнением условий договора, будут разрешаться путем переговоров между Сторонами.</w:t>
      </w:r>
    </w:p>
    <w:p w14:paraId="35BC94DB">
      <w:pPr>
        <w:jc w:val="both"/>
        <w:rPr>
          <w:color w:val="000000"/>
        </w:rPr>
      </w:pPr>
      <w:r>
        <w:rPr>
          <w:color w:val="000000"/>
        </w:rPr>
        <w:t>6.2. Возникшие споры рассматриваются Сторонами в течение 15 (пятнадцати) календарных дней с момента поступления письма претензии одной из Сторон другой Стороне, а в случае не достижения в указанный срок согласия между Сторонами, передаются на рассмотрение в Арбитражный суд Приморского края</w:t>
      </w:r>
    </w:p>
    <w:p w14:paraId="0307A2B7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14:paraId="7578E0E7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14:paraId="3BF9BC6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7. СРОК ДЕЙСТВИЯ ДОГОВОРА</w:t>
      </w:r>
    </w:p>
    <w:p w14:paraId="58162365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7.1. Договор вступает в силу с 01.01.2027</w:t>
      </w:r>
      <w:r>
        <w:t xml:space="preserve"> и действует</w:t>
      </w:r>
      <w:r>
        <w:rPr>
          <w:rFonts w:eastAsia="Calibri"/>
          <w:color w:val="000000"/>
          <w:lang w:eastAsia="en-US"/>
        </w:rPr>
        <w:t xml:space="preserve"> по 31.01.2029, а в части оказания услуг с 01.01.2027 по 31.12.2028.</w:t>
      </w:r>
    </w:p>
    <w:p w14:paraId="7D57905B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7.2. </w:t>
      </w:r>
      <w:r>
        <w:t>Изменение условий настоящего Договора не допускается, за исключением случаев, предусмотренных статьями 34 и 95 Федерального закона №44-ФЗ от 05.04.2013 г. Все изменения к Договору допускаются путем подписания Сторонами Дополнительных соглашений, становящихся неотъемлемой частью настоящего Договора.</w:t>
      </w:r>
    </w:p>
    <w:p w14:paraId="42EFAC3D">
      <w:pPr>
        <w:jc w:val="both"/>
        <w:rPr>
          <w:rFonts w:eastAsia="Calibri"/>
          <w:color w:val="000000"/>
          <w:lang w:eastAsia="en-US"/>
        </w:rPr>
      </w:pPr>
    </w:p>
    <w:p w14:paraId="57DA322F">
      <w:pPr>
        <w:pStyle w:val="6"/>
        <w:widowControl w:val="0"/>
        <w:ind w:right="17"/>
        <w:jc w:val="center"/>
        <w:rPr>
          <w:b/>
          <w:color w:val="000000"/>
        </w:rPr>
      </w:pPr>
    </w:p>
    <w:p w14:paraId="6CD3D7A6">
      <w:pPr>
        <w:pStyle w:val="6"/>
        <w:widowControl w:val="0"/>
        <w:ind w:right="1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8. АДРЕСА И РЕКВИЗИТЫ СТОРОН</w:t>
      </w:r>
    </w:p>
    <w:p w14:paraId="65CDBA24">
      <w:pPr>
        <w:pStyle w:val="6"/>
        <w:widowControl w:val="0"/>
        <w:ind w:right="17"/>
        <w:jc w:val="center"/>
        <w:rPr>
          <w:b/>
          <w:color w:val="000000"/>
          <w:sz w:val="24"/>
          <w:szCs w:val="24"/>
        </w:rPr>
      </w:pPr>
    </w:p>
    <w:p w14:paraId="09CB1EB9">
      <w:pPr>
        <w:pStyle w:val="6"/>
        <w:widowControl w:val="0"/>
        <w:ind w:right="17"/>
        <w:jc w:val="center"/>
        <w:rPr>
          <w:b/>
          <w:color w:val="000000"/>
          <w:sz w:val="24"/>
          <w:szCs w:val="24"/>
        </w:rPr>
      </w:pPr>
    </w:p>
    <w:tbl>
      <w:tblPr>
        <w:tblStyle w:val="3"/>
        <w:tblW w:w="1031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5528"/>
      </w:tblGrid>
      <w:tr w14:paraId="38880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2" w:hRule="atLeast"/>
        </w:trPr>
        <w:tc>
          <w:tcPr>
            <w:tcW w:w="4786" w:type="dxa"/>
            <w:tcBorders>
              <w:bottom w:val="nil"/>
            </w:tcBorders>
            <w:noWrap w:val="0"/>
            <w:vAlign w:val="top"/>
          </w:tcPr>
          <w:p w14:paraId="2F72494F">
            <w:pPr>
              <w:pStyle w:val="6"/>
              <w:widowControl w:val="0"/>
              <w:ind w:right="1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ОПЕРАТОР</w:t>
            </w:r>
          </w:p>
          <w:p w14:paraId="43AD65F3">
            <w:pPr>
              <w:pStyle w:val="6"/>
              <w:widowControl w:val="0"/>
              <w:ind w:right="17"/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17B5540D">
            <w:pPr>
              <w:pStyle w:val="6"/>
              <w:widowControl w:val="0"/>
              <w:ind w:right="17"/>
              <w:jc w:val="both"/>
              <w:rPr>
                <w:color w:val="000000"/>
                <w:sz w:val="24"/>
                <w:szCs w:val="24"/>
              </w:rPr>
            </w:pPr>
          </w:p>
          <w:p w14:paraId="572FE574">
            <w:pPr>
              <w:pStyle w:val="6"/>
              <w:widowControl w:val="0"/>
              <w:ind w:right="17"/>
              <w:jc w:val="both"/>
              <w:rPr>
                <w:color w:val="000000"/>
                <w:sz w:val="24"/>
                <w:szCs w:val="24"/>
              </w:rPr>
            </w:pPr>
          </w:p>
          <w:p w14:paraId="5CEBFF38">
            <w:pPr>
              <w:pStyle w:val="6"/>
              <w:widowControl w:val="0"/>
              <w:ind w:right="17"/>
              <w:jc w:val="both"/>
              <w:rPr>
                <w:color w:val="000000"/>
                <w:sz w:val="24"/>
                <w:szCs w:val="24"/>
              </w:rPr>
            </w:pPr>
          </w:p>
          <w:p w14:paraId="4351CD59">
            <w:pPr>
              <w:pStyle w:val="6"/>
              <w:widowControl w:val="0"/>
              <w:ind w:right="17"/>
              <w:jc w:val="both"/>
              <w:rPr>
                <w:color w:val="000000"/>
                <w:sz w:val="24"/>
                <w:szCs w:val="24"/>
              </w:rPr>
            </w:pPr>
          </w:p>
          <w:p w14:paraId="6CDB254E">
            <w:pPr>
              <w:pStyle w:val="6"/>
              <w:widowControl w:val="0"/>
              <w:ind w:right="17"/>
              <w:jc w:val="both"/>
              <w:rPr>
                <w:color w:val="000000"/>
                <w:sz w:val="24"/>
                <w:szCs w:val="24"/>
              </w:rPr>
            </w:pPr>
          </w:p>
          <w:p w14:paraId="26EC4A3A">
            <w:pPr>
              <w:pStyle w:val="6"/>
              <w:widowControl w:val="0"/>
              <w:ind w:right="17"/>
              <w:jc w:val="both"/>
              <w:rPr>
                <w:color w:val="000000"/>
                <w:sz w:val="24"/>
                <w:szCs w:val="24"/>
              </w:rPr>
            </w:pPr>
          </w:p>
          <w:p w14:paraId="0F71957A">
            <w:pPr>
              <w:pStyle w:val="6"/>
              <w:widowControl w:val="0"/>
              <w:ind w:right="17"/>
              <w:jc w:val="both"/>
              <w:rPr>
                <w:color w:val="000000"/>
                <w:sz w:val="24"/>
                <w:szCs w:val="24"/>
              </w:rPr>
            </w:pPr>
          </w:p>
          <w:p w14:paraId="25FC5E03">
            <w:pPr>
              <w:pStyle w:val="6"/>
              <w:widowControl w:val="0"/>
              <w:ind w:right="17"/>
              <w:jc w:val="both"/>
              <w:rPr>
                <w:color w:val="000000"/>
                <w:sz w:val="24"/>
                <w:szCs w:val="24"/>
              </w:rPr>
            </w:pPr>
          </w:p>
          <w:p w14:paraId="075CECE4">
            <w:pPr>
              <w:pStyle w:val="6"/>
              <w:widowControl w:val="0"/>
              <w:ind w:right="17"/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4CA6131C">
            <w:pPr>
              <w:pStyle w:val="6"/>
              <w:widowControl w:val="0"/>
              <w:ind w:right="17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_________________/ _______________/</w:t>
            </w:r>
          </w:p>
        </w:tc>
        <w:tc>
          <w:tcPr>
            <w:tcW w:w="5528" w:type="dxa"/>
            <w:noWrap w:val="0"/>
            <w:vAlign w:val="top"/>
          </w:tcPr>
          <w:p w14:paraId="6DC9F9C5">
            <w:pPr>
              <w:pStyle w:val="6"/>
              <w:widowControl w:val="0"/>
              <w:ind w:right="1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АБОНЕНТ</w:t>
            </w:r>
          </w:p>
          <w:p w14:paraId="49C0EA0E">
            <w:pPr>
              <w:pStyle w:val="6"/>
              <w:widowControl w:val="0"/>
              <w:ind w:right="17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Дальневосточное межрегиональное территориальное управление воздушного транспорта Федерального агентства воздушного транспорта (Дальневосточное МТУ Росавиации)</w:t>
            </w:r>
          </w:p>
          <w:p w14:paraId="7882B4F2">
            <w:pPr>
              <w:pStyle w:val="6"/>
              <w:widowControl w:val="0"/>
              <w:ind w:right="17"/>
              <w:jc w:val="both"/>
              <w:rPr>
                <w:sz w:val="24"/>
                <w:szCs w:val="24"/>
              </w:rPr>
            </w:pPr>
          </w:p>
          <w:p w14:paraId="2B83E972">
            <w:pPr>
              <w:pStyle w:val="6"/>
              <w:widowControl w:val="0"/>
              <w:ind w:right="17"/>
              <w:jc w:val="both"/>
              <w:rPr>
                <w:sz w:val="24"/>
                <w:szCs w:val="24"/>
              </w:rPr>
            </w:pPr>
          </w:p>
          <w:p w14:paraId="06F67A1D">
            <w:pPr>
              <w:pStyle w:val="6"/>
              <w:widowControl w:val="0"/>
              <w:ind w:right="17"/>
              <w:jc w:val="both"/>
              <w:rPr>
                <w:sz w:val="24"/>
                <w:szCs w:val="24"/>
              </w:rPr>
            </w:pPr>
          </w:p>
          <w:p w14:paraId="53F4BBBE">
            <w:pPr>
              <w:pStyle w:val="6"/>
              <w:widowControl w:val="0"/>
              <w:ind w:right="17"/>
              <w:jc w:val="both"/>
              <w:rPr>
                <w:sz w:val="24"/>
                <w:szCs w:val="24"/>
              </w:rPr>
            </w:pPr>
          </w:p>
          <w:p w14:paraId="1C5B670B">
            <w:pPr>
              <w:pStyle w:val="6"/>
              <w:widowControl w:val="0"/>
              <w:ind w:right="17"/>
              <w:jc w:val="both"/>
              <w:rPr>
                <w:sz w:val="24"/>
                <w:szCs w:val="24"/>
              </w:rPr>
            </w:pPr>
          </w:p>
          <w:p w14:paraId="7298000C">
            <w:pPr>
              <w:pStyle w:val="6"/>
              <w:widowControl w:val="0"/>
              <w:ind w:right="17"/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_________________  /____________ /</w:t>
            </w:r>
          </w:p>
          <w:p w14:paraId="250EF725">
            <w:pPr>
              <w:pStyle w:val="6"/>
              <w:widowControl w:val="0"/>
              <w:ind w:right="17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22B9342A">
      <w:pPr>
        <w:pStyle w:val="6"/>
        <w:widowControl w:val="0"/>
        <w:ind w:right="17"/>
        <w:jc w:val="both"/>
      </w:pPr>
    </w:p>
    <w:p w14:paraId="50B5D2C5">
      <w:pPr>
        <w:pStyle w:val="6"/>
        <w:widowControl w:val="0"/>
        <w:ind w:right="17"/>
        <w:jc w:val="both"/>
      </w:pPr>
    </w:p>
    <w:p w14:paraId="30EA9289">
      <w:pPr>
        <w:pStyle w:val="6"/>
        <w:widowControl w:val="0"/>
        <w:ind w:right="17"/>
        <w:jc w:val="both"/>
      </w:pPr>
    </w:p>
    <w:p w14:paraId="59A42A31">
      <w:pPr>
        <w:pStyle w:val="6"/>
        <w:widowControl w:val="0"/>
        <w:ind w:right="17"/>
        <w:jc w:val="both"/>
      </w:pPr>
    </w:p>
    <w:p w14:paraId="522C094D">
      <w:pPr>
        <w:pStyle w:val="6"/>
        <w:widowControl w:val="0"/>
        <w:ind w:right="17"/>
        <w:jc w:val="both"/>
      </w:pPr>
    </w:p>
    <w:p w14:paraId="39CE0816">
      <w:pPr>
        <w:pStyle w:val="6"/>
        <w:widowControl w:val="0"/>
        <w:ind w:right="17"/>
        <w:jc w:val="both"/>
      </w:pPr>
    </w:p>
    <w:p w14:paraId="5454BA07">
      <w:pPr>
        <w:pStyle w:val="6"/>
        <w:widowControl w:val="0"/>
        <w:ind w:right="17"/>
        <w:jc w:val="both"/>
      </w:pPr>
    </w:p>
    <w:p w14:paraId="10EADA79">
      <w:pPr>
        <w:pStyle w:val="6"/>
        <w:widowControl w:val="0"/>
        <w:ind w:right="17"/>
        <w:jc w:val="both"/>
      </w:pPr>
    </w:p>
    <w:p w14:paraId="131F34EC">
      <w:pPr>
        <w:pStyle w:val="6"/>
        <w:widowControl w:val="0"/>
        <w:ind w:right="17"/>
        <w:jc w:val="both"/>
      </w:pPr>
    </w:p>
    <w:p w14:paraId="4EE4206F">
      <w:pPr>
        <w:pStyle w:val="6"/>
        <w:widowControl w:val="0"/>
        <w:ind w:right="17"/>
        <w:jc w:val="both"/>
      </w:pPr>
    </w:p>
    <w:p w14:paraId="5531A864">
      <w:pPr>
        <w:pStyle w:val="6"/>
        <w:widowControl w:val="0"/>
        <w:ind w:right="17"/>
        <w:jc w:val="both"/>
      </w:pPr>
    </w:p>
    <w:p w14:paraId="42B4BFD7">
      <w:pPr>
        <w:pStyle w:val="6"/>
        <w:widowControl w:val="0"/>
        <w:ind w:right="17"/>
        <w:jc w:val="both"/>
      </w:pPr>
    </w:p>
    <w:p w14:paraId="497B757E">
      <w:pPr>
        <w:pStyle w:val="6"/>
        <w:widowControl w:val="0"/>
        <w:ind w:right="17"/>
        <w:jc w:val="both"/>
      </w:pPr>
    </w:p>
    <w:p w14:paraId="52842E9C">
      <w:pPr>
        <w:pStyle w:val="6"/>
        <w:widowControl w:val="0"/>
        <w:ind w:right="17"/>
        <w:jc w:val="both"/>
      </w:pPr>
    </w:p>
    <w:p w14:paraId="5D4C312E">
      <w:pPr>
        <w:pStyle w:val="6"/>
        <w:widowControl w:val="0"/>
        <w:ind w:right="17"/>
        <w:jc w:val="both"/>
      </w:pPr>
    </w:p>
    <w:p w14:paraId="3E9D6C52">
      <w:pPr>
        <w:pStyle w:val="6"/>
        <w:widowControl w:val="0"/>
        <w:ind w:right="17"/>
        <w:jc w:val="both"/>
      </w:pPr>
    </w:p>
    <w:p w14:paraId="6837D9BB">
      <w:pPr>
        <w:pStyle w:val="6"/>
        <w:widowControl w:val="0"/>
        <w:ind w:right="17"/>
        <w:jc w:val="right"/>
        <w:rPr>
          <w:b/>
          <w:sz w:val="24"/>
          <w:szCs w:val="24"/>
        </w:rPr>
      </w:pPr>
    </w:p>
    <w:p w14:paraId="4D46C40F">
      <w:pPr>
        <w:pStyle w:val="6"/>
        <w:widowControl w:val="0"/>
        <w:ind w:right="17"/>
        <w:jc w:val="right"/>
        <w:rPr>
          <w:b/>
          <w:sz w:val="24"/>
          <w:szCs w:val="24"/>
        </w:rPr>
      </w:pPr>
    </w:p>
    <w:p w14:paraId="71259521">
      <w:pPr>
        <w:pStyle w:val="6"/>
        <w:widowControl w:val="0"/>
        <w:ind w:right="1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№1 к договору </w:t>
      </w:r>
    </w:p>
    <w:p w14:paraId="220ACD3F">
      <w:pPr>
        <w:pStyle w:val="6"/>
        <w:widowControl w:val="0"/>
        <w:ind w:right="17"/>
        <w:jc w:val="right"/>
      </w:pPr>
      <w:r>
        <w:rPr>
          <w:b/>
          <w:sz w:val="24"/>
          <w:szCs w:val="24"/>
        </w:rPr>
        <w:t xml:space="preserve">№ </w:t>
      </w:r>
      <w:r>
        <w:rPr>
          <w:b/>
          <w:color w:val="29303F"/>
          <w:sz w:val="24"/>
          <w:szCs w:val="24"/>
          <w:shd w:val="clear" w:color="auto" w:fill="FFFFFF"/>
        </w:rPr>
        <w:t>__________________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от «__» ________________ 2026 г</w:t>
      </w:r>
      <w:r>
        <w:t>.</w:t>
      </w:r>
    </w:p>
    <w:p w14:paraId="4A07FB57">
      <w:pPr>
        <w:pStyle w:val="6"/>
        <w:widowControl w:val="0"/>
        <w:ind w:right="17"/>
        <w:jc w:val="both"/>
      </w:pPr>
    </w:p>
    <w:p w14:paraId="50E97509">
      <w:pPr>
        <w:pStyle w:val="6"/>
        <w:widowControl w:val="0"/>
        <w:ind w:right="1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предоставляемых номеров</w:t>
      </w:r>
    </w:p>
    <w:p w14:paraId="452C8B8D">
      <w:pPr>
        <w:pStyle w:val="6"/>
        <w:widowControl w:val="0"/>
        <w:ind w:right="17"/>
        <w:jc w:val="both"/>
        <w:rPr>
          <w:b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2461"/>
        <w:gridCol w:w="2657"/>
        <w:gridCol w:w="2277"/>
        <w:gridCol w:w="2118"/>
      </w:tblGrid>
      <w:tr w14:paraId="19A31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8" w:type="dxa"/>
            <w:vMerge w:val="restart"/>
            <w:shd w:val="clear" w:color="auto" w:fill="auto"/>
            <w:noWrap w:val="0"/>
            <w:vAlign w:val="top"/>
          </w:tcPr>
          <w:p w14:paraId="5F1AE0D2">
            <w:pPr>
              <w:pStyle w:val="6"/>
              <w:widowControl w:val="0"/>
              <w:ind w:right="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461" w:type="dxa"/>
            <w:shd w:val="clear" w:color="auto" w:fill="auto"/>
            <w:noWrap w:val="0"/>
            <w:vAlign w:val="top"/>
          </w:tcPr>
          <w:p w14:paraId="22FD7225">
            <w:pPr>
              <w:pStyle w:val="6"/>
              <w:widowControl w:val="0"/>
              <w:ind w:right="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Номер телефона</w:t>
            </w:r>
          </w:p>
        </w:tc>
        <w:tc>
          <w:tcPr>
            <w:tcW w:w="2657" w:type="dxa"/>
            <w:shd w:val="clear" w:color="auto" w:fill="auto"/>
            <w:noWrap w:val="0"/>
            <w:vAlign w:val="top"/>
          </w:tcPr>
          <w:p w14:paraId="7290AEDF">
            <w:pPr>
              <w:pStyle w:val="6"/>
              <w:widowControl w:val="0"/>
              <w:ind w:right="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Номер телефона</w:t>
            </w:r>
          </w:p>
        </w:tc>
        <w:tc>
          <w:tcPr>
            <w:tcW w:w="2277" w:type="dxa"/>
            <w:vMerge w:val="restart"/>
            <w:shd w:val="clear" w:color="auto" w:fill="auto"/>
            <w:noWrap w:val="0"/>
            <w:vAlign w:val="top"/>
          </w:tcPr>
          <w:p w14:paraId="75B0A99E">
            <w:pPr>
              <w:pStyle w:val="6"/>
              <w:widowControl w:val="0"/>
              <w:ind w:right="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Тарифный план</w:t>
            </w:r>
          </w:p>
        </w:tc>
        <w:tc>
          <w:tcPr>
            <w:tcW w:w="2118" w:type="dxa"/>
            <w:vMerge w:val="restart"/>
            <w:noWrap w:val="0"/>
            <w:vAlign w:val="top"/>
          </w:tcPr>
          <w:p w14:paraId="1C34A23E">
            <w:pPr>
              <w:pStyle w:val="6"/>
              <w:widowControl w:val="0"/>
              <w:ind w:right="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Цена в мес., руб.</w:t>
            </w:r>
          </w:p>
        </w:tc>
      </w:tr>
      <w:tr w14:paraId="0C17C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8" w:type="dxa"/>
            <w:vMerge w:val="continue"/>
            <w:shd w:val="clear" w:color="auto" w:fill="auto"/>
            <w:noWrap w:val="0"/>
            <w:vAlign w:val="top"/>
          </w:tcPr>
          <w:p w14:paraId="555A9581">
            <w:pPr>
              <w:pStyle w:val="6"/>
              <w:widowControl w:val="0"/>
              <w:ind w:right="1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61" w:type="dxa"/>
            <w:shd w:val="clear" w:color="auto" w:fill="auto"/>
            <w:noWrap w:val="0"/>
            <w:vAlign w:val="top"/>
          </w:tcPr>
          <w:p w14:paraId="1EA5B88D">
            <w:pPr>
              <w:pStyle w:val="6"/>
              <w:widowControl w:val="0"/>
              <w:ind w:right="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(федеральный)</w:t>
            </w:r>
          </w:p>
        </w:tc>
        <w:tc>
          <w:tcPr>
            <w:tcW w:w="2657" w:type="dxa"/>
            <w:shd w:val="clear" w:color="auto" w:fill="auto"/>
            <w:noWrap w:val="0"/>
            <w:vAlign w:val="top"/>
          </w:tcPr>
          <w:p w14:paraId="499F726C">
            <w:pPr>
              <w:pStyle w:val="6"/>
              <w:widowControl w:val="0"/>
              <w:ind w:right="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(городской)</w:t>
            </w:r>
          </w:p>
        </w:tc>
        <w:tc>
          <w:tcPr>
            <w:tcW w:w="2277" w:type="dxa"/>
            <w:vMerge w:val="continue"/>
            <w:shd w:val="clear" w:color="auto" w:fill="auto"/>
            <w:noWrap w:val="0"/>
            <w:vAlign w:val="top"/>
          </w:tcPr>
          <w:p w14:paraId="68DBB963">
            <w:pPr>
              <w:pStyle w:val="6"/>
              <w:widowControl w:val="0"/>
              <w:ind w:right="1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18" w:type="dxa"/>
            <w:vMerge w:val="continue"/>
            <w:noWrap w:val="0"/>
            <w:vAlign w:val="top"/>
          </w:tcPr>
          <w:p w14:paraId="1EA65242">
            <w:pPr>
              <w:pStyle w:val="6"/>
              <w:widowControl w:val="0"/>
              <w:ind w:right="17"/>
              <w:jc w:val="center"/>
              <w:rPr>
                <w:b/>
                <w:sz w:val="24"/>
                <w:szCs w:val="24"/>
              </w:rPr>
            </w:pPr>
          </w:p>
        </w:tc>
      </w:tr>
      <w:tr w14:paraId="6960B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8" w:type="dxa"/>
            <w:shd w:val="clear" w:color="auto" w:fill="auto"/>
            <w:noWrap w:val="0"/>
            <w:vAlign w:val="top"/>
          </w:tcPr>
          <w:p w14:paraId="2E523F7C">
            <w:pPr>
              <w:pStyle w:val="6"/>
              <w:widowControl w:val="0"/>
              <w:ind w:right="1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461" w:type="dxa"/>
            <w:shd w:val="clear" w:color="auto" w:fill="auto"/>
            <w:noWrap w:val="0"/>
            <w:vAlign w:val="top"/>
          </w:tcPr>
          <w:p w14:paraId="44C456B8">
            <w:pPr>
              <w:pStyle w:val="6"/>
              <w:widowControl w:val="0"/>
              <w:ind w:right="17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shd w:val="clear" w:color="auto" w:fill="auto"/>
            <w:noWrap w:val="0"/>
            <w:vAlign w:val="top"/>
          </w:tcPr>
          <w:p w14:paraId="700D1F15">
            <w:pPr>
              <w:pStyle w:val="6"/>
              <w:widowControl w:val="0"/>
              <w:ind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77" w:type="dxa"/>
            <w:shd w:val="clear" w:color="auto" w:fill="auto"/>
            <w:noWrap w:val="0"/>
            <w:vAlign w:val="top"/>
          </w:tcPr>
          <w:p w14:paraId="162A7A7B">
            <w:pPr>
              <w:pStyle w:val="6"/>
              <w:widowControl w:val="0"/>
              <w:ind w:right="17"/>
              <w:jc w:val="center"/>
              <w:rPr>
                <w:sz w:val="24"/>
                <w:szCs w:val="24"/>
              </w:rPr>
            </w:pPr>
          </w:p>
        </w:tc>
        <w:tc>
          <w:tcPr>
            <w:tcW w:w="2118" w:type="dxa"/>
            <w:noWrap w:val="0"/>
            <w:vAlign w:val="top"/>
          </w:tcPr>
          <w:p w14:paraId="2DF09EAA">
            <w:pPr>
              <w:pStyle w:val="6"/>
              <w:widowControl w:val="0"/>
              <w:ind w:right="17"/>
              <w:jc w:val="center"/>
            </w:pPr>
          </w:p>
        </w:tc>
      </w:tr>
    </w:tbl>
    <w:p w14:paraId="4A784C55">
      <w:pPr>
        <w:pStyle w:val="6"/>
        <w:widowControl w:val="0"/>
        <w:ind w:right="17"/>
        <w:jc w:val="both"/>
        <w:rPr>
          <w:b/>
          <w:sz w:val="24"/>
          <w:szCs w:val="24"/>
        </w:rPr>
      </w:pPr>
    </w:p>
    <w:p w14:paraId="579C32D2">
      <w:pPr>
        <w:pStyle w:val="6"/>
        <w:widowControl w:val="0"/>
        <w:ind w:right="17"/>
        <w:jc w:val="both"/>
        <w:rPr>
          <w:b/>
          <w:sz w:val="24"/>
          <w:szCs w:val="24"/>
        </w:rPr>
      </w:pPr>
    </w:p>
    <w:p w14:paraId="4D30AF84">
      <w:pPr>
        <w:pStyle w:val="6"/>
        <w:widowControl w:val="0"/>
        <w:ind w:right="17"/>
        <w:jc w:val="both"/>
        <w:rPr>
          <w:b/>
          <w:sz w:val="24"/>
          <w:szCs w:val="24"/>
        </w:rPr>
      </w:pPr>
    </w:p>
    <w:p w14:paraId="521708DD">
      <w:pPr>
        <w:pStyle w:val="6"/>
        <w:widowControl w:val="0"/>
        <w:ind w:right="1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Оператор                                                                                  Абонент</w:t>
      </w:r>
    </w:p>
    <w:p w14:paraId="467912F7">
      <w:pPr>
        <w:pStyle w:val="6"/>
        <w:widowControl w:val="0"/>
        <w:ind w:right="17"/>
        <w:jc w:val="both"/>
        <w:rPr>
          <w:b/>
          <w:sz w:val="24"/>
          <w:szCs w:val="24"/>
        </w:rPr>
      </w:pPr>
    </w:p>
    <w:p w14:paraId="2A07BF0B">
      <w:pPr>
        <w:pStyle w:val="6"/>
        <w:widowControl w:val="0"/>
        <w:ind w:right="17"/>
        <w:jc w:val="both"/>
        <w:rPr>
          <w:b/>
          <w:sz w:val="24"/>
          <w:szCs w:val="24"/>
        </w:rPr>
      </w:pPr>
    </w:p>
    <w:p w14:paraId="5F5AF064">
      <w:pPr>
        <w:pStyle w:val="6"/>
        <w:widowControl w:val="0"/>
        <w:ind w:right="1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_________________/ ______________/                                    _________________  /__________/                                                                                          </w:t>
      </w:r>
    </w:p>
    <w:p w14:paraId="4A9A1CC4">
      <w:pPr>
        <w:pStyle w:val="6"/>
        <w:widowControl w:val="0"/>
        <w:ind w:right="1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мп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      мп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5335CC06">
      <w:bookmarkStart w:id="0" w:name="_GoBack"/>
      <w:bookmarkEnd w:id="0"/>
    </w:p>
    <w:sectPr>
      <w:pgSz w:w="11907" w:h="16840"/>
      <w:pgMar w:top="567" w:right="709" w:bottom="284" w:left="992" w:header="720" w:footer="720" w:gutter="0"/>
      <w:cols w:equalWidth="0" w:num="1">
        <w:col w:w="1020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8B35FC"/>
    <w:multiLevelType w:val="multilevel"/>
    <w:tmpl w:val="208B35F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57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22"/>
    <w:rPr>
      <w:b/>
      <w:bCs/>
    </w:rPr>
  </w:style>
  <w:style w:type="paragraph" w:styleId="5">
    <w:name w:val="Body Text"/>
    <w:basedOn w:val="1"/>
    <w:qFormat/>
    <w:uiPriority w:val="0"/>
    <w:pPr>
      <w:spacing w:after="120"/>
    </w:pPr>
  </w:style>
  <w:style w:type="paragraph" w:customStyle="1" w:styleId="6">
    <w:name w:val="Îáû÷íûé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7">
    <w:name w:val="Default"/>
    <w:qFormat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8">
    <w:name w:val="futurismarkdown-word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2026-08-19T04:23:26Z</dcterms:created>
  <dc:creator>user</dc:creator>
  <cp:lastModifiedBy>user</cp:lastModifiedBy>
  <dcterms:modified xsi:type="dcterms:W3CDTF">2026-08-19T04:23:54Z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KSOTemplateDocerSaveRecord">
    <vt:lpwstr>eyJoZGlkIjoiNjk2NTVhYzYyYWI1ZGUyOTAzYzgxMWM0MWFiYzc0M2IifQ==</vt:lpwstr>
  </property>
  <property fmtid="{D5CDD505-2E9C-101B-9397-08002B2CF9AE}" pid="4" name="ICV">
    <vt:lpwstr>B9FB6FD9BBE44C85AFDDDC6FA0D53E0D_12</vt:lpwstr>
  </property>
</Properties>
</file>