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bookmarkStart w:id="0" w:name="_GoBack"/>
      <w:bookmarkEnd w:id="0"/>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контракт  №</w:t>
      </w:r>
      <w:r>
        <w:t xml:space="preserve">________________ </w:t>
      </w:r>
    </w:p>
    <w:p w:rsidR="0049554E" w:rsidRDefault="0049554E">
      <w:pPr>
        <w:jc w:val="center"/>
      </w:pPr>
    </w:p>
    <w:p w:rsidR="0049554E" w:rsidRDefault="0049554E">
      <w:pPr>
        <w:jc w:val="center"/>
      </w:pPr>
      <w:r>
        <w:t xml:space="preserve">      г. Хабаровск                                                                                    </w:t>
      </w:r>
      <w:r w:rsidR="00B13C3C">
        <w:t xml:space="preserve">            «___»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013495">
        <w:t>Филиал ВГИК в г. Хабаровске</w:t>
      </w:r>
      <w:r>
        <w:t>) Лоскутниковой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B354D">
        <w:rPr>
          <w:bCs/>
          <w:spacing w:val="-6"/>
        </w:rPr>
        <w:t xml:space="preserve">(Идентификационный код закупки </w:t>
      </w:r>
      <w:r w:rsidR="001B354D" w:rsidRPr="001B354D">
        <w:t>261771703244077170100100010440000244</w:t>
      </w:r>
      <w:r w:rsidRPr="001B354D">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013495" w:rsidRPr="00091FC5">
        <w:rPr>
          <w:rFonts w:eastAsia="Calibri"/>
        </w:rPr>
        <w:t>Поставка  портретов демонстрационных</w:t>
      </w:r>
      <w:r>
        <w:t>.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r>
        <w:rPr>
          <w:lang w:val="ru-RU" w:eastAsia="ru-RU"/>
        </w:rPr>
        <w:t>.</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 xml:space="preserve">2.4. </w:t>
      </w:r>
      <w:r>
        <w:rPr>
          <w:lang w:val="ru-RU" w:eastAsia="ru-RU"/>
        </w:rPr>
        <w:t>Цена Контракта включает в себя: стоимость Товара, расходы, связанные с доставкой, разгрузкой - погрузкой</w:t>
      </w:r>
      <w:r>
        <w:rPr>
          <w:lang w:eastAsia="ru-RU"/>
        </w:rPr>
        <w:t>, сборкой (при необходимости)</w:t>
      </w:r>
      <w:r>
        <w:rPr>
          <w:lang w:val="ru-RU" w:eastAsia="ru-RU"/>
        </w:rPr>
        <w:t>,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lang w:val="ru-RU" w:eastAsia="ru-RU"/>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rPr>
          <w:lang w:val="ru-RU" w:eastAsia="ru-RU"/>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rPr>
          <w:lang w:val="ru-RU" w:eastAsia="ru-RU"/>
        </w:rPr>
      </w:pPr>
      <w:r>
        <w:rPr>
          <w:lang w:val="ru-RU" w:eastAsia="ru-RU"/>
        </w:rPr>
        <w:t>Расчет осуществляется по факту поставки всего Товара.</w:t>
      </w:r>
    </w:p>
    <w:p w:rsidR="0049554E" w:rsidRDefault="0049554E">
      <w:pPr>
        <w:autoSpaceDE w:val="0"/>
        <w:autoSpaceDN w:val="0"/>
        <w:adjustRightInd w:val="0"/>
        <w:ind w:firstLine="709"/>
        <w:jc w:val="both"/>
        <w:rPr>
          <w:lang w:val="ru-RU" w:eastAsia="ru-RU"/>
        </w:rPr>
      </w:pPr>
      <w:r>
        <w:rPr>
          <w:lang w:val="ru-RU" w:eastAsia="ru-RU"/>
        </w:rP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rPr>
          <w:lang w:val="ru-RU" w:eastAsia="ru-RU"/>
        </w:rP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w:t>
      </w:r>
      <w:r>
        <w:lastRenderedPageBreak/>
        <w:t>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1" w:name="_Hlk108423435"/>
      <w:r>
        <w:rPr>
          <w:rStyle w:val="a3"/>
          <w:rFonts w:eastAsia="Calibri"/>
          <w:lang w:eastAsia="en-US"/>
        </w:rPr>
        <w:footnoteReference w:id="8"/>
      </w:r>
      <w:bookmarkEnd w:id="1"/>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13C3C">
        <w:rPr>
          <w:rFonts w:eastAsia="Calibri"/>
          <w:bCs/>
          <w:iCs/>
        </w:rPr>
        <w:t>15</w:t>
      </w:r>
      <w:r>
        <w:rPr>
          <w:rFonts w:eastAsia="Calibri"/>
          <w:bCs/>
          <w:iCs/>
        </w:rPr>
        <w:t xml:space="preserve"> (</w:t>
      </w:r>
      <w:r w:rsidR="00B13C3C">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2"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2"/>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lang w:val="ru-RU" w:eastAsia="ru-RU"/>
        </w:rPr>
      </w:pPr>
    </w:p>
    <w:p w:rsidR="0049554E" w:rsidRDefault="0049554E">
      <w:pPr>
        <w:widowControl w:val="0"/>
        <w:autoSpaceDE w:val="0"/>
        <w:autoSpaceDN w:val="0"/>
        <w:jc w:val="center"/>
        <w:rPr>
          <w:rFonts w:eastAsia="Calibri"/>
          <w:lang w:val="ru-RU" w:eastAsia="ru-RU"/>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по  31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12.2. В случае невыполнения Сторонами своих обязательств и недостижения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17. МЕСТОНАХОЖДЕНИЕ И БАНКОВСКИЕ РЕКВИЗИТЫ  СТОРОН</w:t>
      </w:r>
    </w:p>
    <w:p w:rsidR="0049554E" w:rsidRDefault="0049554E">
      <w:pPr>
        <w:pStyle w:val="ConsNormal"/>
        <w:ind w:firstLine="0"/>
        <w:jc w:val="center"/>
        <w:rPr>
          <w:rFonts w:ascii="Times New Roman" w:hAnsi="Times New Roman"/>
          <w:b/>
          <w:sz w:val="24"/>
          <w:szCs w:val="24"/>
        </w:rPr>
      </w:pPr>
    </w:p>
    <w:tbl>
      <w:tblPr>
        <w:tblW w:w="5000" w:type="pct"/>
        <w:tblInd w:w="0" w:type="dxa"/>
        <w:tblLook w:val="0000" w:firstRow="0" w:lastRow="0" w:firstColumn="0" w:lastColumn="0" w:noHBand="0" w:noVBand="0"/>
      </w:tblPr>
      <w:tblGrid>
        <w:gridCol w:w="5229"/>
        <w:gridCol w:w="5453"/>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r>
              <w:rPr>
                <w:bCs/>
              </w:rPr>
              <w:t>кращенное: Хабаровский филиал ВГИК</w:t>
            </w:r>
          </w:p>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М.А. Лоскутникова</w:t>
            </w:r>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знак  (при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Ind w:w="0"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М.А. Лоскутникова</w:t>
            </w:r>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49554E" w:rsidRDefault="0049554E">
      <w:pPr>
        <w:autoSpaceDE w:val="0"/>
        <w:autoSpaceDN w:val="0"/>
        <w:adjustRightInd w:val="0"/>
        <w:spacing w:line="240" w:lineRule="exact"/>
        <w:ind w:firstLine="539"/>
        <w:jc w:val="center"/>
        <w:rPr>
          <w:rFonts w:eastAsia="Calibri"/>
          <w:b/>
          <w:bCs/>
          <w:lang w:eastAsia="en-US"/>
        </w:rPr>
      </w:pPr>
      <w:r>
        <w:rPr>
          <w:rFonts w:eastAsia="Calibri"/>
          <w:b/>
          <w:bCs/>
          <w:lang w:eastAsia="en-US"/>
        </w:rPr>
        <w:t>Функциональные, технические и качественные характеристики,</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которые не могут изменяться</w:t>
      </w:r>
    </w:p>
    <w:p w:rsidR="0049554E" w:rsidRDefault="0049554E">
      <w:pPr>
        <w:autoSpaceDE w:val="0"/>
        <w:autoSpaceDN w:val="0"/>
        <w:adjustRightInd w:val="0"/>
        <w:spacing w:line="240" w:lineRule="exact"/>
        <w:jc w:val="center"/>
        <w:rPr>
          <w:rFonts w:eastAsia="Calibri"/>
          <w:b/>
          <w:bCs/>
          <w:lang w:eastAsia="en-US"/>
        </w:rPr>
      </w:pPr>
    </w:p>
    <w:p w:rsidR="00346FF9" w:rsidRDefault="00346FF9">
      <w:pPr>
        <w:autoSpaceDE w:val="0"/>
        <w:autoSpaceDN w:val="0"/>
        <w:adjustRightInd w:val="0"/>
        <w:spacing w:line="240" w:lineRule="exact"/>
        <w:jc w:val="center"/>
        <w:rPr>
          <w:rFonts w:eastAsia="Calibri"/>
          <w:b/>
          <w:bCs/>
          <w:lang w:eastAsia="en-US"/>
        </w:rPr>
      </w:pPr>
    </w:p>
    <w:p w:rsidR="0049554E" w:rsidRPr="00346FF9" w:rsidRDefault="00346FF9">
      <w:pPr>
        <w:autoSpaceDE w:val="0"/>
        <w:autoSpaceDN w:val="0"/>
        <w:adjustRightInd w:val="0"/>
        <w:spacing w:line="240" w:lineRule="exact"/>
        <w:ind w:firstLine="539"/>
        <w:jc w:val="center"/>
        <w:rPr>
          <w:rFonts w:eastAsia="Calibri"/>
          <w:bCs/>
          <w:sz w:val="22"/>
          <w:szCs w:val="22"/>
          <w:lang w:eastAsia="en-US"/>
        </w:rPr>
      </w:pPr>
      <w:r w:rsidRPr="00346FF9">
        <w:rPr>
          <w:rFonts w:eastAsia="Calibri"/>
          <w:bCs/>
          <w:sz w:val="22"/>
          <w:szCs w:val="22"/>
          <w:lang w:eastAsia="en-US"/>
        </w:rPr>
        <w:t xml:space="preserve">Приложение </w:t>
      </w:r>
      <w:r>
        <w:rPr>
          <w:rFonts w:eastAsia="Calibri"/>
          <w:bCs/>
          <w:sz w:val="22"/>
          <w:szCs w:val="22"/>
          <w:lang w:eastAsia="en-US"/>
        </w:rPr>
        <w:t xml:space="preserve">№ </w:t>
      </w:r>
      <w:r w:rsidRPr="00013495">
        <w:rPr>
          <w:rFonts w:eastAsia="Calibri"/>
          <w:bCs/>
          <w:sz w:val="22"/>
          <w:szCs w:val="22"/>
          <w:lang w:eastAsia="en-US"/>
        </w:rPr>
        <w:t xml:space="preserve">1 </w:t>
      </w:r>
      <w:r w:rsidRPr="00346FF9">
        <w:rPr>
          <w:rFonts w:eastAsia="Calibri"/>
          <w:bCs/>
          <w:sz w:val="22"/>
          <w:szCs w:val="22"/>
          <w:lang w:eastAsia="en-US"/>
        </w:rPr>
        <w:t xml:space="preserve">к технической части в форме </w:t>
      </w:r>
      <w:r w:rsidRPr="00346FF9">
        <w:rPr>
          <w:rFonts w:eastAsia="Calibri"/>
          <w:bCs/>
          <w:sz w:val="22"/>
          <w:szCs w:val="22"/>
          <w:lang w:val="en-US" w:eastAsia="en-US"/>
        </w:rPr>
        <w:t>excel</w:t>
      </w:r>
    </w:p>
    <w:p w:rsidR="0049554E" w:rsidRPr="00B13C3C" w:rsidRDefault="0049554E" w:rsidP="00346FF9">
      <w:pPr>
        <w:ind w:firstLine="709"/>
        <w:jc w:val="right"/>
        <w:rPr>
          <w:b/>
          <w:bCs/>
        </w:rPr>
      </w:pPr>
      <w:r>
        <w:rPr>
          <w:rFonts w:ascii="Calibri" w:eastAsia="Calibri" w:hAnsi="Calibri"/>
          <w:b/>
          <w:sz w:val="22"/>
          <w:szCs w:val="22"/>
          <w:lang w:eastAsia="en-US"/>
        </w:rPr>
        <w:t xml:space="preserve">       </w:t>
      </w:r>
      <w:r>
        <w:rPr>
          <w:rFonts w:eastAsia="Calibri"/>
          <w:b/>
          <w:lang w:eastAsia="en-US"/>
        </w:rPr>
        <w:t xml:space="preserve">    </w:t>
      </w:r>
    </w:p>
    <w:p w:rsidR="0049554E" w:rsidRDefault="0049554E">
      <w:pPr>
        <w:suppressAutoHyphens/>
        <w:ind w:right="394"/>
        <w:jc w:val="center"/>
        <w:rPr>
          <w:rFonts w:cs="Calibri"/>
          <w:b/>
          <w:lang w:eastAsia="ar-SA"/>
        </w:rPr>
      </w:pPr>
      <w:bookmarkStart w:id="3" w:name="_Hlk167797178"/>
      <w:bookmarkStart w:id="4" w:name="_Hlk180611327"/>
    </w:p>
    <w:tbl>
      <w:tblPr>
        <w:tblW w:w="10675" w:type="dxa"/>
        <w:tblInd w:w="0"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М.А. Лоскутникова</w:t>
            </w:r>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1B354D">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3"/>
      <w:bookmarkEnd w:id="4"/>
    </w:tbl>
    <w:p w:rsidR="0049554E" w:rsidRDefault="0049554E"/>
    <w:sectPr w:rsidR="0049554E">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01" w:rsidRDefault="00B56A01">
      <w:r>
        <w:separator/>
      </w:r>
    </w:p>
  </w:endnote>
  <w:endnote w:type="continuationSeparator" w:id="0">
    <w:p w:rsidR="00B56A01" w:rsidRDefault="00B5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01" w:rsidRDefault="00B56A01">
      <w:r>
        <w:separator/>
      </w:r>
    </w:p>
  </w:footnote>
  <w:footnote w:type="continuationSeparator" w:id="0">
    <w:p w:rsidR="00B56A01" w:rsidRDefault="00B56A01">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892ED5" w:rsidRPr="00892ED5">
      <w:rPr>
        <w:noProof/>
        <w:lang w:val="ru-RU" w:eastAsia="ru-RU"/>
      </w:rPr>
      <w:t>12</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B13C3C" w:rsidRDefault="0049554E">
    <w:pPr>
      <w:pStyle w:val="aa"/>
      <w:rPr>
        <w:i/>
        <w:iCs/>
        <w:color w:val="FF0000"/>
      </w:rPr>
    </w:pPr>
    <w:r w:rsidRPr="001B354D">
      <w:rPr>
        <w:iCs/>
      </w:rPr>
      <w:t xml:space="preserve">ИКЗ </w:t>
    </w:r>
    <w:r w:rsidR="001B354D" w:rsidRPr="001B354D">
      <w:rPr>
        <w:iCs/>
      </w:rPr>
      <w:t>261771703244077170100100010440000244</w:t>
    </w:r>
    <w:r w:rsidR="006E4DB7" w:rsidRPr="001B354D">
      <w:rPr>
        <w:iCs/>
      </w:rPr>
      <w:t>_____</w:t>
    </w:r>
    <w:r w:rsidR="006E4DB7" w:rsidRPr="001B354D">
      <w:rPr>
        <w:i/>
        <w:iCs/>
        <w:color w:val="FF0000"/>
      </w:rPr>
      <w:t>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13495"/>
    <w:rsid w:val="000208B3"/>
    <w:rsid w:val="00026644"/>
    <w:rsid w:val="0003035C"/>
    <w:rsid w:val="000434EB"/>
    <w:rsid w:val="00047C20"/>
    <w:rsid w:val="000556A0"/>
    <w:rsid w:val="00055DF1"/>
    <w:rsid w:val="000648A5"/>
    <w:rsid w:val="00075787"/>
    <w:rsid w:val="00090BCB"/>
    <w:rsid w:val="000B2DFC"/>
    <w:rsid w:val="000D683C"/>
    <w:rsid w:val="000F343A"/>
    <w:rsid w:val="001249B4"/>
    <w:rsid w:val="00124F9D"/>
    <w:rsid w:val="00142AA9"/>
    <w:rsid w:val="00156076"/>
    <w:rsid w:val="001839FC"/>
    <w:rsid w:val="00193BAC"/>
    <w:rsid w:val="001B354D"/>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16C6F"/>
    <w:rsid w:val="005246C8"/>
    <w:rsid w:val="00533CF5"/>
    <w:rsid w:val="00534126"/>
    <w:rsid w:val="00544F63"/>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92ED5"/>
    <w:rsid w:val="008A1664"/>
    <w:rsid w:val="008D5145"/>
    <w:rsid w:val="008E4300"/>
    <w:rsid w:val="008F12AF"/>
    <w:rsid w:val="009143B8"/>
    <w:rsid w:val="00921BD8"/>
    <w:rsid w:val="009410B2"/>
    <w:rsid w:val="00954FEF"/>
    <w:rsid w:val="00956006"/>
    <w:rsid w:val="00966DD6"/>
    <w:rsid w:val="00971C7D"/>
    <w:rsid w:val="0097540D"/>
    <w:rsid w:val="00991C62"/>
    <w:rsid w:val="00997852"/>
    <w:rsid w:val="009B05DF"/>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56A01"/>
    <w:rsid w:val="00BB3639"/>
    <w:rsid w:val="00BB724B"/>
    <w:rsid w:val="00BB7538"/>
    <w:rsid w:val="00BC7C19"/>
    <w:rsid w:val="00BD6630"/>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63FE6F6F-1590-43BC-B713-00F8E017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5442</Words>
  <Characters>31022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36392</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2</cp:revision>
  <cp:lastPrinted>2025-09-23T00:29:00Z</cp:lastPrinted>
  <dcterms:created xsi:type="dcterms:W3CDTF">2026-05-27T02:08:00Z</dcterms:created>
  <dcterms:modified xsi:type="dcterms:W3CDTF">2026-05-27T02:08:00Z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