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color w:val="auto"/>
        </w:rPr>
      </w:pPr>
      <w:r/>
      <w:bookmarkStart w:id="0" w:name="_Hlk524444008"/>
      <w:r>
        <w:rPr>
          <w:rFonts w:ascii="Times New Roman" w:hAnsi="Times New Roman" w:cs="Times New Roman"/>
          <w:b/>
          <w:color w:val="auto"/>
        </w:rPr>
        <w:t xml:space="preserve">ТЕХНИЧЕСКОЕ ЗАДАНИЕ</w:t>
      </w:r>
      <w:r/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auto"/>
        </w:rPr>
        <w:t xml:space="preserve">на </w:t>
      </w:r>
      <w:bookmarkEnd w:id="0"/>
      <w:r>
        <w:rPr>
          <w:rFonts w:ascii="Times New Roman" w:hAnsi="Times New Roman" w:cs="Times New Roman"/>
          <w:b/>
        </w:rPr>
        <w:t xml:space="preserve">оказание услуг независимой экспертизы капитального ремонта здания, расположенного по адресу: г. Москва, ул. Малая Бронная, д. 18, стр.1 для оценки объема выполненных работ по ранее заключенным государственным контрактам</w:t>
      </w:r>
      <w:r/>
    </w:p>
    <w:p>
      <w:pPr>
        <w:jc w:val="center"/>
        <w:rPr>
          <w:rFonts w:ascii="Times New Roman" w:hAnsi="Times New Roman" w:cs="Times New Roman"/>
          <w:b/>
          <w:bCs/>
          <w:smallCaps/>
          <w:color w:val="auto"/>
          <w:spacing w:val="10"/>
          <w:sz w:val="22"/>
          <w:szCs w:val="22"/>
        </w:rPr>
      </w:pPr>
      <w:r>
        <w:rPr>
          <w:rFonts w:ascii="Times New Roman" w:hAnsi="Times New Roman" w:cs="Times New Roman"/>
          <w:b/>
          <w:smallCaps/>
          <w:color w:val="auto"/>
          <w:spacing w:val="10"/>
          <w:sz w:val="22"/>
          <w:szCs w:val="22"/>
        </w:rPr>
      </w:r>
      <w:r>
        <w:rPr>
          <w:rFonts w:ascii="Times New Roman" w:hAnsi="Times New Roman" w:cs="Times New Roman"/>
          <w:b/>
          <w:smallCaps/>
          <w:color w:val="auto"/>
          <w:spacing w:val="10"/>
          <w:sz w:val="22"/>
          <w:szCs w:val="22"/>
        </w:rPr>
      </w:r>
    </w:p>
    <w:p>
      <w:pPr>
        <w:pStyle w:val="826"/>
        <w:numPr>
          <w:ilvl w:val="0"/>
          <w:numId w:val="31"/>
        </w:numPr>
        <w:jc w:val="center"/>
        <w:spacing w:beforeAutospacing="0" w:after="120" w:afterAutospacing="0"/>
        <w:rPr>
          <w14:ligatures w14:val="none"/>
        </w:rPr>
      </w:pPr>
      <w:r>
        <w:t xml:space="preserve">Предмет Контракта</w:t>
      </w:r>
      <w:r/>
    </w:p>
    <w:tbl>
      <w:tblPr>
        <w:tblW w:w="10134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846"/>
        <w:gridCol w:w="2945"/>
        <w:gridCol w:w="6343"/>
      </w:tblGrid>
      <w:tr>
        <w:trPr>
          <w:jc w:val="right"/>
          <w:trHeight w:val="433"/>
        </w:trPr>
        <w:tc>
          <w:tcPr>
            <w:tcW w:w="846" w:type="dxa"/>
            <w:textDirection w:val="lrTb"/>
            <w:noWrap w:val="false"/>
          </w:tcPr>
          <w:p>
            <w:pPr>
              <w:ind w:left="1800" w:hanging="180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№</w:t>
            </w:r>
            <w:r/>
          </w:p>
        </w:tc>
        <w:tc>
          <w:tcPr>
            <w:tcW w:w="2945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Перечень основных данных и требований</w:t>
            </w:r>
            <w:r/>
          </w:p>
        </w:tc>
        <w:tc>
          <w:tcPr>
            <w:tcW w:w="634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Основные данные и требования</w:t>
            </w:r>
            <w:r/>
          </w:p>
        </w:tc>
      </w:tr>
      <w:tr>
        <w:trPr>
          <w:jc w:val="right"/>
          <w:trHeight w:val="433"/>
        </w:trPr>
        <w:tc>
          <w:tcPr>
            <w:tcW w:w="846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ind w:left="360"/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</w:r>
            <w:r/>
          </w:p>
        </w:tc>
        <w:tc>
          <w:tcPr>
            <w:tcW w:w="2945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Заказчик</w:t>
            </w:r>
            <w:r/>
          </w:p>
        </w:tc>
        <w:tc>
          <w:tcPr>
            <w:tcW w:w="6343" w:type="dxa"/>
            <w:vAlign w:val="center"/>
            <w:textDirection w:val="lrTb"/>
            <w:noWrap w:val="false"/>
          </w:tcPr>
          <w:p>
            <w:pPr>
              <w:jc w:val="both"/>
              <w:tabs>
                <w:tab w:val="left" w:pos="567" w:leader="none"/>
              </w:tabs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 xml:space="preserve">Федеральная пробирная палата</w:t>
            </w:r>
            <w:r/>
          </w:p>
        </w:tc>
      </w:tr>
      <w:tr>
        <w:trPr>
          <w:jc w:val="right"/>
          <w:trHeight w:val="315"/>
        </w:trPr>
        <w:tc>
          <w:tcPr>
            <w:tcW w:w="846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ind w:left="36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945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и место расположения объекта </w:t>
            </w:r>
            <w:r/>
          </w:p>
        </w:tc>
        <w:tc>
          <w:tcPr>
            <w:tcW w:w="6343" w:type="dxa"/>
            <w:textDirection w:val="lrTb"/>
            <w:noWrap/>
          </w:tcPr>
          <w:p>
            <w:pPr>
              <w:jc w:val="both"/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Административное здание, расположенно</w:t>
            </w:r>
            <w:r>
              <w:rPr>
                <w:rFonts w:ascii="Times New Roman" w:hAnsi="Times New Roman" w:cs="Times New Roman"/>
              </w:rPr>
              <w:t xml:space="preserve">е</w:t>
            </w:r>
            <w:r>
              <w:rPr>
                <w:rFonts w:ascii="Times New Roman" w:hAnsi="Times New Roman" w:cs="Times New Roman"/>
              </w:rPr>
              <w:t xml:space="preserve"> по адресу: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г. Москва, ул. Малая Бронная, д. 18, стр.1</w:t>
            </w:r>
            <w:r/>
          </w:p>
        </w:tc>
      </w:tr>
      <w:tr>
        <w:trPr>
          <w:jc w:val="right"/>
          <w:trHeight w:val="315"/>
        </w:trPr>
        <w:tc>
          <w:tcPr>
            <w:tcW w:w="846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ind w:left="36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945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Требования к</w:t>
            </w:r>
            <w:r/>
          </w:p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Исполнителю</w:t>
            </w:r>
            <w:r/>
          </w:p>
        </w:tc>
        <w:tc>
          <w:tcPr>
            <w:tcW w:w="6343" w:type="dxa"/>
            <w:textDirection w:val="lrTb"/>
            <w:noWrap/>
          </w:tcPr>
          <w:p>
            <w:pPr>
              <w:jc w:val="both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выписки из реестра членов саморегулируемой организации на право </w:t>
            </w:r>
            <w:r>
              <w:rPr>
                <w:rFonts w:ascii="Times New Roman" w:hAnsi="Times New Roman" w:cs="Times New Roman"/>
              </w:rPr>
              <w:t xml:space="preserve">оказания услуг</w:t>
            </w:r>
            <w:r/>
          </w:p>
        </w:tc>
      </w:tr>
      <w:tr>
        <w:trPr>
          <w:jc w:val="right"/>
          <w:trHeight w:val="561"/>
        </w:trPr>
        <w:tc>
          <w:tcPr>
            <w:tcW w:w="846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ind w:left="36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945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 </w:t>
            </w:r>
            <w:r>
              <w:rPr>
                <w:rFonts w:ascii="Times New Roman" w:hAnsi="Times New Roman" w:cs="Times New Roman"/>
              </w:rPr>
              <w:t xml:space="preserve">оказания услуг</w:t>
            </w:r>
            <w:r/>
          </w:p>
        </w:tc>
        <w:tc>
          <w:tcPr>
            <w:tcW w:w="6343" w:type="dxa"/>
            <w:vAlign w:val="center"/>
            <w:textDirection w:val="lrTb"/>
            <w:noWrap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Оценка объема выполненных</w:t>
            </w:r>
            <w:r>
              <w:rPr>
                <w:rFonts w:ascii="Times New Roman" w:hAnsi="Times New Roman" w:cs="Times New Roman"/>
              </w:rPr>
              <w:t xml:space="preserve"> строительно-монтажных</w:t>
            </w:r>
            <w:r>
              <w:rPr>
                <w:rFonts w:ascii="Times New Roman" w:hAnsi="Times New Roman" w:cs="Times New Roman"/>
              </w:rPr>
              <w:t xml:space="preserve"> работ по ранее заключенным государственным контрактам</w:t>
            </w:r>
            <w:r/>
          </w:p>
        </w:tc>
      </w:tr>
      <w:tr>
        <w:trPr>
          <w:jc w:val="right"/>
          <w:trHeight w:val="630"/>
        </w:trPr>
        <w:tc>
          <w:tcPr>
            <w:tcW w:w="846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ind w:left="36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945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Виды и с</w:t>
            </w:r>
            <w:r>
              <w:rPr>
                <w:rFonts w:ascii="Times New Roman" w:hAnsi="Times New Roman" w:cs="Times New Roman"/>
              </w:rPr>
              <w:t xml:space="preserve">остав </w:t>
            </w:r>
            <w:r>
              <w:rPr>
                <w:rFonts w:ascii="Times New Roman" w:hAnsi="Times New Roman" w:cs="Times New Roman"/>
              </w:rPr>
              <w:t xml:space="preserve">оказываемых услуг</w:t>
            </w:r>
            <w:r/>
          </w:p>
        </w:tc>
        <w:tc>
          <w:tcPr>
            <w:tcW w:w="6343" w:type="dxa"/>
            <w:textDirection w:val="lrTb"/>
            <w:noWrap w:val="false"/>
          </w:tcPr>
          <w:p>
            <w:pPr>
              <w:pStyle w:val="749"/>
              <w:numPr>
                <w:ilvl w:val="0"/>
                <w:numId w:val="29"/>
              </w:numPr>
              <w:contextualSpacing/>
              <w:ind w:left="28" w:firstLine="283"/>
              <w:jc w:val="both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Подготовительные работы:</w:t>
            </w:r>
            <w:r/>
          </w:p>
          <w:p>
            <w:pPr>
              <w:pStyle w:val="749"/>
              <w:numPr>
                <w:ilvl w:val="1"/>
                <w:numId w:val="29"/>
              </w:numPr>
              <w:contextualSpacing/>
              <w:ind w:left="177" w:firstLine="0"/>
              <w:jc w:val="both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 Unicode MS" w:cs="Times New Roman"/>
                <w:bCs/>
                <w:highlight w:val="white"/>
                <w:lang w:eastAsia="hi-IN" w:bidi="ru-RU"/>
              </w:rPr>
              <w:t xml:space="preserve">Изучение актуальной редакции проектной документации</w:t>
            </w:r>
            <w:r>
              <w:rPr>
                <w:rFonts w:ascii="Times New Roman" w:hAnsi="Times New Roman" w:eastAsia="Arial Unicode MS" w:cs="Times New Roman"/>
                <w:bCs/>
                <w:lang w:eastAsia="hi-IN" w:bidi="ru-RU"/>
              </w:rPr>
              <w:t xml:space="preserve">. </w:t>
            </w:r>
            <w:r>
              <w:rPr>
                <w:rFonts w:ascii="Times New Roman" w:hAnsi="Times New Roman" w:eastAsia="Arial Unicode MS" w:cs="Times New Roman"/>
                <w:bCs/>
                <w:highlight w:val="white"/>
                <w:lang w:eastAsia="hi-IN" w:bidi="ru-RU"/>
              </w:rPr>
              <w:t xml:space="preserve">Ознакомление с объемно-планировочными решениями, со сведениями </w:t>
              <w:br/>
              <w:t xml:space="preserve">о примененных в проекте решениях, иной проектно-технической документацией (при наличии).</w:t>
            </w:r>
            <w:r/>
          </w:p>
          <w:p>
            <w:pPr>
              <w:pStyle w:val="749"/>
              <w:numPr>
                <w:ilvl w:val="1"/>
                <w:numId w:val="29"/>
              </w:numPr>
              <w:contextualSpacing/>
              <w:ind w:left="177" w:firstLine="0"/>
              <w:jc w:val="both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Составление Программы обследования</w:t>
            </w:r>
            <w:r>
              <w:rPr>
                <w:rFonts w:ascii="Times New Roman" w:hAnsi="Times New Roman" w:cs="Times New Roman"/>
              </w:rPr>
              <w:t xml:space="preserve"> зданий согласно ГОСТ 31937-2024 «Здания сооружения. Правила обследования и мониторинга технического состояния», содержащей:</w:t>
            </w:r>
            <w:r/>
          </w:p>
          <w:p>
            <w:pPr>
              <w:contextualSpacing/>
              <w:ind w:left="28" w:firstLine="283"/>
              <w:jc w:val="both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</w:t>
            </w:r>
            <w:r>
              <w:rPr>
                <w:rFonts w:ascii="Times New Roman" w:hAnsi="Times New Roman" w:cs="Times New Roman"/>
              </w:rPr>
              <w:tab/>
              <w:t xml:space="preserve">перечень подлежащих обследованию строительных конструкций и</w:t>
            </w:r>
            <w:r>
              <w:rPr>
                <w:rFonts w:ascii="Times New Roman" w:hAnsi="Times New Roman" w:cs="Times New Roman"/>
              </w:rPr>
              <w:t xml:space="preserve"> инженерных систем, а также</w:t>
            </w:r>
            <w:r>
              <w:rPr>
                <w:rFonts w:ascii="Times New Roman" w:hAnsi="Times New Roman" w:cs="Times New Roman"/>
              </w:rPr>
              <w:t xml:space="preserve"> их элементов;</w:t>
            </w:r>
            <w:r/>
          </w:p>
          <w:p>
            <w:pPr>
              <w:contextualSpacing/>
              <w:ind w:left="28" w:firstLine="283"/>
              <w:jc w:val="both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</w:t>
            </w:r>
            <w:r>
              <w:rPr>
                <w:rFonts w:ascii="Times New Roman" w:hAnsi="Times New Roman" w:cs="Times New Roman"/>
              </w:rPr>
              <w:tab/>
              <w:t xml:space="preserve">перечень и методы инструментальных исследований и замеров</w:t>
            </w:r>
            <w:r>
              <w:rPr>
                <w:rFonts w:ascii="Times New Roman" w:hAnsi="Times New Roman" w:cs="Times New Roman"/>
              </w:rPr>
              <w:t xml:space="preserve">.</w:t>
            </w:r>
            <w:r/>
          </w:p>
          <w:p>
            <w:pPr>
              <w:pStyle w:val="749"/>
              <w:numPr>
                <w:ilvl w:val="0"/>
                <w:numId w:val="29"/>
              </w:numPr>
              <w:contextualSpacing/>
              <w:ind w:left="0" w:firstLine="319"/>
              <w:jc w:val="both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Визуальное обследование строительных конструкций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и инженерных систем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согласно ГОСТ 31937-2024 «Здания соору</w:t>
            </w:r>
            <w:r>
              <w:rPr>
                <w:rFonts w:ascii="Times New Roman" w:hAnsi="Times New Roman" w:cs="Times New Roman"/>
              </w:rPr>
              <w:t xml:space="preserve">жения. Правила обследования </w:t>
              <w:br/>
              <w:t xml:space="preserve">и мониторинга технического состояния» и СП 13-102-2003 «Правила обследования несущих строительных конструкций зданий и сооружений» в целях выявления дефектов и повреждений по внешним признакам, </w:t>
              <w:br/>
              <w:t xml:space="preserve">по результатам которого составить:</w:t>
            </w:r>
            <w:r/>
          </w:p>
          <w:p>
            <w:pPr>
              <w:contextualSpacing/>
              <w:ind w:left="164" w:firstLine="130"/>
              <w:jc w:val="both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•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ведомость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lang w:eastAsia="en-US"/>
              </w:rPr>
              <w:t xml:space="preserve">выполненных, надлежащим образом</w:t>
            </w:r>
            <w:r>
              <w:rPr>
                <w:rFonts w:ascii="Times New Roman" w:hAnsi="Times New Roman" w:cs="Times New Roman"/>
                <w:lang w:eastAsia="en-US"/>
              </w:rPr>
              <w:t xml:space="preserve"> оформленных в соответствии с </w:t>
            </w:r>
            <w:bookmarkStart w:id="1" w:name="_Hlk70494252"/>
            <w:r>
              <w:rPr>
                <w:rFonts w:ascii="Times New Roman" w:hAnsi="Times New Roman" w:cs="Times New Roman"/>
                <w:lang w:eastAsia="en-US"/>
              </w:rPr>
              <w:t xml:space="preserve">РД-11-02-2006 </w:t>
            </w:r>
            <w:bookmarkEnd w:id="1"/>
            <w:r>
              <w:rPr>
                <w:rFonts w:ascii="Times New Roman" w:hAnsi="Times New Roman" w:cs="Times New Roman"/>
                <w:lang w:eastAsia="en-US"/>
              </w:rPr>
              <w:t xml:space="preserve">«Требования к составу и порядку ведения исполнительной документации (далее – ИД) при строительстве, реконструкции, капитальном ремонте объектов капитального строительства и требования, предъявляемые к актам освидетельствования работ;</w:t>
            </w:r>
            <w:r/>
          </w:p>
          <w:p>
            <w:pPr>
              <w:contextualSpacing/>
              <w:ind w:left="164" w:firstLine="130"/>
              <w:jc w:val="both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ведомость выполненных в соответствии </w:t>
              <w:br/>
              <w:t xml:space="preserve">с проектной документацией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(далее - ПД), </w:t>
              <w:br/>
              <w:t xml:space="preserve">но не подтвержденных ИД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 не принятых Заказчиком;</w:t>
            </w:r>
            <w:r/>
          </w:p>
          <w:p>
            <w:pPr>
              <w:contextualSpacing/>
              <w:ind w:left="164" w:firstLine="130"/>
              <w:jc w:val="both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ведомость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выполненных, но не предусмотренных </w:t>
              <w:br/>
              <w:t xml:space="preserve">и не соответствующих ПД, не принятых Заказчиком</w:t>
            </w:r>
            <w:r>
              <w:rPr>
                <w:rFonts w:ascii="Times New Roman" w:hAnsi="Times New Roman" w:cs="Times New Roman"/>
              </w:rPr>
              <w:t xml:space="preserve">;</w:t>
            </w:r>
            <w:r/>
          </w:p>
          <w:p>
            <w:pPr>
              <w:contextualSpacing/>
              <w:ind w:left="164" w:firstLine="130"/>
              <w:jc w:val="both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ведомость остаточных, необходимых </w:t>
              <w:br/>
              <w:t xml:space="preserve">к выполнению в соответствии с ПД</w:t>
            </w:r>
            <w:r>
              <w:rPr>
                <w:rFonts w:ascii="Times New Roman" w:hAnsi="Times New Roman" w:cs="Times New Roman"/>
              </w:rPr>
              <w:t xml:space="preserve">.</w:t>
            </w:r>
            <w:r/>
          </w:p>
          <w:p>
            <w:pPr>
              <w:contextualSpacing/>
              <w:ind w:left="28" w:firstLine="283"/>
              <w:jc w:val="both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3.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Детальное обследование</w:t>
            </w:r>
            <w:r>
              <w:rPr>
                <w:rFonts w:ascii="Times New Roman" w:hAnsi="Times New Roman" w:cs="Times New Roman"/>
              </w:rPr>
              <w:t xml:space="preserve"> строительных конструкций</w:t>
            </w:r>
            <w:r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</w:rPr>
              <w:t xml:space="preserve">инженерных систем</w:t>
            </w:r>
            <w:r>
              <w:rPr>
                <w:rFonts w:ascii="Times New Roman" w:hAnsi="Times New Roman" w:cs="Times New Roman"/>
              </w:rPr>
              <w:t xml:space="preserve"> согласно ГОСТ 31937-2024 «Здания сооружения. Правила обследования и мониторинга технического состояния», включающее в себя:</w:t>
            </w:r>
            <w:r/>
          </w:p>
          <w:p>
            <w:pPr>
              <w:contextualSpacing/>
              <w:ind w:firstLine="164"/>
              <w:jc w:val="both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</w:t>
            </w:r>
            <w:r>
              <w:rPr>
                <w:rFonts w:ascii="Times New Roman" w:hAnsi="Times New Roman" w:cs="Times New Roman"/>
              </w:rPr>
              <w:tab/>
              <w:t xml:space="preserve">определение прочности бетона железобетонных конструкций неразрушающими методами контроля (ультразвуковой метод в соответствии с ГОСТ 17624-2012 «Бетоны. Уль</w:t>
            </w:r>
            <w:r>
              <w:rPr>
                <w:rFonts w:ascii="Times New Roman" w:hAnsi="Times New Roman" w:cs="Times New Roman"/>
              </w:rPr>
              <w:t xml:space="preserve">тразвуковой метод определения прочности», метод упругого отскока с использованием склерометра (молотка) Шмидта и/или метод отрыва со скалыванием </w:t>
              <w:br/>
              <w:t xml:space="preserve">в соответствии с ГОСТ 22690-88 «Бетоны. Определение прочности механическими методами неразрушающего контроля»);</w:t>
            </w:r>
            <w:r/>
          </w:p>
          <w:p>
            <w:pPr>
              <w:contextualSpacing/>
              <w:ind w:firstLine="164"/>
              <w:jc w:val="both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</w:t>
            </w:r>
            <w:r>
              <w:rPr>
                <w:rFonts w:ascii="Times New Roman" w:hAnsi="Times New Roman" w:cs="Times New Roman"/>
              </w:rPr>
              <w:tab/>
              <w:t xml:space="preserve">определение </w:t>
            </w:r>
            <w:r>
              <w:rPr>
                <w:rFonts w:ascii="Times New Roman" w:hAnsi="Times New Roman" w:eastAsia="Arial Unicode MS" w:cs="Times New Roman"/>
                <w:bCs/>
                <w:highlight w:val="white"/>
                <w:lang w:eastAsia="hi-IN" w:bidi="ru-RU"/>
              </w:rPr>
              <w:t xml:space="preserve">системы армирования железобетонных конструкций (расположение арматурных стержней, </w:t>
              <w:br/>
              <w:t xml:space="preserve">их диаметра, толщины защитного слоя бетона) неразрушающим (магнитным) метод по ГОСТ 22904</w:t>
            </w:r>
            <w:r>
              <w:rPr>
                <w:rFonts w:ascii="Times New Roman" w:hAnsi="Times New Roman" w:eastAsia="Arial Unicode MS" w:cs="Times New Roman"/>
                <w:bCs/>
                <w:lang w:eastAsia="hi-IN" w:bidi="ru-RU"/>
              </w:rPr>
              <w:t xml:space="preserve">.</w:t>
            </w:r>
            <w:r/>
          </w:p>
          <w:p>
            <w:pPr>
              <w:contextualSpacing/>
              <w:ind w:left="28" w:firstLine="283"/>
              <w:jc w:val="both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5. Составление Технического отчета</w:t>
            </w:r>
            <w:r>
              <w:rPr>
                <w:rFonts w:ascii="Times New Roman" w:hAnsi="Times New Roman" w:cs="Times New Roman"/>
              </w:rPr>
              <w:t xml:space="preserve"> по результатам </w:t>
            </w:r>
            <w:r>
              <w:rPr>
                <w:rFonts w:ascii="Times New Roman" w:hAnsi="Times New Roman" w:cs="Times New Roman"/>
              </w:rPr>
              <w:t xml:space="preserve">оказанных услуг</w:t>
            </w:r>
            <w:r>
              <w:rPr>
                <w:rFonts w:ascii="Times New Roman" w:hAnsi="Times New Roman" w:cs="Times New Roman"/>
              </w:rPr>
              <w:t xml:space="preserve">, включающего в себя:</w:t>
            </w:r>
            <w:r/>
          </w:p>
          <w:p>
            <w:pPr>
              <w:contextualSpacing/>
              <w:ind w:firstLine="164"/>
              <w:jc w:val="both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</w:t>
            </w:r>
            <w:r>
              <w:rPr>
                <w:rFonts w:ascii="Times New Roman" w:hAnsi="Times New Roman" w:cs="Times New Roman"/>
              </w:rPr>
              <w:tab/>
              <w:t xml:space="preserve">анализ проектной и исполнительной документации;</w:t>
            </w:r>
            <w:r/>
          </w:p>
          <w:p>
            <w:pPr>
              <w:contextualSpacing/>
              <w:ind w:firstLine="164"/>
              <w:jc w:val="both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</w:t>
            </w:r>
            <w:r>
              <w:rPr>
                <w:rFonts w:ascii="Times New Roman" w:hAnsi="Times New Roman" w:cs="Times New Roman"/>
              </w:rPr>
              <w:tab/>
              <w:t xml:space="preserve">реестр выявленных несоответствий реализованных технических решений, предусмотренных проектной документацией;</w:t>
            </w:r>
            <w:r/>
          </w:p>
          <w:p>
            <w:pPr>
              <w:contextualSpacing/>
              <w:ind w:firstLine="164"/>
              <w:jc w:val="both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</w:t>
            </w:r>
            <w:r>
              <w:rPr>
                <w:rFonts w:ascii="Times New Roman" w:hAnsi="Times New Roman" w:cs="Times New Roman"/>
              </w:rPr>
              <w:tab/>
              <w:t xml:space="preserve">ведомости объемов работ (выполненные и утвержденные Заказчиком; выполненные в соответствии с ПД, </w:t>
              <w:br/>
              <w:t xml:space="preserve">но не принятые Заказчиком; выполненные, </w:t>
              <w:br/>
              <w:t xml:space="preserve">но не предусмотренных и не соответствующих ПД; </w:t>
              <w:br/>
              <w:t xml:space="preserve">не выполненные).</w:t>
            </w:r>
            <w:r/>
          </w:p>
          <w:p>
            <w:pPr>
              <w:ind w:left="36" w:firstLine="284"/>
              <w:jc w:val="both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•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  <w:i/>
                <w:u w:val="single"/>
              </w:rPr>
              <w:t xml:space="preserve">составление итогового документа - Технического заключения</w:t>
            </w:r>
            <w:r>
              <w:rPr>
                <w:rFonts w:ascii="Times New Roman" w:hAnsi="Times New Roman" w:cs="Times New Roman"/>
              </w:rPr>
              <w:t xml:space="preserve"> с материалами обследования, выводами </w:t>
              <w:br/>
              <w:t xml:space="preserve">и рекомендациями специалистов по полученным результатам обследования в рамках </w:t>
            </w:r>
            <w:r>
              <w:rPr>
                <w:rFonts w:ascii="Times New Roman" w:hAnsi="Times New Roman" w:cs="Times New Roman"/>
              </w:rPr>
              <w:t xml:space="preserve">оказания услуг</w:t>
            </w:r>
            <w:r>
              <w:rPr>
                <w:rFonts w:ascii="Times New Roman" w:hAnsi="Times New Roman" w:cs="Times New Roman"/>
              </w:rPr>
              <w:t xml:space="preserve">.</w:t>
            </w:r>
            <w:r/>
          </w:p>
        </w:tc>
      </w:tr>
      <w:tr>
        <w:trPr>
          <w:jc w:val="right"/>
          <w:trHeight w:val="60"/>
        </w:trPr>
        <w:tc>
          <w:tcPr>
            <w:tcW w:w="846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ind w:left="36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945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Виды работ, подлежащие выполнению </w:t>
            </w:r>
            <w:r/>
          </w:p>
        </w:tc>
        <w:tc>
          <w:tcPr>
            <w:tcW w:w="6343" w:type="dxa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ascii="Times New Roman" w:hAnsi="Times New Roman" w:cs="Times New Roman"/>
                <w:color w:val="2c2d2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 xml:space="preserve">Полевые работы. Камеральные работы</w:t>
            </w:r>
            <w:r/>
          </w:p>
        </w:tc>
      </w:tr>
      <w:tr>
        <w:trPr>
          <w:jc w:val="right"/>
          <w:trHeight w:val="194"/>
        </w:trPr>
        <w:tc>
          <w:tcPr>
            <w:tcW w:w="846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ind w:left="360"/>
              <w:spacing w:before="12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945" w:type="dxa"/>
            <w:textDirection w:val="lrTb"/>
            <w:noWrap w:val="false"/>
          </w:tcPr>
          <w:p>
            <w:pPr>
              <w:spacing w:line="276" w:lineRule="auto"/>
              <w:tabs>
                <w:tab w:val="left" w:pos="9356" w:leader="none"/>
                <w:tab w:val="left" w:pos="9639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</w:t>
            </w:r>
            <w:r>
              <w:rPr>
                <w:rFonts w:ascii="Times New Roman" w:hAnsi="Times New Roman" w:cs="Times New Roman"/>
              </w:rPr>
              <w:t xml:space="preserve">оказания услуг</w:t>
            </w:r>
            <w:r/>
          </w:p>
        </w:tc>
        <w:tc>
          <w:tcPr>
            <w:tcW w:w="6343" w:type="dxa"/>
            <w:textDirection w:val="lrTb"/>
            <w:noWrap/>
          </w:tcPr>
          <w:p>
            <w:pPr>
              <w:jc w:val="both"/>
              <w:spacing w:line="276" w:lineRule="auto"/>
              <w:tabs>
                <w:tab w:val="left" w:pos="9639" w:leader="none"/>
                <w:tab w:val="left" w:pos="10065" w:leader="none"/>
              </w:tabs>
              <w:rPr>
                <w:rFonts w:ascii="Times New Roman" w:hAnsi="Times New Roman" w:cs="Times New Roman"/>
                <w:color w:val="2c2d2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 xml:space="preserve">2</w:t>
            </w:r>
            <w:r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 xml:space="preserve">0</w:t>
            </w:r>
            <w:r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 xml:space="preserve"> (двадцать) рабочих дней </w:t>
            </w:r>
            <w:r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 xml:space="preserve">с даты</w:t>
            </w:r>
            <w:r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 xml:space="preserve"> подписания Договора</w:t>
            </w:r>
            <w:r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 xml:space="preserve"> </w:t>
              <w:br/>
              <w:t xml:space="preserve">и</w:t>
            </w:r>
            <w:r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 xml:space="preserve"> получения </w:t>
            </w:r>
            <w:r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 xml:space="preserve">исходных данных</w:t>
            </w:r>
            <w:r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 xml:space="preserve">. В срок </w:t>
            </w:r>
            <w:r>
              <w:rPr>
                <w:rFonts w:ascii="Times New Roman" w:hAnsi="Times New Roman" w:cs="Times New Roman"/>
              </w:rPr>
              <w:t xml:space="preserve">оказания услуг</w:t>
            </w:r>
            <w:r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 xml:space="preserve"> </w:t>
              <w:br/>
              <w:t xml:space="preserve">не входит срок согласования Заказчиком результатов / технического отчета</w:t>
            </w:r>
            <w:r/>
          </w:p>
        </w:tc>
      </w:tr>
      <w:tr>
        <w:trPr>
          <w:jc w:val="right"/>
          <w:trHeight w:val="405"/>
        </w:trPr>
        <w:tc>
          <w:tcPr>
            <w:tcW w:w="846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ind w:left="36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945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Особые условия</w:t>
            </w:r>
            <w:r/>
          </w:p>
        </w:tc>
        <w:tc>
          <w:tcPr>
            <w:tcW w:w="6343" w:type="dxa"/>
            <w:textDirection w:val="lrTb"/>
            <w:noWrap/>
          </w:tcPr>
          <w:p>
            <w:pPr>
              <w:numPr>
                <w:ilvl w:val="0"/>
                <w:numId w:val="13"/>
              </w:numPr>
              <w:contextualSpacing/>
              <w:ind w:left="319" w:hanging="284"/>
              <w:jc w:val="both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Заказчик предоставляет Исполнителю техническую документацию по объекту обследования, имеющуюся </w:t>
              <w:br/>
              <w:t xml:space="preserve">в наличии (проектную, рабочую, исполнительную документацию, технические паспорта на оборудование в зоне обследования) в полном объеме до начала </w:t>
            </w:r>
            <w:r>
              <w:rPr>
                <w:rFonts w:ascii="Times New Roman" w:hAnsi="Times New Roman" w:cs="Times New Roman"/>
              </w:rPr>
              <w:t xml:space="preserve">оказания услуг</w:t>
            </w:r>
            <w:r>
              <w:rPr>
                <w:rFonts w:ascii="Times New Roman" w:hAnsi="Times New Roman" w:cs="Times New Roman"/>
                <w:color w:val="auto"/>
              </w:rPr>
              <w:t xml:space="preserve">.</w:t>
            </w:r>
            <w:r/>
          </w:p>
          <w:p>
            <w:pPr>
              <w:numPr>
                <w:ilvl w:val="0"/>
                <w:numId w:val="13"/>
              </w:numPr>
              <w:contextualSpacing/>
              <w:ind w:left="319" w:right="135" w:hanging="284"/>
              <w:jc w:val="both"/>
              <w:spacing w:line="276" w:lineRule="auto"/>
              <w:rPr>
                <w:rFonts w:ascii="Times New Roman" w:hAnsi="Times New Roman" w:eastAsia="Calibri" w:cs="Times New Roman"/>
                <w:bCs/>
                <w:color w:val="auto"/>
              </w:rPr>
            </w:pPr>
            <w:r>
              <w:rPr>
                <w:rFonts w:ascii="Times New Roman" w:hAnsi="Times New Roman" w:eastAsia="Calibri" w:cs="Times New Roman"/>
                <w:bCs/>
                <w:color w:val="auto"/>
              </w:rPr>
              <w:t xml:space="preserve">Заказчик выдаёт разрешение на </w:t>
            </w:r>
            <w:r>
              <w:rPr>
                <w:rFonts w:ascii="Times New Roman" w:hAnsi="Times New Roman" w:cs="Times New Roman"/>
              </w:rPr>
              <w:t xml:space="preserve">оказани</w:t>
            </w:r>
            <w:r>
              <w:rPr>
                <w:rFonts w:ascii="Times New Roman" w:hAnsi="Times New Roman" w:cs="Times New Roman"/>
              </w:rPr>
              <w:t xml:space="preserve">е</w:t>
            </w:r>
            <w:r>
              <w:rPr>
                <w:rFonts w:ascii="Times New Roman" w:hAnsi="Times New Roman" w:cs="Times New Roman"/>
              </w:rPr>
              <w:t xml:space="preserve"> услуг</w:t>
            </w:r>
            <w:r>
              <w:rPr>
                <w:rFonts w:ascii="Times New Roman" w:hAnsi="Times New Roman" w:eastAsia="Calibri" w:cs="Times New Roman"/>
                <w:bCs/>
                <w:color w:val="auto"/>
              </w:rPr>
              <w:t xml:space="preserve"> </w:t>
              <w:br/>
              <w:t xml:space="preserve">и обеспечивает безопасный и беспрепятственный доступ к обследуемому объекту.</w:t>
            </w:r>
            <w:r/>
          </w:p>
          <w:p>
            <w:pPr>
              <w:numPr>
                <w:ilvl w:val="0"/>
                <w:numId w:val="13"/>
              </w:numPr>
              <w:contextualSpacing/>
              <w:ind w:left="319" w:right="135" w:hanging="284"/>
              <w:jc w:val="both"/>
              <w:spacing w:line="276" w:lineRule="auto"/>
              <w:rPr>
                <w:rFonts w:ascii="Times New Roman" w:hAnsi="Times New Roman" w:eastAsia="Calibri" w:cs="Times New Roman"/>
                <w:bCs/>
                <w:color w:val="auto"/>
              </w:rPr>
            </w:pPr>
            <w:r>
              <w:rPr>
                <w:rFonts w:ascii="Times New Roman" w:hAnsi="Times New Roman" w:eastAsia="Calibri" w:cs="Times New Roman"/>
                <w:bCs/>
                <w:color w:val="auto"/>
              </w:rPr>
              <w:t xml:space="preserve">В рамки настоящего Договора не входят работы </w:t>
              <w:br/>
              <w:t xml:space="preserve">по восстановлению поверхностей в местах проведения вскрытий конструкций для выполнения обследования, выполняется только обратная засыпка грунта в местах откопки шурфов</w:t>
            </w:r>
            <w:r/>
          </w:p>
        </w:tc>
      </w:tr>
      <w:tr>
        <w:trPr>
          <w:jc w:val="right"/>
          <w:trHeight w:val="405"/>
        </w:trPr>
        <w:tc>
          <w:tcPr>
            <w:tcW w:w="846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ind w:left="36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945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Основные параметры работ</w:t>
            </w:r>
            <w:r/>
          </w:p>
        </w:tc>
        <w:tc>
          <w:tcPr>
            <w:tcW w:w="6343" w:type="dxa"/>
            <w:textDirection w:val="lrTb"/>
            <w:noWrap/>
          </w:tcPr>
          <w:p>
            <w:pPr>
              <w:pStyle w:val="788"/>
              <w:ind w:firstLine="455"/>
              <w:jc w:val="both"/>
              <w:rPr>
                <w:rFonts w:ascii="Times New Roman" w:hAnsi="Times New Roman" w:eastAsia="Arial Unicode MS" w:cs="Times New Roman"/>
                <w:bCs/>
                <w:sz w:val="24"/>
                <w:szCs w:val="24"/>
                <w:lang w:eastAsia="hi-IN" w:bidi="ru-RU"/>
              </w:rPr>
            </w:pPr>
            <w:r>
              <w:rPr>
                <w:rFonts w:ascii="Times New Roman" w:hAnsi="Times New Roman" w:eastAsia="Arial Unicode MS" w:cs="Times New Roman"/>
                <w:bCs/>
                <w:sz w:val="24"/>
                <w:szCs w:val="24"/>
                <w:highlight w:val="white"/>
                <w:lang w:eastAsia="hi-IN" w:bidi="ru-RU"/>
              </w:rPr>
              <w:t xml:space="preserve">Оказание услуг</w:t>
            </w:r>
            <w:r>
              <w:rPr>
                <w:rFonts w:ascii="Times New Roman" w:hAnsi="Times New Roman" w:eastAsia="Arial Unicode MS" w:cs="Times New Roman"/>
                <w:bCs/>
                <w:sz w:val="24"/>
                <w:szCs w:val="24"/>
                <w:highlight w:val="white"/>
                <w:lang w:eastAsia="hi-IN" w:bidi="ru-RU"/>
              </w:rPr>
              <w:t xml:space="preserve"> в соответствии с требованиями нормативных документов, включая, но не ограничиваясь:</w:t>
            </w:r>
            <w:r/>
          </w:p>
          <w:p>
            <w:pPr>
              <w:ind w:firstLine="45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white"/>
              </w:rPr>
              <w:t xml:space="preserve">ГОСТ Р 31937-2011. «Здания и сооружения. Правила обследования и мониторинга технического состояния».</w:t>
            </w:r>
            <w:r/>
          </w:p>
          <w:p>
            <w:pPr>
              <w:ind w:firstLine="45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white"/>
              </w:rPr>
              <w:t xml:space="preserve">ГОСТ 22690-2015 «Бетоны. Определение прочности механическими методами неразрушающего контроля»;</w:t>
            </w:r>
            <w:r/>
          </w:p>
          <w:p>
            <w:pPr>
              <w:ind w:firstLine="45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white"/>
              </w:rPr>
              <w:t xml:space="preserve">ГОСТ 17624-2012 «Бетоны. Ультразвуковой метод определения прочности (с Поправкой)»;</w:t>
            </w:r>
            <w:r/>
          </w:p>
          <w:p>
            <w:pPr>
              <w:ind w:firstLine="45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white"/>
              </w:rPr>
              <w:t xml:space="preserve">ГОСТ 22904-93. «Конструкции железобетонные. Магнитный метод определения толщины защитного слоя бетона и расположения арматуры»;</w:t>
            </w:r>
            <w:r/>
          </w:p>
          <w:p>
            <w:pPr>
              <w:ind w:firstLine="45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white"/>
              </w:rPr>
              <w:t xml:space="preserve">СП 20.13330.2016 «Нагрузки и воздействия»;</w:t>
            </w:r>
            <w:r/>
          </w:p>
          <w:p>
            <w:pPr>
              <w:ind w:firstLine="45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white"/>
              </w:rPr>
              <w:t xml:space="preserve">СП 28.13330. 2017 «Защита строительных конструкций от коррозии»;</w:t>
            </w:r>
            <w:r/>
          </w:p>
          <w:p>
            <w:pPr>
              <w:ind w:firstLine="45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 13-102-2003 «Правила обследования несущих строительных конструкций зданий и сооружений»</w:t>
            </w:r>
            <w:r>
              <w:rPr>
                <w:rFonts w:ascii="Times New Roman" w:hAnsi="Times New Roman" w:cs="Times New Roman"/>
              </w:rPr>
              <w:t xml:space="preserve">;</w:t>
            </w:r>
            <w:r/>
          </w:p>
          <w:p>
            <w:pPr>
              <w:ind w:firstLine="45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white"/>
              </w:rPr>
              <w:t xml:space="preserve">СП 71.13330.2017 «Изоляционные и отделочные покрытия».</w:t>
            </w:r>
            <w:r/>
          </w:p>
        </w:tc>
      </w:tr>
      <w:tr>
        <w:trPr>
          <w:jc w:val="right"/>
          <w:trHeight w:val="615"/>
        </w:trPr>
        <w:tc>
          <w:tcPr>
            <w:tcW w:w="846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ind w:left="36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945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Требования к составу и количеству экземпляров отчётной документации </w:t>
            </w:r>
            <w:r/>
          </w:p>
        </w:tc>
        <w:tc>
          <w:tcPr>
            <w:tcW w:w="6343" w:type="dxa"/>
            <w:textDirection w:val="lrTb"/>
            <w:noWrap/>
          </w:tcPr>
          <w:p>
            <w:pPr>
              <w:jc w:val="both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Оказанием услуг</w:t>
            </w:r>
            <w:r>
              <w:rPr>
                <w:rFonts w:ascii="Times New Roman" w:hAnsi="Times New Roman" w:cs="Times New Roman"/>
              </w:rPr>
              <w:t xml:space="preserve"> по обследованию будет являться составление и передача Заказчику Технического отчета </w:t>
              <w:br/>
              <w:t xml:space="preserve">по результатам </w:t>
            </w:r>
            <w:r>
              <w:rPr>
                <w:rFonts w:ascii="Times New Roman" w:hAnsi="Times New Roman" w:cs="Times New Roman"/>
                <w:bCs/>
                <w:color w:val="auto"/>
              </w:rPr>
              <w:t xml:space="preserve">технического</w:t>
            </w:r>
            <w:r>
              <w:rPr>
                <w:rFonts w:ascii="Times New Roman" w:hAnsi="Times New Roman" w:cs="Times New Roman"/>
                <w:bCs/>
                <w:color w:val="auto"/>
              </w:rPr>
              <w:t xml:space="preserve"> обследования </w:t>
            </w:r>
            <w:r>
              <w:rPr>
                <w:rFonts w:ascii="Times New Roman" w:hAnsi="Times New Roman" w:cs="Times New Roman"/>
              </w:rPr>
              <w:t xml:space="preserve">конструкций здани</w:t>
            </w:r>
            <w:r>
              <w:rPr>
                <w:rFonts w:ascii="Times New Roman" w:hAnsi="Times New Roman" w:cs="Times New Roman"/>
              </w:rPr>
              <w:t xml:space="preserve">й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</w:t>
            </w:r>
            <w:r>
              <w:rPr>
                <w:rFonts w:ascii="Times New Roman" w:hAnsi="Times New Roman" w:cs="Times New Roman"/>
              </w:rPr>
              <w:t xml:space="preserve"> инженерных систем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на бумажных </w:t>
              <w:br/>
              <w:t xml:space="preserve">и на электронных носителях. Исполнитель передает Заказчику Технический отчет по результатам </w:t>
            </w:r>
            <w:r>
              <w:rPr>
                <w:rFonts w:ascii="Times New Roman" w:hAnsi="Times New Roman" w:cs="Times New Roman"/>
              </w:rPr>
              <w:t xml:space="preserve">экспертизы конструк</w:t>
            </w:r>
            <w:r>
              <w:rPr>
                <w:rFonts w:ascii="Times New Roman" w:hAnsi="Times New Roman" w:cs="Times New Roman"/>
              </w:rPr>
              <w:t xml:space="preserve">ций в </w:t>
            </w: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одном</w:t>
            </w:r>
            <w:r>
              <w:rPr>
                <w:rFonts w:ascii="Times New Roman" w:hAnsi="Times New Roman" w:cs="Times New Roman"/>
              </w:rPr>
              <w:t xml:space="preserve">) экземпляр</w:t>
            </w:r>
            <w:r>
              <w:rPr>
                <w:rFonts w:ascii="Times New Roman" w:hAnsi="Times New Roman" w:cs="Times New Roman"/>
              </w:rPr>
              <w:t xml:space="preserve">е</w:t>
            </w:r>
            <w:r>
              <w:rPr>
                <w:rFonts w:ascii="Times New Roman" w:hAnsi="Times New Roman" w:cs="Times New Roman"/>
              </w:rPr>
              <w:t xml:space="preserve"> на бумажном носителе и в 1 (одном) экземпляре в электронном виде на диске </w:t>
              <w:br/>
              <w:t xml:space="preserve">(в формате *.pdf, </w:t>
            </w:r>
            <w:r>
              <w:rPr>
                <w:rFonts w:ascii="Times New Roman" w:hAnsi="Times New Roman" w:cs="Times New Roman"/>
                <w:lang w:val="en-US"/>
              </w:rPr>
              <w:t xml:space="preserve">doc</w:t>
            </w:r>
            <w:r>
              <w:rPr>
                <w:rFonts w:ascii="Times New Roman" w:hAnsi="Times New Roman" w:cs="Times New Roman"/>
              </w:rPr>
              <w:t xml:space="preserve">. Графическая часть в формате *</w:t>
            </w:r>
            <w:r>
              <w:rPr>
                <w:rFonts w:ascii="Times New Roman" w:hAnsi="Times New Roman" w:cs="Times New Roman"/>
                <w:lang w:val="en-US"/>
              </w:rPr>
              <w:t xml:space="preserve">dwg</w:t>
            </w:r>
            <w:r>
              <w:rPr>
                <w:rFonts w:ascii="Times New Roman" w:hAnsi="Times New Roman" w:cs="Times New Roman"/>
              </w:rPr>
              <w:t xml:space="preserve">)</w:t>
            </w:r>
            <w:r/>
          </w:p>
        </w:tc>
      </w:tr>
      <w:tr>
        <w:trPr>
          <w:jc w:val="right"/>
          <w:trHeight w:val="45"/>
        </w:trPr>
        <w:tc>
          <w:tcPr>
            <w:tcW w:w="846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ind w:left="36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945" w:type="dxa"/>
            <w:textDirection w:val="lrTb"/>
            <w:noWrap w:val="false"/>
          </w:tcPr>
          <w:p>
            <w:pPr>
              <w:spacing w:line="276" w:lineRule="auto"/>
              <w:tabs>
                <w:tab w:val="left" w:pos="474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Уточнение и дополнение задания</w:t>
            </w:r>
            <w:r/>
          </w:p>
        </w:tc>
        <w:tc>
          <w:tcPr>
            <w:tcW w:w="6343" w:type="dxa"/>
            <w:textDirection w:val="lrTb"/>
            <w:noWrap/>
          </w:tcPr>
          <w:p>
            <w:pPr>
              <w:jc w:val="both"/>
              <w:spacing w:line="276" w:lineRule="auto"/>
              <w:tabs>
                <w:tab w:val="left" w:pos="474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Настоящее задание может уточняться и дополняться </w:t>
              <w:br/>
              <w:t xml:space="preserve">в установленном порядке по согласованию Сторон</w:t>
            </w:r>
            <w:r/>
          </w:p>
        </w:tc>
      </w:tr>
    </w:tbl>
    <w:p>
      <w:pPr>
        <w:pStyle w:val="826"/>
        <w:jc w:val="center"/>
        <w:spacing w:beforeAutospacing="0" w:after="120" w:afterAutospacing="0"/>
      </w:pPr>
      <w:r>
        <w:rPr>
          <w:szCs w:val="24"/>
          <w:highlight w:val="none"/>
        </w:rPr>
      </w:r>
      <w:r>
        <w:rPr>
          <w:szCs w:val="24"/>
          <w:highlight w:val="none"/>
        </w:rPr>
      </w:r>
    </w:p>
    <w:p>
      <w:pPr>
        <w:pStyle w:val="826"/>
        <w:jc w:val="center"/>
        <w:spacing w:beforeAutospacing="0" w:after="120" w:afterAutospacing="0"/>
        <w:rPr>
          <w:highlight w:val="none"/>
        </w:rPr>
      </w:pPr>
      <w:r>
        <w:rPr>
          <w:szCs w:val="24"/>
        </w:rPr>
        <w:t xml:space="preserve">2. Права и обязанности Сторон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  <w:tabs>
          <w:tab w:val="left" w:pos="9924" w:leader="none"/>
        </w:tabs>
      </w:pPr>
      <w:r>
        <w:rPr>
          <w:szCs w:val="24"/>
        </w:rPr>
        <w:t xml:space="preserve">2.1. Исполнитель вправе: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  <w:tabs>
          <w:tab w:val="left" w:pos="9924" w:leader="none"/>
        </w:tabs>
      </w:pPr>
      <w:r>
        <w:rPr>
          <w:szCs w:val="24"/>
        </w:rPr>
        <w:t xml:space="preserve">2.1.1. Требовать своевременного подписания Заказчиком акта сдачи-приемки Услуг (приложение № 1 к настоящему Техническому заданию) на основании представленных Исполнителем документов, предусмотренных пунктом 4.2 настоящего Технического задания.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  <w:tabs>
          <w:tab w:val="left" w:pos="9924" w:leader="none"/>
        </w:tabs>
      </w:pPr>
      <w:r>
        <w:rPr>
          <w:szCs w:val="24"/>
        </w:rPr>
        <w:t xml:space="preserve">2.1.2. Требовать своевременной оплаты выполненных Услуг в соответствии с условиями Контракта.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  <w:tabs>
          <w:tab w:val="left" w:pos="9924" w:leader="none"/>
        </w:tabs>
      </w:pPr>
      <w:r>
        <w:rPr>
          <w:szCs w:val="24"/>
        </w:rPr>
        <w:t xml:space="preserve">2.1.3. Требовать уплаты неустоек (штрафов, пеней) в случае неисполнения </w:t>
        <w:br/>
        <w:t xml:space="preserve">или ненадлежащего исполнения (в том числе просрочки исполнения) Заказчиком обязательств, предусмотренных Контрактом.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  <w:tabs>
          <w:tab w:val="left" w:pos="9924" w:leader="none"/>
        </w:tabs>
      </w:pPr>
      <w:r>
        <w:rPr>
          <w:szCs w:val="24"/>
        </w:rPr>
        <w:t xml:space="preserve">2.2. Исполнитель обязан: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  <w:tabs>
          <w:tab w:val="left" w:pos="9924" w:leader="none"/>
        </w:tabs>
      </w:pPr>
      <w:r>
        <w:rPr>
          <w:szCs w:val="24"/>
        </w:rPr>
        <w:t xml:space="preserve">2.2.1. Выполнить Услуги в полном объеме в порядке, установленном Контрактом </w:t>
        <w:br/>
        <w:t xml:space="preserve">и настоящим Техническим заданием.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  <w:tabs>
          <w:tab w:val="left" w:pos="9924" w:leader="none"/>
        </w:tabs>
      </w:pPr>
      <w:r>
        <w:rPr>
          <w:szCs w:val="24"/>
        </w:rPr>
        <w:t xml:space="preserve">2.2.2. За свой счет, не нарушая сроков выполнения Услуг, устранять допущенные по своей вине несоответствия Услуг условиям Контракта и настоящего Технического задания.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  <w:tabs>
          <w:tab w:val="left" w:pos="9924" w:leader="none"/>
        </w:tabs>
      </w:pPr>
      <w:r>
        <w:rPr>
          <w:szCs w:val="24"/>
        </w:rPr>
        <w:t xml:space="preserve">2.2.3. Приостановить исполнение К</w:t>
      </w:r>
      <w:r>
        <w:rPr>
          <w:szCs w:val="24"/>
        </w:rPr>
        <w:t xml:space="preserve">онтракта, письменно поставив об этом в известность Заказчика за 5 (пять) дней до приостановления выполнения Услуг в случае, если в процессе выполнения Услуг выясняется неизбежность получения отрицательного результата, несоответствующего условиям Контракта.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  <w:tabs>
          <w:tab w:val="left" w:pos="9924" w:leader="none"/>
        </w:tabs>
      </w:pPr>
      <w:r>
        <w:rPr>
          <w:szCs w:val="24"/>
        </w:rPr>
        <w:t xml:space="preserve">2.2.4. Гарантировать Заказчику выполнение качественных Услуг с соблюдением всех требований законодательства Российской Федерации.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  <w:tabs>
          <w:tab w:val="left" w:pos="9924" w:leader="none"/>
        </w:tabs>
      </w:pPr>
      <w:r>
        <w:rPr>
          <w:szCs w:val="24"/>
        </w:rPr>
        <w:t xml:space="preserve">2.2.5. </w:t>
      </w:r>
      <w:r>
        <w:rPr>
          <w:szCs w:val="24"/>
        </w:rPr>
        <w:t xml:space="preserve">В случае изменения банковских или иных реквизитов в течение 3 (трех) рабочих дней письменно известить Заказчика, в противном случае все риски, связанные с перечислением Заказчиком денежных средств на указанный в Контракте расчетный счет, несет Исполнитель.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  <w:tabs>
          <w:tab w:val="left" w:pos="9924" w:leader="none"/>
        </w:tabs>
      </w:pPr>
      <w:r>
        <w:rPr>
          <w:szCs w:val="24"/>
        </w:rPr>
        <w:t xml:space="preserve">2.3. Заказчик вправе: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  <w:tabs>
          <w:tab w:val="left" w:pos="9924" w:leader="none"/>
        </w:tabs>
      </w:pPr>
      <w:r>
        <w:rPr>
          <w:szCs w:val="24"/>
        </w:rPr>
        <w:t xml:space="preserve">2.3.1. Требовать от Исполнителя надлежащего исполнения обязательств в соответствии </w:t>
        <w:br/>
        <w:t xml:space="preserve">с Контрактом, а также требовать своевременного устранения выявленных недостатков.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  <w:tabs>
          <w:tab w:val="left" w:pos="9924" w:leader="none"/>
        </w:tabs>
      </w:pPr>
      <w:r>
        <w:rPr>
          <w:szCs w:val="24"/>
        </w:rPr>
        <w:t xml:space="preserve">2.3.2. Требовать от Исполнителя представления надлежащим образом оформленных документов, предусмотренных пунктом 4.2 настоящего Технического задания и подтверждающих исполнение обязательств по Контракту.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  <w:tabs>
          <w:tab w:val="left" w:pos="9924" w:leader="none"/>
        </w:tabs>
      </w:pPr>
      <w:r>
        <w:rPr>
          <w:szCs w:val="24"/>
        </w:rPr>
        <w:t xml:space="preserve">2.3.3. Запрашивать у Исполнителя информацию о ходе исполнения обязательств </w:t>
        <w:br/>
        <w:t xml:space="preserve">по Контракту.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  <w:tabs>
          <w:tab w:val="left" w:pos="9924" w:leader="none"/>
        </w:tabs>
      </w:pPr>
      <w:r>
        <w:rPr>
          <w:szCs w:val="24"/>
        </w:rPr>
        <w:t xml:space="preserve">2.3.4. Отказаться от приемки Услуг в случаях, предусмотренных законодательством Российской Федерации и Контрактом, в том числе в случае обнаружения неустранимых недостатков.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  <w:tabs>
          <w:tab w:val="left" w:pos="9924" w:leader="none"/>
        </w:tabs>
      </w:pPr>
      <w:r>
        <w:rPr>
          <w:szCs w:val="24"/>
        </w:rPr>
        <w:t xml:space="preserve">2.3.5. По соглашению с Исполнителем изменить существенные условия Контракта в случаях, установленных законодательством Российской Федерации и Контрактом.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  <w:tabs>
          <w:tab w:val="left" w:pos="9924" w:leader="none"/>
        </w:tabs>
      </w:pPr>
      <w:r>
        <w:rPr>
          <w:szCs w:val="24"/>
        </w:rPr>
        <w:t xml:space="preserve">2.3.6. Осуществить выплату Исполнителю суммы, уменьшенной на сумму неустойки (штрафа, пени), рассчитанной в порядке, предусмотренном разделом 6 настоящего Технического задания.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  <w:tabs>
          <w:tab w:val="left" w:pos="9924" w:leader="none"/>
        </w:tabs>
      </w:pPr>
      <w:r>
        <w:rPr>
          <w:szCs w:val="24"/>
        </w:rPr>
        <w:t xml:space="preserve">2.3.7. Пользоваться иными правами, установленными Контрактом и законодательством Российской Федерации.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  <w:tabs>
          <w:tab w:val="left" w:pos="9924" w:leader="none"/>
        </w:tabs>
      </w:pPr>
      <w:r>
        <w:rPr>
          <w:szCs w:val="24"/>
        </w:rPr>
        <w:t xml:space="preserve">2.4. Заказчик обязан: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  <w:tabs>
          <w:tab w:val="left" w:pos="9924" w:leader="none"/>
        </w:tabs>
      </w:pPr>
      <w:r>
        <w:rPr>
          <w:szCs w:val="24"/>
        </w:rPr>
        <w:t xml:space="preserve">2.4.1. Принять и оплатить оказанные Услуги в соответствии с условиями Контракта.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  <w:tabs>
          <w:tab w:val="left" w:pos="9924" w:leader="none"/>
        </w:tabs>
      </w:pPr>
      <w:r>
        <w:rPr>
          <w:szCs w:val="24"/>
        </w:rPr>
        <w:t xml:space="preserve">2.4.2. Осуществлять контроль за порядком исполнения Услуг.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  <w:tabs>
          <w:tab w:val="left" w:pos="9924" w:leader="none"/>
        </w:tabs>
      </w:pPr>
      <w:r>
        <w:rPr>
          <w:szCs w:val="24"/>
        </w:rPr>
        <w:t xml:space="preserve">2.4.3. Требовать уплаты неустоек (штрафов, пеней) в случае неисполнения </w:t>
        <w:br/>
        <w:t xml:space="preserve">или ненадлежащего исполнения (в том числе просрочки исполнения) Исполнителем обязательств, предусмотренных Контрактом и настоящим Техническим заданием.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  <w:tabs>
          <w:tab w:val="left" w:pos="9924" w:leader="none"/>
        </w:tabs>
      </w:pPr>
      <w:r>
        <w:rPr>
          <w:szCs w:val="24"/>
        </w:rPr>
        <w:t xml:space="preserve">2.5. Стороны обязуются не уступать (не передавать) и не обременять каким-либо образом свои права и (или) обязанности по Контракту без предварительного письменного согласия другой Стороны.</w:t>
      </w:r>
      <w:r>
        <w:rPr>
          <w:szCs w:val="24"/>
        </w:rPr>
      </w:r>
      <w:r/>
    </w:p>
    <w:p>
      <w:pPr>
        <w:pStyle w:val="826"/>
        <w:jc w:val="center"/>
        <w:spacing w:beforeAutospacing="0" w:after="120" w:afterAutospacing="0"/>
      </w:pPr>
      <w:r>
        <w:rPr>
          <w:szCs w:val="24"/>
        </w:rPr>
        <w:t xml:space="preserve">3. Порядок </w:t>
      </w:r>
      <w:r>
        <w:t xml:space="preserve">расчетов</w:t>
      </w:r>
      <w:r/>
      <w:r/>
    </w:p>
    <w:p>
      <w:pPr>
        <w:pStyle w:val="826"/>
        <w:ind w:firstLine="709"/>
        <w:jc w:val="both"/>
        <w:spacing w:beforeAutospacing="0" w:afterAutospacing="0"/>
        <w:tabs>
          <w:tab w:val="left" w:pos="9924" w:leader="none"/>
        </w:tabs>
      </w:pPr>
      <w:r>
        <w:rPr>
          <w:szCs w:val="24"/>
        </w:rPr>
        <w:t xml:space="preserve">3.1. Сумма, подлежащая уплате Заказчиком Исполнителю, уменьшается на размер налогов, сборов и иных обязательных платежей в бюджеты бюджетной системы Р</w:t>
      </w:r>
      <w:r>
        <w:rPr>
          <w:szCs w:val="24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</w:pPr>
      <w:r>
        <w:rPr>
          <w:szCs w:val="24"/>
        </w:rPr>
        <w:t xml:space="preserve">3.2. Цена Контракта является твердой и определяется на весь срок его исполнения. Изменение цены Контракта в процессе его исполнения не допускается, за исключением случаев, предусмотренных частью 1 статьи 95 Федерального закона от 05.04.2013 № 44-ФЗ.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</w:pPr>
      <w:r>
        <w:rPr>
          <w:szCs w:val="24"/>
        </w:rPr>
        <w:t xml:space="preserve">3.3. Оплата по Контракту производится Заказчиком после оказания Услуг путем перечисления денежных средств на расчетный счет Исполнителя. 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</w:pPr>
      <w:r>
        <w:rPr>
          <w:szCs w:val="24"/>
        </w:rPr>
        <w:t xml:space="preserve">3.4. Оплата выполненных Услуг производится Заказчиком не позднее 10 (десяти) рабочих дней с даты подписания Заказчиком акта сдачи-приемки Услуг (приложение № 1 </w:t>
        <w:br/>
        <w:t xml:space="preserve">к </w:t>
      </w:r>
      <w:r>
        <w:rPr>
          <w:szCs w:val="24"/>
        </w:rPr>
        <w:t xml:space="preserve">настоящему Техническому заданию). Датой оплаты Услуг считается дата списания денежных средств с лицевого счета Заказчика.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  <w:tabs>
          <w:tab w:val="left" w:pos="9924" w:leader="none"/>
        </w:tabs>
      </w:pPr>
      <w:r>
        <w:rPr>
          <w:szCs w:val="24"/>
        </w:rPr>
        <w:t xml:space="preserve">3.5. Оплата по Контракту осуществляется за счет и в пределах средств федерального бюджета, выделенных Заказчику в 202</w:t>
      </w:r>
      <w:r>
        <w:rPr>
          <w:szCs w:val="24"/>
        </w:rPr>
        <w:t xml:space="preserve">6 </w:t>
      </w:r>
      <w:r>
        <w:rPr>
          <w:szCs w:val="24"/>
        </w:rPr>
        <w:t xml:space="preserve">году.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  <w:tabs>
          <w:tab w:val="left" w:pos="9924" w:leader="none"/>
        </w:tabs>
        <w:rPr>
          <w:highlight w:val="none"/>
        </w:rPr>
      </w:pPr>
      <w:r>
        <w:rPr>
          <w:szCs w:val="24"/>
        </w:rPr>
        <w:t xml:space="preserve">3.6. Цена Контракта формируется с учетом всех расходов Исполнителя, связанных </w:t>
        <w:br/>
        <w:t xml:space="preserve">с выполнением Услуг, а также налогов, сборов и других обязательных платежей в соответствии </w:t>
        <w:br/>
        <w:t xml:space="preserve">с законодательством Российской Федерации и Контрактом.</w:t>
      </w:r>
      <w:r>
        <w:rPr>
          <w:szCs w:val="24"/>
        </w:rPr>
      </w:r>
      <w:r/>
      <w:r>
        <w:rPr>
          <w:szCs w:val="24"/>
          <w:highlight w:val="none"/>
        </w:rPr>
      </w:r>
      <w:r>
        <w:rPr>
          <w:szCs w:val="24"/>
          <w:highlight w:val="none"/>
        </w:rPr>
      </w:r>
      <w:r>
        <w:rPr>
          <w:highlight w:val="none"/>
        </w:rPr>
      </w:r>
    </w:p>
    <w:p>
      <w:pPr>
        <w:pStyle w:val="826"/>
        <w:jc w:val="center"/>
        <w:spacing w:before="119" w:beforeAutospacing="0" w:after="120" w:afterAutospacing="0"/>
      </w:pPr>
      <w:r>
        <w:rPr>
          <w:szCs w:val="24"/>
        </w:rPr>
        <w:t xml:space="preserve">4. Порядок </w:t>
      </w:r>
      <w:r>
        <w:t xml:space="preserve">выполнения </w:t>
      </w:r>
      <w:r>
        <w:rPr>
          <w:szCs w:val="24"/>
        </w:rPr>
        <w:t xml:space="preserve">Услуг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</w:pPr>
      <w:r>
        <w:rPr>
          <w:szCs w:val="24"/>
        </w:rPr>
        <w:t xml:space="preserve">4.1. Порядок выполнения Услуг по Контракту определяется настоящим Техническим заданием.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</w:pPr>
      <w:r>
        <w:rPr>
          <w:szCs w:val="24"/>
        </w:rPr>
        <w:t xml:space="preserve">4.2. Исполнитель не позднее 5 (пяти) рабочих дней с даты окончания выполнения Услуг передает Заказчику подписанные со своей стороны и заверенные печатью (при наличии) следующие документы: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</w:pPr>
      <w:r>
        <w:rPr>
          <w:szCs w:val="24"/>
        </w:rPr>
        <w:t xml:space="preserve">- акт сдачи-приемки Услуг (приложение № 1 к настоящему Техническому заданию) в 2 (двух) экземплярах;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</w:pPr>
      <w:r>
        <w:rPr>
          <w:szCs w:val="24"/>
        </w:rPr>
        <w:t xml:space="preserve">- счет в 1 (одном) экземпляре;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</w:pPr>
      <w:r>
        <w:rPr>
          <w:szCs w:val="24"/>
        </w:rPr>
        <w:t xml:space="preserve">- счет-фактуру или универсальный передаточный документ в 1 (одном) экземпляре (в случае, если Исполнитель является плательщиком НДС);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</w:pPr>
      <w:r>
        <w:rPr>
          <w:szCs w:val="24"/>
        </w:rPr>
        <w:t xml:space="preserve">- иные документы, подтверждающие качество оказанных Услуг.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</w:pPr>
      <w:r>
        <w:rPr>
          <w:szCs w:val="24"/>
        </w:rPr>
        <w:t xml:space="preserve">Передаваемые документы должны соответствовать Контракту и настоящему Техническому заданию.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</w:pPr>
      <w:r>
        <w:rPr>
          <w:szCs w:val="24"/>
        </w:rPr>
        <w:t xml:space="preserve">4.3. Услуги считаются выполненными с даты получения Заказчиком документов, указанных в пункте 4.2 настоящего Технического задания, но не ранее фактического выполнения Услуг Заказчику.</w:t>
      </w:r>
      <w:r>
        <w:rPr>
          <w:szCs w:val="24"/>
        </w:rPr>
      </w:r>
      <w:r/>
      <w:r>
        <w:rPr>
          <w:szCs w:val="24"/>
        </w:rPr>
      </w:r>
      <w:r>
        <w:rPr>
          <w:szCs w:val="24"/>
        </w:rPr>
      </w:r>
      <w:r/>
      <w:r>
        <w:rPr>
          <w:szCs w:val="24"/>
        </w:rPr>
      </w:r>
    </w:p>
    <w:p>
      <w:pPr>
        <w:pStyle w:val="826"/>
        <w:jc w:val="center"/>
        <w:spacing w:beforeAutospacing="0" w:after="120" w:afterAutospacing="0"/>
      </w:pPr>
      <w:r>
        <w:rPr>
          <w:szCs w:val="24"/>
        </w:rPr>
        <w:t xml:space="preserve">5. </w:t>
      </w:r>
      <w:r>
        <w:t xml:space="preserve">Порядок </w:t>
      </w:r>
      <w:r>
        <w:rPr>
          <w:szCs w:val="24"/>
        </w:rPr>
        <w:t xml:space="preserve">приемки Услуг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</w:pPr>
      <w:r>
        <w:rPr>
          <w:szCs w:val="24"/>
        </w:rPr>
        <w:t xml:space="preserve">5.1. В случае если Исполнитель некорректно оформил счет, счет-</w:t>
      </w:r>
      <w:r>
        <w:rPr>
          <w:szCs w:val="24"/>
        </w:rPr>
        <w:t xml:space="preserve">фактуру (при наличии) </w:t>
        <w:br/>
        <w:t xml:space="preserve">или акт сдачи-приемки Услуг (приложение № 1 к настоящему Техническому заданию) </w:t>
        <w:br/>
        <w:t xml:space="preserve">в предоставляемом комплекте документов, Заказчик вправе приостановить приемку Услуг </w:t>
        <w:br/>
        <w:t xml:space="preserve">до устранения Исполнителем замечаний к оформлению указанных документов.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</w:pPr>
      <w:r>
        <w:rPr>
          <w:szCs w:val="24"/>
        </w:rPr>
        <w:t xml:space="preserve">5.2. В целях приемки выполненных Услуг по решению Заказчика может создаваться приемочная комиссия.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</w:pPr>
      <w:r>
        <w:rPr>
          <w:szCs w:val="24"/>
        </w:rPr>
        <w:t xml:space="preserve">5.3. При приемке выполненных Услуг для проверки предоставленных Исполнителем результатов, предусмотренных Контрактом, в части их соответствия условиям Контракта </w:t>
        <w:br/>
        <w:t xml:space="preserve">и настоящего Технического задания, Заказчик проводит экспертизу.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</w:pPr>
      <w:r>
        <w:rPr>
          <w:szCs w:val="24"/>
        </w:rPr>
        <w:t xml:space="preserve">Экспертиза результатов, предусмотренных Контрактом, может проводиться Заказчиком своими силами и (или) к ее проведению могут привлекаться эксперты, экспертные организации.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</w:pPr>
      <w:r>
        <w:rPr>
          <w:szCs w:val="24"/>
        </w:rPr>
        <w:t xml:space="preserve">По результатам проведенной экспертизы эксперт (экспертная организация) готовит экспертное заключение и направляет его на рассмотрение Заказчику.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</w:pPr>
      <w:r>
        <w:rPr>
          <w:szCs w:val="24"/>
        </w:rPr>
        <w:t xml:space="preserve">5.4. Заказчик проверяет выполненные Услуги на соответствие требованиям Контракта, </w:t>
        <w:br/>
        <w:t xml:space="preserve">в том числе настоящего Технического задания.</w:t>
      </w:r>
      <w:r>
        <w:rPr>
          <w:szCs w:val="24"/>
        </w:rPr>
      </w:r>
      <w:r/>
    </w:p>
    <w:p>
      <w:pPr>
        <w:ind w:firstLine="709"/>
        <w:jc w:val="both"/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Заказчик вправе осуществить частичную приемку оказанных Исполнителем услуг.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</w:pPr>
      <w:r>
        <w:rPr>
          <w:szCs w:val="24"/>
        </w:rPr>
        <w:t xml:space="preserve">5.5. В случае принятия Заказчиком решения о приемке Услуг акт сдачи-приемки Услуг (приложение № 1 к настоящему Техническому заданию) подписывается Заказчиком не позднее </w:t>
        <w:br/>
      </w:r>
      <w:r>
        <w:rPr>
          <w:szCs w:val="24"/>
        </w:rPr>
        <w:t xml:space="preserve">2</w:t>
      </w:r>
      <w:r>
        <w:rPr>
          <w:szCs w:val="24"/>
        </w:rPr>
        <w:t xml:space="preserve">0 (</w:t>
      </w:r>
      <w:r>
        <w:rPr>
          <w:szCs w:val="24"/>
        </w:rPr>
        <w:t xml:space="preserve">двадцати</w:t>
      </w:r>
      <w:r>
        <w:rPr>
          <w:szCs w:val="24"/>
        </w:rPr>
        <w:t xml:space="preserve">) рабочих дней с даты получения документов, указанных в пункте 4.2 настоящего Технического задания.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</w:pPr>
      <w:r>
        <w:rPr>
          <w:szCs w:val="24"/>
        </w:rPr>
        <w:t xml:space="preserve">5.6. При выявлении несоответствия вып</w:t>
      </w:r>
      <w:r>
        <w:rPr>
          <w:szCs w:val="24"/>
        </w:rPr>
        <w:t xml:space="preserve">олненных Услуг требованиям Контракта, в том числе настоящего Технического задания, препятствующего приемке Услуг, Заказчиком в срок, указанный в пункте 5.5 настоящего Технического задания, составляется акт, содержащий мотивированный отказ от приемки Услуг.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</w:pPr>
      <w:r>
        <w:rPr>
          <w:szCs w:val="24"/>
        </w:rPr>
        <w:t xml:space="preserve">5.7. В течение 2 (двух) рабочих дней со дня составления акта в соответствии с пунктом 5.6 настоящего Технического зад</w:t>
      </w:r>
      <w:r>
        <w:rPr>
          <w:szCs w:val="24"/>
        </w:rPr>
        <w:t xml:space="preserve">ания Заказчиком по адресу Исполнителя, указанному Контракте, направляется мотивированный отказ от приемки Услуг с указанием выявленных несоответствий выполненных Услуг требованиям Контракта и сроков их устранения с момента получения мотивированного отказа.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</w:pPr>
      <w:r>
        <w:rPr>
          <w:szCs w:val="24"/>
        </w:rPr>
        <w:t xml:space="preserve">5.8. После устранения Исполнителем выявленных несоответствий повторная приемка Услуг осуществляется в</w:t>
      </w:r>
      <w:r>
        <w:rPr>
          <w:szCs w:val="24"/>
        </w:rPr>
        <w:t xml:space="preserve"> порядке, предусмотренном пунктами 5.3 – 5.6 настоящего Технического задания. В случае выявления при повторной приемке несоответствия Услуг требованиям Контракта, Услуги считаются неоказанными, а обязательства Исполнителя по их выполнению – невыполненными.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</w:pPr>
      <w:r>
        <w:rPr>
          <w:szCs w:val="24"/>
        </w:rPr>
        <w:t xml:space="preserve">5.9. Услуги считаются принятым с даты подписания Заказчиком акта сдачи-приемки Услуг (приложение № 1 к настоящему Техническому заданию) при условии исполнения Исполнителем всех обязательств по Контракту.</w:t>
      </w:r>
      <w:r>
        <w:rPr>
          <w:szCs w:val="24"/>
        </w:rPr>
      </w:r>
      <w:r/>
    </w:p>
    <w:p>
      <w:pPr>
        <w:pStyle w:val="826"/>
        <w:jc w:val="center"/>
        <w:spacing w:beforeAutospacing="0" w:after="120" w:afterAutospacing="0"/>
      </w:pPr>
      <w:r>
        <w:rPr>
          <w:szCs w:val="24"/>
        </w:rPr>
        <w:t xml:space="preserve">6. </w:t>
      </w:r>
      <w:r>
        <w:t xml:space="preserve">Ответственность </w:t>
      </w:r>
      <w:r>
        <w:rPr>
          <w:szCs w:val="24"/>
        </w:rPr>
        <w:t xml:space="preserve">Сторон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</w:pPr>
      <w:r>
        <w:rPr>
          <w:szCs w:val="24"/>
        </w:rPr>
        <w:t xml:space="preserve">6.1. За неисполнение или ненадлежащее исполнение своих обязательств, установленных Контрактом и настоящим Техническим заданием, Стороны несут ответственность в соответствии с законодательством Российской Федерации и Контрактом.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</w:pPr>
      <w:r>
        <w:rPr>
          <w:szCs w:val="24"/>
        </w:rPr>
        <w:t xml:space="preserve">6.2</w:t>
      </w:r>
      <w:r>
        <w:rPr>
          <w:szCs w:val="24"/>
        </w:rPr>
        <w:t xml:space="preserve">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штрафов, пеней.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</w:pPr>
      <w:r>
        <w:rPr>
          <w:szCs w:val="24"/>
        </w:rPr>
        <w:t xml:space="preserve">6.3.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составляет 1000 рублей (одну тысячу рублей 00 копеек).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</w:pPr>
      <w:r>
        <w:rPr>
          <w:szCs w:val="24"/>
        </w:rPr>
        <w:t xml:space="preserve">6.4. Пеня начисляется за каждый день просрочки исполнения Заказчиком обязательства, предусмотренного Контрактом, начиная со дня, следующего после </w:t>
      </w:r>
      <w:r>
        <w:rPr>
          <w:szCs w:val="24"/>
        </w:rPr>
        <w:t xml:space="preserve">дня истечения установленного Контрактом срока исполнения такого обязательства.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цены настоящего Контракта.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</w:pPr>
      <w:r>
        <w:rPr>
          <w:szCs w:val="24"/>
        </w:rPr>
        <w:t xml:space="preserve">6.5.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</w:t>
      </w:r>
      <w:r>
        <w:rPr>
          <w:szCs w:val="24"/>
        </w:rPr>
        <w:t xml:space="preserve"> Исполнителем обязательств, предусмотренных Контрактом и настоящим Техническим заданием, Заказчик направляет Исполнителю требование об уплате штрафов, пеней или осуществляет оплату выполненных Услуг в размере, уменьшенном на сумму неустойки (штрафа, пени).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</w:pPr>
      <w:r>
        <w:rPr>
          <w:szCs w:val="24"/>
        </w:rPr>
        <w:t xml:space="preserve">6.6. За каждый факт неисполнения или ненадлежащего исполнения Исполнителем обяз</w:t>
      </w:r>
      <w:r>
        <w:rPr>
          <w:szCs w:val="24"/>
        </w:rPr>
        <w:t xml:space="preserve">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 и настоящим Техническим заданием, размер штрафа составляет 10% (десять процентов) от цены Контракта.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</w:pPr>
      <w:r>
        <w:rPr>
          <w:szCs w:val="24"/>
        </w:rPr>
        <w:t xml:space="preserve">6.7. За каждый факт неисполнения или ненадлежащего</w:t>
      </w:r>
      <w:r>
        <w:rPr>
          <w:szCs w:val="24"/>
        </w:rPr>
        <w:t xml:space="preserve"> исполнения Исполнителем обязательства, предусмотренного Контрактом и настоящим Техническим заданием, которое </w:t>
        <w:br/>
        <w:t xml:space="preserve">не имеет стоимостного выражения, размер штрафа составляет (при наличии в Контракте таких обязательств) 1000 рублей (одну тысячу рублей 00 копеек).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</w:pPr>
      <w:r>
        <w:rPr>
          <w:szCs w:val="24"/>
        </w:rPr>
        <w:t xml:space="preserve">6.8. Пеня начисляется за каждый день просрочки исполнения Исполнителем обязательства, предусмотренного Контрактом и настоящим Техническим заданием, начиная со дня, следующего после дня истечения установленного Контрактом срока исполнени</w:t>
      </w:r>
      <w:r>
        <w:rPr>
          <w:szCs w:val="24"/>
        </w:rPr>
        <w:t xml:space="preserve">я такого обязательства,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настоящим Контрактом и </w:t>
      </w:r>
      <w:r>
        <w:rPr>
          <w:szCs w:val="24"/>
        </w:rPr>
        <w:t xml:space="preserve">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</w:pPr>
      <w:r>
        <w:rPr>
          <w:szCs w:val="24"/>
        </w:rPr>
        <w:t xml:space="preserve">6.9.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</w:pPr>
      <w:r>
        <w:rPr>
          <w:szCs w:val="24"/>
        </w:rPr>
        <w:t xml:space="preserve">6.10.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</w:pPr>
      <w:r>
        <w:rPr>
          <w:szCs w:val="24"/>
        </w:rPr>
        <w:t xml:space="preserve">6.11. Стороны настоящего Контракта освобождаются от уплаты штрафов, пени, </w:t>
        <w:br/>
        <w:t xml:space="preserve">если докажут,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</w:pPr>
      <w:r>
        <w:rPr>
          <w:szCs w:val="24"/>
        </w:rPr>
        <w:t xml:space="preserve">6.12. Уплата Стороной штрафов, пени или применение иной формы ответственности </w:t>
        <w:br/>
        <w:t xml:space="preserve">не освобождает его от исполнения обязательств по Контракту.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</w:pPr>
      <w:r>
        <w:rPr>
          <w:szCs w:val="24"/>
        </w:rPr>
        <w:t xml:space="preserve">6.13. Расторжение или прекращение срока действия Контракта не освобождает Стороны </w:t>
        <w:br/>
        <w:t xml:space="preserve">от уплаты неустоек, штрафов, пени.</w:t>
      </w:r>
      <w:r>
        <w:rPr>
          <w:szCs w:val="24"/>
        </w:rPr>
      </w:r>
      <w:r/>
    </w:p>
    <w:p>
      <w:pPr>
        <w:pStyle w:val="826"/>
        <w:jc w:val="center"/>
        <w:spacing w:before="119" w:beforeAutospacing="0" w:after="120" w:afterAutospacing="0"/>
      </w:pPr>
      <w:r>
        <w:rPr>
          <w:szCs w:val="24"/>
        </w:rPr>
        <w:t xml:space="preserve">7. Обстоятельства </w:t>
      </w:r>
      <w:r>
        <w:t xml:space="preserve">непреодолимой </w:t>
      </w:r>
      <w:r>
        <w:rPr>
          <w:szCs w:val="24"/>
        </w:rPr>
        <w:t xml:space="preserve">силы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</w:pPr>
      <w:r>
        <w:rPr>
          <w:szCs w:val="24"/>
        </w:rPr>
        <w:t xml:space="preserve">7.1. Стороны освобождаются от ответственности за полное или частичное неисполнение своих обязательств по Контракту, в случае если оно явилось следствием обст</w:t>
      </w:r>
      <w:r>
        <w:rPr>
          <w:szCs w:val="24"/>
        </w:rPr>
        <w:t xml:space="preserve">оятельств непреодолимой силы, а именно наводнения, пожара, землетрясения, диверсии, военных действий, блокад, препятствующих надлежащему исполнению обязательств по Контракту, а также других чрезвычайных обстоятельств, в том числе решения органа государстве</w:t>
      </w:r>
      <w:r>
        <w:rPr>
          <w:szCs w:val="24"/>
        </w:rPr>
        <w:t xml:space="preserve">нной власти, государственных органов, уполномоченных должностных лиц, которые возникли после заключения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</w:pPr>
      <w:r>
        <w:rPr>
          <w:szCs w:val="24"/>
        </w:rPr>
        <w:t xml:space="preserve">7.2. Сторона, подвергшаяся действию обстоятельств непреодолимой силы, не позднее </w:t>
        <w:br/>
        <w:t xml:space="preserve">5 (пяти) рабочих дней с момента их наступления обязана в письменной форме уведомить другую Сторону о возникновении, виде и</w:t>
      </w:r>
      <w:r>
        <w:rPr>
          <w:szCs w:val="24"/>
        </w:rPr>
        <w:t xml:space="preserve"> возможной продолжительности действия указанных обстоятельств с приложением документов, удостоверяющих факт наступления указанных обстоятельств. Такие документы должны быть получены от компетентных органов территории, где данные обстоятельства имели место.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</w:pPr>
      <w:r>
        <w:rPr>
          <w:szCs w:val="24"/>
        </w:rPr>
        <w:t xml:space="preserve">7.3. В случае </w:t>
      </w:r>
      <w:r>
        <w:rPr>
          <w:szCs w:val="24"/>
        </w:rPr>
        <w:t xml:space="preserve">своевременного уведомления Стороной, подвергшейся действию обстоятельств непреодолимой силы, другой Стороны о возникновении, виде и возможной продолжительности действия указанных обстоятельств с приложением документов, удостоверяющих факт наступления указа</w:t>
      </w:r>
      <w:r>
        <w:rPr>
          <w:szCs w:val="24"/>
        </w:rPr>
        <w:t xml:space="preserve">нных обстоятельств, Стороны проводят переговоры о продлении или прекращении действия Контракта, либо об изменении его условий. В результате переговоров составляется двусторонний акт, подписанный лицами, уполномоченными Сторонами подписывать такой документ.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</w:pPr>
      <w:r>
        <w:rPr>
          <w:szCs w:val="24"/>
        </w:rPr>
        <w:t xml:space="preserve">7.4. Если обстоятельства непреодо</w:t>
      </w:r>
      <w:r>
        <w:rPr>
          <w:szCs w:val="24"/>
        </w:rPr>
        <w:t xml:space="preserve">лимой силы будут действовать свыше 6 (шести) месяцев, то каждая из Сторон будет вправе требовать расторжения Контракта полностью или частично, </w:t>
        <w:br/>
        <w:t xml:space="preserve">и в таком случае ни одна из Сторон не будет иметь права требовать от другой Стороны возмещения возможных убытков.</w:t>
      </w:r>
      <w:r>
        <w:rPr>
          <w:szCs w:val="24"/>
        </w:rPr>
      </w:r>
      <w:r/>
    </w:p>
    <w:p>
      <w:pPr>
        <w:pStyle w:val="826"/>
        <w:jc w:val="center"/>
        <w:spacing w:before="119" w:beforeAutospacing="0" w:after="120" w:afterAutospacing="0"/>
      </w:pPr>
      <w:r>
        <w:rPr>
          <w:szCs w:val="24"/>
        </w:rPr>
        <w:t xml:space="preserve">8. Срок действия, </w:t>
      </w:r>
      <w:r>
        <w:t xml:space="preserve">порядок </w:t>
      </w:r>
      <w:r>
        <w:rPr>
          <w:szCs w:val="24"/>
        </w:rPr>
        <w:t xml:space="preserve">изменения и расторжения Контракта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</w:pPr>
      <w:r>
        <w:rPr>
          <w:szCs w:val="24"/>
        </w:rPr>
        <w:t xml:space="preserve">8.1. Контракт вступает в силу с даты его подписания Сторонами и действует </w:t>
      </w:r>
      <w:r>
        <w:rPr>
          <w:szCs w:val="24"/>
        </w:rPr>
        <w:br/>
        <w:t xml:space="preserve">до полного исполнения Сторонами обязательств, предусмотренных Контрактом.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</w:pPr>
      <w:r>
        <w:rPr>
          <w:szCs w:val="24"/>
        </w:rPr>
        <w:t xml:space="preserve">8.</w:t>
      </w:r>
      <w:r>
        <w:rPr>
          <w:szCs w:val="24"/>
        </w:rPr>
        <w:t xml:space="preserve">2</w:t>
      </w:r>
      <w:r>
        <w:rPr>
          <w:szCs w:val="24"/>
        </w:rPr>
        <w:t xml:space="preserve">. Изменения и дополнения Контракта и настоящ</w:t>
      </w:r>
      <w:r>
        <w:rPr>
          <w:szCs w:val="24"/>
        </w:rPr>
        <w:t xml:space="preserve">его Технического задания, в том числе </w:t>
        <w:br/>
        <w:t xml:space="preserve">по основанию, предусмотренному пунктом 3.2 настоящего Технического задания, вносятся </w:t>
        <w:br/>
        <w:t xml:space="preserve">по соглашению Сторон, которое оформляется соответствующим дополнительным соглашением, которое является неотъемлемой частью Контракта.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</w:pPr>
      <w:r>
        <w:rPr>
          <w:szCs w:val="24"/>
        </w:rPr>
        <w:t xml:space="preserve">8.</w:t>
      </w:r>
      <w:r>
        <w:rPr>
          <w:szCs w:val="24"/>
        </w:rPr>
        <w:t xml:space="preserve">3</w:t>
      </w:r>
      <w:r>
        <w:rPr>
          <w:szCs w:val="24"/>
        </w:rPr>
        <w:t xml:space="preserve">. Расторжение Контракта допускается по соглашению Сторон, по решению суда </w:t>
        <w:br/>
        <w:t xml:space="preserve">или в связи с односторонним отказом Стороны от исполнения Контракта в соответствии </w:t>
        <w:br/>
      </w:r>
      <w:r>
        <w:rPr>
          <w:szCs w:val="24"/>
        </w:rPr>
      </w:r>
      <w:r>
        <w:rPr>
          <w:szCs w:val="24"/>
        </w:rPr>
        <w:t xml:space="preserve">с гражданским законодательством Российской Федерации. При этом факт подписания </w:t>
      </w:r>
      <w:r>
        <w:rPr>
          <w:szCs w:val="24"/>
        </w:rPr>
        <w:t xml:space="preserve">Сторонами соглашения о расторжении Контракта не освобождает Стороны от обязанности урегулирования взаимных расчетов.</w:t>
      </w:r>
      <w:r/>
      <w:r/>
      <w:r/>
    </w:p>
    <w:p>
      <w:pPr>
        <w:pStyle w:val="826"/>
        <w:ind w:firstLine="709"/>
        <w:jc w:val="both"/>
        <w:spacing w:beforeAutospacing="0" w:afterAutospacing="0"/>
      </w:pPr>
      <w:r>
        <w:rPr>
          <w:szCs w:val="24"/>
          <w:highlight w:val="white"/>
        </w:rPr>
        <w:t xml:space="preserve">8.</w:t>
      </w:r>
      <w:r>
        <w:rPr>
          <w:szCs w:val="24"/>
          <w:highlight w:val="white"/>
        </w:rPr>
        <w:t xml:space="preserve">4</w:t>
      </w:r>
      <w:r>
        <w:rPr>
          <w:szCs w:val="24"/>
          <w:highlight w:val="white"/>
        </w:rPr>
        <w:t xml:space="preserve">.</w:t>
      </w:r>
      <w:r>
        <w:rPr>
          <w:szCs w:val="24"/>
        </w:rPr>
        <w:t xml:space="preserve"> Заказчик вправе принять решение об одностороннем отказе от исполнения Контракта </w:t>
        <w:br/>
        <w:t xml:space="preserve">по основаниям, предусмотренным Гражданским кодексом Российской Федерации.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</w:pPr>
      <w:r>
        <w:rPr>
          <w:szCs w:val="24"/>
          <w:highlight w:val="white"/>
        </w:rPr>
        <w:t xml:space="preserve">8.</w:t>
      </w:r>
      <w:r>
        <w:rPr>
          <w:szCs w:val="24"/>
          <w:highlight w:val="white"/>
        </w:rPr>
        <w:t xml:space="preserve">5</w:t>
      </w:r>
      <w:r>
        <w:rPr>
          <w:szCs w:val="24"/>
          <w:highlight w:val="white"/>
        </w:rPr>
        <w:t xml:space="preserve">. В случае расторжения Контракта в соответствии с пунктом 8.</w:t>
      </w:r>
      <w:r>
        <w:rPr>
          <w:szCs w:val="24"/>
          <w:highlight w:val="white"/>
        </w:rPr>
        <w:t xml:space="preserve">4</w:t>
      </w:r>
      <w:r>
        <w:rPr>
          <w:szCs w:val="24"/>
          <w:highlight w:val="white"/>
        </w:rPr>
        <w:t xml:space="preserve"> настоящего Технического задания, Заказчик в установленном порядке направляет сведения об Исполнителе в реестр недобросовестных поставщиков (подрядчиков, исполнителей).</w:t>
      </w:r>
      <w:r>
        <w:rPr>
          <w:szCs w:val="24"/>
          <w:highlight w:val="white"/>
        </w:rPr>
      </w:r>
      <w:r/>
    </w:p>
    <w:p>
      <w:pPr>
        <w:pStyle w:val="826"/>
        <w:jc w:val="center"/>
        <w:spacing w:before="119" w:beforeAutospacing="0" w:after="120" w:afterAutospacing="0"/>
      </w:pPr>
      <w:r>
        <w:rPr>
          <w:szCs w:val="24"/>
        </w:rPr>
        <w:t xml:space="preserve">9. Порядок </w:t>
      </w:r>
      <w:r>
        <w:t xml:space="preserve">разрешения </w:t>
      </w:r>
      <w:r>
        <w:rPr>
          <w:szCs w:val="24"/>
        </w:rPr>
        <w:t xml:space="preserve">споров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</w:pPr>
      <w:r>
        <w:rPr>
          <w:szCs w:val="24"/>
        </w:rPr>
        <w:t xml:space="preserve">9.1. Претензионный порядок рассмотрения споров по настоящему Контракту является </w:t>
        <w:br/>
        <w:t xml:space="preserve">для Сторон обязательным.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</w:pPr>
      <w:r>
        <w:rPr>
          <w:szCs w:val="24"/>
        </w:rPr>
        <w:t xml:space="preserve">9.2. Претензионные письма направляются Сторонами нарочным, либо заказным почтовым отправлением с уведомлением о вручении по адресам Сторон, указанным в Контракте.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</w:pPr>
      <w:r>
        <w:rPr>
          <w:szCs w:val="24"/>
        </w:rPr>
        <w:t xml:space="preserve">9.3. Направление Сторонами претензионных писем иным способом, чем указано в пункте 9.2 настоящего Технического задания, не допускается.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</w:pPr>
      <w:r>
        <w:rPr>
          <w:szCs w:val="24"/>
        </w:rPr>
        <w:t xml:space="preserve">9.4. Срок рассмотрения претензионного письма составляет 10 (десять) рабочих дней </w:t>
        <w:br/>
        <w:t xml:space="preserve">со дня получения адресатом.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</w:pPr>
      <w:r>
        <w:rPr>
          <w:szCs w:val="24"/>
        </w:rPr>
        <w:t xml:space="preserve">9.5. Споры, по которым не было достигнуто соглашение при соблюдении претензионного порядка, подлежат передаче в Арбитражный суд г. Москвы.</w:t>
      </w:r>
      <w:r>
        <w:rPr>
          <w:szCs w:val="24"/>
        </w:rPr>
      </w:r>
      <w:r/>
    </w:p>
    <w:p>
      <w:pPr>
        <w:pStyle w:val="826"/>
        <w:jc w:val="center"/>
        <w:spacing w:before="119" w:beforeAutospacing="0" w:after="120" w:afterAutospacing="0"/>
      </w:pPr>
      <w:r>
        <w:rPr>
          <w:szCs w:val="24"/>
        </w:rPr>
        <w:t xml:space="preserve">10. </w:t>
      </w:r>
      <w:r>
        <w:t xml:space="preserve">Заключительные </w:t>
      </w:r>
      <w:r>
        <w:rPr>
          <w:szCs w:val="24"/>
        </w:rPr>
        <w:t xml:space="preserve">положения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</w:pPr>
      <w:r>
        <w:rPr>
          <w:szCs w:val="24"/>
        </w:rPr>
        <w:t xml:space="preserve">10.1. Все изменения и дополнения к Контракту оформляются в письменном виде </w:t>
        <w:br/>
        <w:t xml:space="preserve">и согласовываются Сторонами.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</w:pPr>
      <w:r>
        <w:rPr>
          <w:szCs w:val="24"/>
        </w:rPr>
        <w:t xml:space="preserve">10.2. В случае изменения реквизитов, указанных в Контракте, Сторона письменно извещает об этом другую Сторону в течение 3 (трех) рабочих дней с даты такого изменения.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</w:pPr>
      <w:r>
        <w:rPr>
          <w:szCs w:val="24"/>
        </w:rPr>
        <w:t xml:space="preserve">10.3. Во всем остальном, что не предусмотрено Контрактом и настоящим Техническим заданием, Стороны руководствуются законодательством Российской Федерации.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</w:pPr>
      <w:r>
        <w:rPr>
          <w:szCs w:val="24"/>
        </w:rPr>
        <w:t xml:space="preserve">10.4. Все изменения и приложение к настоящему Техническому заданию являются неотъемлемой частью Контракта, в том числе:</w:t>
      </w:r>
      <w:r>
        <w:rPr>
          <w:szCs w:val="24"/>
        </w:rPr>
      </w:r>
      <w:r/>
    </w:p>
    <w:p>
      <w:pPr>
        <w:pStyle w:val="826"/>
        <w:ind w:firstLine="709"/>
        <w:jc w:val="both"/>
        <w:spacing w:beforeAutospacing="0" w:afterAutospacing="0"/>
      </w:pPr>
      <w:r>
        <w:rPr>
          <w:szCs w:val="24"/>
        </w:rPr>
        <w:t xml:space="preserve">- приложение № 1 - Форма акта сдачи-приемки Услуг.</w:t>
      </w:r>
      <w:r>
        <w:rPr>
          <w:szCs w:val="24"/>
        </w:rPr>
      </w:r>
      <w:r/>
    </w:p>
    <w:p>
      <w:pPr>
        <w:pStyle w:val="826"/>
        <w:ind w:left="5387"/>
        <w:jc w:val="right"/>
        <w:pageBreakBefore/>
        <w:spacing w:beforeAutospacing="0" w:afterAutospacing="0"/>
        <w:tabs>
          <w:tab w:val="left" w:pos="1134" w:leader="none"/>
        </w:tabs>
      </w:pPr>
      <w:r>
        <w:rPr>
          <w:szCs w:val="24"/>
        </w:rPr>
        <w:t xml:space="preserve">Приложение к Техническому заданию</w:t>
      </w:r>
      <w:r>
        <w:rPr>
          <w:szCs w:val="24"/>
        </w:rPr>
      </w:r>
      <w:r/>
    </w:p>
    <w:p>
      <w:pPr>
        <w:pStyle w:val="826"/>
        <w:spacing w:beforeAutospacing="0" w:afterAutospacing="0"/>
        <w:widowControl w:val="off"/>
      </w:pPr>
      <w:r>
        <w:rPr>
          <w:szCs w:val="24"/>
        </w:rPr>
        <w:t xml:space="preserve"> </w:t>
      </w:r>
      <w:r>
        <w:rPr>
          <w:szCs w:val="24"/>
        </w:rPr>
      </w:r>
      <w:r/>
    </w:p>
    <w:p>
      <w:pPr>
        <w:pStyle w:val="826"/>
        <w:spacing w:beforeAutospacing="0" w:afterAutospacing="0"/>
        <w:widowControl w:val="off"/>
      </w:pPr>
      <w:r>
        <w:rPr>
          <w:szCs w:val="24"/>
        </w:rPr>
        <w:t xml:space="preserve">Форма</w:t>
      </w:r>
      <w:r>
        <w:rPr>
          <w:szCs w:val="24"/>
        </w:rPr>
      </w:r>
      <w:r/>
    </w:p>
    <w:p>
      <w:pPr>
        <w:pStyle w:val="826"/>
        <w:jc w:val="both"/>
        <w:spacing w:beforeAutospacing="0" w:afterAutospacing="0"/>
        <w:widowControl w:val="off"/>
      </w:pPr>
      <w:r>
        <w:rPr>
          <w:szCs w:val="24"/>
        </w:rPr>
      </w:r>
      <w:r>
        <w:rPr>
          <w:szCs w:val="24"/>
        </w:rPr>
      </w:r>
      <w:r/>
    </w:p>
    <w:p>
      <w:pPr>
        <w:pStyle w:val="826"/>
        <w:jc w:val="center"/>
        <w:spacing w:beforeAutospacing="0" w:afterAutospacing="0"/>
        <w:widowControl w:val="off"/>
      </w:pPr>
      <w:r>
        <w:rPr>
          <w:szCs w:val="24"/>
        </w:rPr>
        <w:t xml:space="preserve">АКТ № __</w:t>
      </w:r>
      <w:r>
        <w:rPr>
          <w:szCs w:val="24"/>
        </w:rPr>
      </w:r>
      <w:r/>
    </w:p>
    <w:p>
      <w:pPr>
        <w:pStyle w:val="826"/>
        <w:jc w:val="center"/>
        <w:spacing w:beforeAutospacing="0" w:afterAutospacing="0"/>
      </w:pPr>
      <w:r>
        <w:rPr>
          <w:szCs w:val="24"/>
        </w:rPr>
        <w:t xml:space="preserve">сдачи-приемки Услуг</w:t>
      </w:r>
      <w:r>
        <w:rPr>
          <w:szCs w:val="24"/>
        </w:rPr>
      </w:r>
      <w:r/>
    </w:p>
    <w:p>
      <w:pPr>
        <w:pStyle w:val="826"/>
        <w:jc w:val="center"/>
        <w:spacing w:beforeAutospacing="0" w:afterAutospacing="0"/>
      </w:pPr>
      <w:r>
        <w:rPr>
          <w:szCs w:val="24"/>
        </w:rPr>
        <w:t xml:space="preserve">к контракту от «____» _______202__г. № ________________________________</w:t>
      </w:r>
      <w:r>
        <w:rPr>
          <w:szCs w:val="24"/>
        </w:rPr>
      </w:r>
      <w:r/>
    </w:p>
    <w:p>
      <w:pPr>
        <w:pStyle w:val="826"/>
        <w:jc w:val="center"/>
        <w:spacing w:beforeAutospacing="0" w:afterAutospacing="0"/>
      </w:pPr>
      <w:r>
        <w:rPr>
          <w:szCs w:val="24"/>
        </w:rPr>
        <w:t xml:space="preserve"> </w:t>
      </w:r>
      <w:r>
        <w:rPr>
          <w:szCs w:val="24"/>
        </w:rPr>
      </w:r>
      <w:r/>
    </w:p>
    <w:p>
      <w:pPr>
        <w:pStyle w:val="826"/>
        <w:jc w:val="both"/>
        <w:spacing w:beforeAutospacing="0" w:afterAutospacing="0"/>
        <w:widowControl w:val="off"/>
      </w:pPr>
      <w:r>
        <w:rPr>
          <w:szCs w:val="24"/>
        </w:rPr>
        <w:t xml:space="preserve">Федеральная пробирная палата, именуемая в дальнейшем «Заказчик», в лице _______________, де</w:t>
      </w:r>
      <w:r>
        <w:rPr>
          <w:szCs w:val="24"/>
        </w:rPr>
        <w:t xml:space="preserve">йствующего на основании ______________, с одной стороны, и ___________, именуемое в дальнейшем «Исполнитель», в лице _______, действующего на основании __________, с другой стороны, совместно именуемые в дальнейшем «Стороны», составили акт о нижеследующем:</w:t>
      </w:r>
      <w:r>
        <w:rPr>
          <w:szCs w:val="24"/>
        </w:rPr>
      </w:r>
      <w:r/>
    </w:p>
    <w:p>
      <w:pPr>
        <w:pStyle w:val="826"/>
        <w:jc w:val="both"/>
        <w:spacing w:beforeAutospacing="0" w:afterAutospacing="0"/>
        <w:widowControl w:val="off"/>
      </w:pPr>
      <w:r>
        <w:rPr>
          <w:szCs w:val="24"/>
        </w:rPr>
        <w:t xml:space="preserve">1. В соответствии с контрак</w:t>
      </w:r>
      <w:r>
        <w:rPr>
          <w:szCs w:val="24"/>
        </w:rPr>
        <w:t xml:space="preserve">том от «____» _______202__ г. № ______________________ (далее – Контракт) Исполнитель выполнил свои обязательства по выполнению Услуг _________________________________________________________________________________________________________(далее – Услуги).</w:t>
      </w:r>
      <w:r>
        <w:rPr>
          <w:szCs w:val="24"/>
        </w:rPr>
      </w:r>
      <w:r/>
    </w:p>
    <w:p>
      <w:pPr>
        <w:pStyle w:val="826"/>
        <w:jc w:val="both"/>
        <w:spacing w:beforeAutospacing="0" w:afterAutospacing="0"/>
        <w:widowControl w:val="off"/>
      </w:pPr>
      <w:r>
        <w:rPr>
          <w:szCs w:val="24"/>
        </w:rPr>
        <w:t xml:space="preserve">2. Общая стоимость выполненных Услуг составляет _________ рублей (_____________ рублей __ копеек).</w:t>
      </w:r>
      <w:r>
        <w:rPr>
          <w:szCs w:val="24"/>
        </w:rPr>
      </w:r>
      <w:r/>
    </w:p>
    <w:p>
      <w:pPr>
        <w:pStyle w:val="826"/>
        <w:jc w:val="both"/>
        <w:spacing w:beforeAutospacing="0" w:afterAutospacing="0"/>
        <w:widowControl w:val="off"/>
      </w:pPr>
      <w:r>
        <w:rPr>
          <w:szCs w:val="24"/>
        </w:rPr>
        <w:t xml:space="preserve">3. Услуги, согласно Контракту, должны быть выполнены с «__» ____ по «__» ____ 202_ г., фактически Услуги выполнены «___» _______202_ г.</w:t>
      </w:r>
      <w:r>
        <w:rPr>
          <w:szCs w:val="24"/>
        </w:rPr>
      </w:r>
      <w:r/>
    </w:p>
    <w:p>
      <w:pPr>
        <w:pStyle w:val="826"/>
        <w:jc w:val="both"/>
        <w:spacing w:beforeAutospacing="0" w:afterAutospacing="0"/>
        <w:widowControl w:val="off"/>
      </w:pPr>
      <w:r>
        <w:rPr>
          <w:szCs w:val="24"/>
        </w:rPr>
        <w:t xml:space="preserve">4. Выполненные Услуги (соответствуют / не соответствуют) по объему, составу, содержанию, срокам, качеству условиям Контракта.</w:t>
      </w:r>
      <w:r>
        <w:rPr>
          <w:szCs w:val="24"/>
        </w:rPr>
      </w:r>
      <w:r/>
    </w:p>
    <w:p>
      <w:pPr>
        <w:pStyle w:val="826"/>
        <w:jc w:val="both"/>
        <w:spacing w:beforeAutospacing="0" w:afterAutospacing="0"/>
        <w:widowControl w:val="off"/>
      </w:pPr>
      <w:r>
        <w:rPr>
          <w:szCs w:val="24"/>
        </w:rPr>
        <w:t xml:space="preserve">5. Выявленные несоответствия выполненных Услуг условиям Контракта: </w:t>
      </w:r>
      <w:r>
        <w:rPr>
          <w:szCs w:val="24"/>
        </w:rPr>
      </w:r>
      <w:r/>
    </w:p>
    <w:p>
      <w:pPr>
        <w:pStyle w:val="826"/>
        <w:jc w:val="both"/>
        <w:spacing w:beforeAutospacing="0" w:afterAutospacing="0"/>
        <w:widowControl w:val="off"/>
      </w:pPr>
      <w:r>
        <w:rPr>
          <w:szCs w:val="24"/>
        </w:rPr>
        <w:t xml:space="preserve">_____________________________________________________________________.</w:t>
      </w:r>
      <w:r>
        <w:rPr>
          <w:szCs w:val="24"/>
        </w:rPr>
      </w:r>
      <w:r/>
    </w:p>
    <w:p>
      <w:pPr>
        <w:pStyle w:val="826"/>
        <w:jc w:val="both"/>
        <w:spacing w:beforeAutospacing="0" w:afterAutospacing="0"/>
        <w:widowControl w:val="off"/>
      </w:pPr>
      <w:r>
        <w:rPr>
          <w:szCs w:val="24"/>
        </w:rPr>
        <w:t xml:space="preserve">6. В соответствии с пунктом ____ Контракта сумма неустойки (штрафа, пени) составляет _______________________________________________________________.</w:t>
      </w:r>
      <w:r>
        <w:rPr>
          <w:szCs w:val="24"/>
        </w:rPr>
      </w:r>
      <w:r/>
    </w:p>
    <w:p>
      <w:pPr>
        <w:pStyle w:val="826"/>
        <w:jc w:val="both"/>
        <w:spacing w:beforeAutospacing="0" w:afterAutospacing="0"/>
        <w:widowControl w:val="off"/>
      </w:pPr>
      <w:r>
        <w:rPr>
          <w:szCs w:val="24"/>
        </w:rPr>
        <w:t xml:space="preserve">7. Итоговая сумма, подлежащая оплате Исполнителю, составляет ________ рублей (____ рублей __ копеек).</w:t>
      </w:r>
      <w:r>
        <w:rPr>
          <w:szCs w:val="24"/>
        </w:rPr>
      </w:r>
      <w:r/>
    </w:p>
    <w:p>
      <w:pPr>
        <w:pStyle w:val="826"/>
        <w:jc w:val="both"/>
        <w:spacing w:beforeAutospacing="0" w:afterAutospacing="0"/>
        <w:widowControl w:val="off"/>
      </w:pPr>
      <w:r>
        <w:rPr>
          <w:szCs w:val="24"/>
        </w:rPr>
        <w:t xml:space="preserve">8. К акту прилагаются следующие документы:</w:t>
      </w:r>
      <w:r>
        <w:rPr>
          <w:szCs w:val="24"/>
        </w:rPr>
      </w:r>
      <w:r/>
    </w:p>
    <w:p>
      <w:pPr>
        <w:pStyle w:val="826"/>
        <w:jc w:val="both"/>
        <w:spacing w:beforeAutospacing="0" w:afterAutospacing="0"/>
        <w:widowControl w:val="off"/>
      </w:pPr>
      <w:r>
        <w:rPr>
          <w:szCs w:val="24"/>
        </w:rPr>
        <w:t xml:space="preserve">а) счет от «____» ___________ 202_ г. № ______;</w:t>
      </w:r>
      <w:r>
        <w:rPr>
          <w:szCs w:val="24"/>
        </w:rPr>
      </w:r>
      <w:r/>
    </w:p>
    <w:p>
      <w:pPr>
        <w:pStyle w:val="826"/>
        <w:jc w:val="both"/>
        <w:spacing w:beforeAutospacing="0" w:afterAutospacing="0"/>
        <w:widowControl w:val="off"/>
      </w:pPr>
      <w:r>
        <w:rPr>
          <w:szCs w:val="24"/>
        </w:rPr>
        <w:t xml:space="preserve">б) счет-фактура от «____» _______ 202_ г. № _________ </w:t>
      </w:r>
      <w:r>
        <w:rPr>
          <w:i/>
          <w:iCs/>
          <w:szCs w:val="24"/>
        </w:rPr>
        <w:t xml:space="preserve">(в случае, если Исполнитель является плательщиком НДС)</w:t>
      </w:r>
      <w:r>
        <w:rPr>
          <w:szCs w:val="24"/>
        </w:rPr>
        <w:t xml:space="preserve">;</w:t>
      </w:r>
      <w:r>
        <w:rPr>
          <w:szCs w:val="24"/>
        </w:rPr>
      </w:r>
      <w:r/>
    </w:p>
    <w:p>
      <w:pPr>
        <w:pStyle w:val="826"/>
        <w:jc w:val="both"/>
        <w:spacing w:beforeAutospacing="0" w:afterAutospacing="0"/>
        <w:widowControl w:val="off"/>
      </w:pPr>
      <w:r>
        <w:rPr>
          <w:szCs w:val="24"/>
        </w:rPr>
        <w:t xml:space="preserve">в) документы, подтверждающие качество выполненных Услуг.</w:t>
      </w:r>
      <w:r>
        <w:rPr>
          <w:szCs w:val="24"/>
        </w:rPr>
      </w:r>
      <w:r/>
    </w:p>
    <w:p>
      <w:pPr>
        <w:pStyle w:val="826"/>
        <w:jc w:val="both"/>
        <w:spacing w:beforeAutospacing="0" w:afterAutospacing="0"/>
        <w:widowControl w:val="off"/>
      </w:pPr>
      <w:r>
        <w:rPr>
          <w:szCs w:val="24"/>
        </w:rPr>
        <w:t xml:space="preserve"> </w:t>
      </w:r>
      <w:r>
        <w:rPr>
          <w:szCs w:val="24"/>
        </w:rPr>
      </w:r>
      <w:r/>
    </w:p>
    <w:p>
      <w:pPr>
        <w:pStyle w:val="826"/>
        <w:jc w:val="both"/>
        <w:spacing w:beforeAutospacing="0" w:afterAutospacing="0"/>
        <w:widowControl w:val="off"/>
      </w:pPr>
      <w:r>
        <w:rPr>
          <w:szCs w:val="24"/>
        </w:rPr>
        <w:t xml:space="preserve"> </w:t>
      </w:r>
      <w:r>
        <w:rPr>
          <w:szCs w:val="24"/>
        </w:rPr>
      </w:r>
      <w:r/>
    </w:p>
    <w:p>
      <w:pPr>
        <w:pStyle w:val="826"/>
        <w:jc w:val="center"/>
        <w:spacing w:beforeAutospacing="0" w:afterAutospacing="0"/>
        <w:widowControl w:val="off"/>
      </w:pPr>
      <w:r>
        <w:rPr>
          <w:szCs w:val="24"/>
        </w:rPr>
        <w:t xml:space="preserve">Подписи Сторон</w:t>
      </w:r>
      <w:r>
        <w:rPr>
          <w:szCs w:val="24"/>
        </w:rPr>
      </w:r>
      <w:r/>
    </w:p>
    <w:p>
      <w:pPr>
        <w:pStyle w:val="826"/>
        <w:jc w:val="both"/>
        <w:spacing w:beforeAutospacing="0" w:afterAutospacing="0"/>
        <w:widowControl w:val="off"/>
      </w:pPr>
      <w:r>
        <w:rPr>
          <w:szCs w:val="24"/>
        </w:rPr>
        <w:t xml:space="preserve"> </w:t>
      </w:r>
      <w:r>
        <w:rPr>
          <w:szCs w:val="24"/>
        </w:rPr>
      </w:r>
      <w:r/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09"/>
        <w:gridCol w:w="4829"/>
      </w:tblGrid>
      <w:tr>
        <w:trPr>
          <w:tblCellSpacing w:w="0" w:type="dxa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02" w:type="dxa"/>
            <w:vAlign w:val="center"/>
            <w:textDirection w:val="lrTb"/>
            <w:noWrap w:val="false"/>
          </w:tcPr>
          <w:p>
            <w:pPr>
              <w:pStyle w:val="826"/>
              <w:jc w:val="center"/>
              <w:spacing w:beforeAutospacing="0" w:afterAutospacing="0"/>
              <w:widowControl w:val="off"/>
            </w:pPr>
            <w:r>
              <w:rPr>
                <w:szCs w:val="24"/>
              </w:rPr>
              <w:t xml:space="preserve">ЗАКАЗЧИК</w:t>
            </w:r>
            <w:r>
              <w:rPr>
                <w:szCs w:val="24"/>
              </w:rPr>
            </w:r>
            <w:r/>
          </w:p>
          <w:p>
            <w:pPr>
              <w:pStyle w:val="826"/>
              <w:jc w:val="center"/>
              <w:spacing w:beforeAutospacing="0" w:afterAutospacing="0"/>
            </w:pPr>
            <w:r>
              <w:rPr>
                <w:szCs w:val="24"/>
              </w:rPr>
              <w:t xml:space="preserve">Федеральная пробирная палата</w:t>
            </w:r>
            <w:r>
              <w:rPr>
                <w:szCs w:val="24"/>
              </w:rPr>
            </w:r>
            <w:r/>
          </w:p>
          <w:p>
            <w:pPr>
              <w:pStyle w:val="826"/>
              <w:jc w:val="center"/>
              <w:spacing w:beforeAutospacing="0" w:afterAutospacing="0"/>
            </w:pPr>
            <w:r>
              <w:rPr>
                <w:szCs w:val="24"/>
              </w:rPr>
              <w:t xml:space="preserve">(должность)</w:t>
            </w:r>
            <w:r>
              <w:rPr>
                <w:szCs w:val="24"/>
              </w:rPr>
            </w:r>
            <w:r/>
          </w:p>
          <w:p>
            <w:pPr>
              <w:pStyle w:val="826"/>
              <w:jc w:val="center"/>
              <w:spacing w:beforeAutospacing="0" w:afterAutospacing="0"/>
              <w:widowControl w:val="off"/>
            </w:pPr>
            <w:r>
              <w:rPr>
                <w:szCs w:val="24"/>
              </w:rPr>
              <w:t xml:space="preserve"> </w:t>
            </w:r>
            <w:r>
              <w:rPr>
                <w:szCs w:val="24"/>
              </w:rPr>
            </w:r>
            <w:r/>
          </w:p>
          <w:p>
            <w:pPr>
              <w:pStyle w:val="826"/>
              <w:jc w:val="center"/>
              <w:spacing w:beforeAutospacing="0" w:afterAutospacing="0"/>
              <w:widowControl w:val="off"/>
            </w:pPr>
            <w:r>
              <w:rPr>
                <w:szCs w:val="24"/>
              </w:rPr>
              <w:t xml:space="preserve">(ФИО)</w:t>
            </w:r>
            <w:r>
              <w:rPr>
                <w:szCs w:val="24"/>
              </w:rPr>
            </w:r>
            <w:r/>
          </w:p>
          <w:p>
            <w:pPr>
              <w:pStyle w:val="826"/>
              <w:jc w:val="center"/>
              <w:spacing w:beforeAutospacing="0" w:afterAutospacing="0"/>
              <w:widowControl w:val="off"/>
            </w:pPr>
            <w:r>
              <w:rPr>
                <w:szCs w:val="24"/>
              </w:rPr>
              <w:t xml:space="preserve"> </w:t>
            </w:r>
            <w:r>
              <w:rPr>
                <w:szCs w:val="24"/>
              </w:rPr>
            </w:r>
            <w:r/>
          </w:p>
          <w:p>
            <w:pPr>
              <w:pStyle w:val="826"/>
              <w:jc w:val="center"/>
              <w:spacing w:beforeAutospacing="0" w:afterAutospacing="0"/>
              <w:widowControl w:val="off"/>
            </w:pPr>
            <w:r>
              <w:rPr>
                <w:szCs w:val="24"/>
              </w:rPr>
              <w:t xml:space="preserve">«____» _____________ 202__ г.</w:t>
            </w:r>
            <w:r>
              <w:rPr>
                <w:szCs w:val="24"/>
              </w:rPr>
            </w:r>
            <w:r/>
          </w:p>
          <w:p>
            <w:pPr>
              <w:pStyle w:val="826"/>
              <w:jc w:val="center"/>
              <w:spacing w:beforeAutospacing="0" w:afterAutospacing="0"/>
              <w:widowControl w:val="off"/>
            </w:pPr>
            <w:r>
              <w:rPr>
                <w:szCs w:val="24"/>
              </w:rPr>
              <w:t xml:space="preserve"> </w:t>
            </w:r>
            <w:r>
              <w:rPr>
                <w:szCs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02" w:type="dxa"/>
            <w:vAlign w:val="center"/>
            <w:textDirection w:val="lrTb"/>
            <w:noWrap w:val="false"/>
          </w:tcPr>
          <w:p>
            <w:pPr>
              <w:pStyle w:val="826"/>
              <w:jc w:val="center"/>
              <w:spacing w:beforeAutospacing="0" w:afterAutospacing="0"/>
              <w:widowControl w:val="off"/>
            </w:pPr>
            <w:r>
              <w:rPr>
                <w:szCs w:val="24"/>
              </w:rPr>
              <w:t xml:space="preserve">ИСПОЛНИТЕЛЬ</w:t>
            </w:r>
            <w:r>
              <w:rPr>
                <w:szCs w:val="24"/>
              </w:rPr>
            </w:r>
            <w:r/>
          </w:p>
          <w:p>
            <w:pPr>
              <w:pStyle w:val="826"/>
              <w:jc w:val="center"/>
              <w:spacing w:beforeAutospacing="0" w:afterAutospacing="0"/>
            </w:pPr>
            <w:r>
              <w:rPr>
                <w:szCs w:val="24"/>
              </w:rPr>
              <w:t xml:space="preserve"> </w:t>
            </w:r>
            <w:r>
              <w:rPr>
                <w:szCs w:val="24"/>
              </w:rPr>
            </w:r>
            <w:r/>
          </w:p>
          <w:p>
            <w:pPr>
              <w:pStyle w:val="826"/>
              <w:jc w:val="center"/>
              <w:spacing w:beforeAutospacing="0" w:afterAutospacing="0"/>
            </w:pPr>
            <w:r>
              <w:rPr>
                <w:szCs w:val="24"/>
              </w:rPr>
              <w:t xml:space="preserve">(должность)</w:t>
            </w:r>
            <w:r>
              <w:rPr>
                <w:szCs w:val="24"/>
              </w:rPr>
            </w:r>
            <w:r/>
          </w:p>
          <w:p>
            <w:pPr>
              <w:pStyle w:val="826"/>
              <w:jc w:val="center"/>
              <w:spacing w:beforeAutospacing="0" w:afterAutospacing="0"/>
              <w:widowControl w:val="off"/>
            </w:pPr>
            <w:r>
              <w:rPr>
                <w:szCs w:val="24"/>
              </w:rPr>
              <w:t xml:space="preserve"> </w:t>
            </w:r>
            <w:r>
              <w:rPr>
                <w:szCs w:val="24"/>
              </w:rPr>
            </w:r>
            <w:r/>
          </w:p>
          <w:p>
            <w:pPr>
              <w:pStyle w:val="826"/>
              <w:jc w:val="center"/>
              <w:spacing w:beforeAutospacing="0" w:afterAutospacing="0"/>
              <w:widowControl w:val="off"/>
            </w:pPr>
            <w:r>
              <w:rPr>
                <w:szCs w:val="24"/>
              </w:rPr>
              <w:t xml:space="preserve">(ФИО)</w:t>
            </w:r>
            <w:r>
              <w:rPr>
                <w:szCs w:val="24"/>
              </w:rPr>
            </w:r>
            <w:r/>
          </w:p>
          <w:p>
            <w:pPr>
              <w:pStyle w:val="826"/>
              <w:jc w:val="center"/>
              <w:spacing w:beforeAutospacing="0" w:afterAutospacing="0"/>
              <w:widowControl w:val="off"/>
            </w:pPr>
            <w:r>
              <w:rPr>
                <w:szCs w:val="24"/>
              </w:rPr>
              <w:t xml:space="preserve"> </w:t>
            </w:r>
            <w:r>
              <w:rPr>
                <w:szCs w:val="24"/>
              </w:rPr>
            </w:r>
            <w:r/>
          </w:p>
          <w:p>
            <w:pPr>
              <w:pStyle w:val="826"/>
              <w:jc w:val="center"/>
              <w:spacing w:beforeAutospacing="0" w:afterAutospacing="0"/>
              <w:widowControl w:val="off"/>
            </w:pPr>
            <w:r>
              <w:rPr>
                <w:szCs w:val="24"/>
              </w:rPr>
              <w:t xml:space="preserve">«____» _____________ 202__ г.</w:t>
            </w:r>
            <w:r>
              <w:rPr>
                <w:szCs w:val="24"/>
              </w:rPr>
            </w:r>
            <w:r/>
          </w:p>
        </w:tc>
      </w:tr>
    </w:tbl>
    <w:p>
      <w:pPr>
        <w:contextualSpacing/>
        <w:ind w:left="5670"/>
        <w:jc w:val="both"/>
        <w:tabs>
          <w:tab w:val="left" w:pos="1134" w:leader="none"/>
        </w:tabs>
      </w:pPr>
      <w:r/>
      <w:r/>
      <w:r/>
    </w:p>
    <w:p>
      <w:pPr>
        <w:contextualSpacing/>
        <w:ind w:left="5670"/>
        <w:jc w:val="both"/>
        <w:tabs>
          <w:tab w:val="left" w:pos="1134" w:leader="none"/>
        </w:tabs>
      </w:pPr>
      <w:r/>
      <w:r/>
      <w:r/>
    </w:p>
    <w:p>
      <w:pPr>
        <w:contextualSpacing/>
        <w:ind w:left="5670"/>
        <w:jc w:val="both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/>
      <w:r/>
      <w:r/>
    </w:p>
    <w:p>
      <w:pPr>
        <w:jc w:val="both"/>
        <w:spacing w:after="240"/>
        <w:tabs>
          <w:tab w:val="left" w:pos="3913" w:leader="none"/>
        </w:tabs>
        <w:rPr>
          <w:rFonts w:ascii="Times New Roman" w:hAnsi="Times New Roman" w:cs="Times New Roman"/>
          <w:b/>
          <w:smallCaps/>
          <w:color w:val="auto"/>
          <w:spacing w:val="10"/>
          <w:sz w:val="22"/>
          <w:szCs w:val="22"/>
        </w:rPr>
      </w:pPr>
      <w:r>
        <w:rPr>
          <w:rFonts w:ascii="Times New Roman" w:hAnsi="Times New Roman" w:cs="Times New Roman"/>
          <w:b/>
          <w:smallCaps/>
          <w:color w:val="auto"/>
          <w:spacing w:val="10"/>
          <w:sz w:val="22"/>
          <w:szCs w:val="22"/>
        </w:rPr>
      </w:r>
      <w:r/>
    </w:p>
    <w:sectPr>
      <w:footerReference w:type="first" r:id="rId9"/>
      <w:footnotePr/>
      <w:endnotePr/>
      <w:type w:val="nextPage"/>
      <w:pgSz w:w="11905" w:h="16837" w:orient="portrait"/>
      <w:pgMar w:top="1134" w:right="567" w:bottom="1134" w:left="1134" w:header="567" w:footer="414" w:gutter="0"/>
      <w:cols w:num="1" w:sep="0" w:space="313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Mangal">
    <w:panose1 w:val="02040503050406030204"/>
  </w:font>
  <w:font w:name="Courier New">
    <w:panose1 w:val="02070309020205020404"/>
  </w:font>
  <w:font w:name="Consolas">
    <w:panose1 w:val="020B0609020204030204"/>
  </w:font>
  <w:font w:name="Symbol">
    <w:panose1 w:val="05050102010706020507"/>
  </w:font>
  <w:font w:name="Tahoma">
    <w:panose1 w:val="020B0604030504040204"/>
  </w:font>
  <w:font w:name="Cambria">
    <w:panose1 w:val="02040503050406030204"/>
  </w:font>
  <w:font w:name="Segoe UI">
    <w:panose1 w:val="020B0502040204020203"/>
  </w:font>
  <w:font w:name="DejaVu Sans">
    <w:panose1 w:val="020B0603030804020204"/>
  </w:font>
  <w:font w:name="Arial Unicode MS">
    <w:panose1 w:val="020B0604020202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7"/>
      <w:rPr>
        <w:rFonts w:ascii="Times New Roman" w:hAnsi="Times New Roman" w:cs="Times New Roman"/>
        <w:szCs w:val="21"/>
      </w:rPr>
    </w:pPr>
    <w:r>
      <w:rPr>
        <w:rFonts w:ascii="Times New Roman" w:hAnsi="Times New Roman" w:cs="Times New Roman"/>
        <w:szCs w:val="21"/>
      </w:rPr>
      <w:t xml:space="preserve">           </w:t>
    </w:r>
    <w:r>
      <w:rPr>
        <w:rFonts w:ascii="Times New Roman" w:hAnsi="Times New Roman" w:cs="Times New Roman"/>
        <w:szCs w:val="21"/>
      </w:rPr>
      <w:tab/>
    </w:r>
    <w:r>
      <w:rPr>
        <w:rFonts w:ascii="Times New Roman" w:hAnsi="Times New Roman" w:cs="Times New Roman"/>
        <w:szCs w:val="21"/>
      </w:rPr>
      <w:tab/>
      <w:t xml:space="preserve">      </w:t>
    </w:r>
    <w:r/>
  </w:p>
  <w:p>
    <w:pPr>
      <w:pStyle w:val="747"/>
      <w:rPr>
        <w:sz w:val="22"/>
        <w:szCs w:val="22"/>
      </w:rPr>
    </w:pPr>
    <w:r>
      <w:rPr>
        <w:sz w:val="22"/>
        <w:szCs w:val="22"/>
      </w:rPr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824"/>
      <w:isLgl w:val="false"/>
      <w:suff w:val="tab"/>
      <w:lvlText w:val="%1."/>
      <w:lvlJc w:val="left"/>
      <w:pPr>
        <w:ind w:left="1492" w:hanging="360"/>
        <w:tabs>
          <w:tab w:val="num" w:pos="1492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pStyle w:val="823"/>
      <w:isLgl w:val="false"/>
      <w:suff w:val="tab"/>
      <w:lvlText w:val="%1."/>
      <w:lvlJc w:val="left"/>
      <w:pPr>
        <w:ind w:left="1209" w:hanging="360"/>
        <w:tabs>
          <w:tab w:val="num" w:pos="1209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pStyle w:val="822"/>
      <w:isLgl w:val="false"/>
      <w:suff w:val="tab"/>
      <w:lvlText w:val="%1."/>
      <w:lvlJc w:val="left"/>
      <w:pPr>
        <w:ind w:left="926" w:hanging="360"/>
        <w:tabs>
          <w:tab w:val="num" w:pos="926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pStyle w:val="821"/>
      <w:isLgl w:val="false"/>
      <w:suff w:val="tab"/>
      <w:lvlText w:val="%1."/>
      <w:lvlJc w:val="left"/>
      <w:pPr>
        <w:ind w:left="643" w:hanging="360"/>
        <w:tabs>
          <w:tab w:val="num" w:pos="643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pStyle w:val="818"/>
      <w:isLgl w:val="false"/>
      <w:suff w:val="tab"/>
      <w:lvlText w:val=""/>
      <w:lvlJc w:val="left"/>
      <w:pPr>
        <w:ind w:left="1492" w:hanging="360"/>
        <w:tabs>
          <w:tab w:val="num" w:pos="1492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pStyle w:val="817"/>
      <w:isLgl w:val="false"/>
      <w:suff w:val="tab"/>
      <w:lvlText w:val=""/>
      <w:lvlJc w:val="left"/>
      <w:pPr>
        <w:ind w:left="1209" w:hanging="360"/>
        <w:tabs>
          <w:tab w:val="num" w:pos="1209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pStyle w:val="816"/>
      <w:isLgl w:val="false"/>
      <w:suff w:val="tab"/>
      <w:lvlText w:val=""/>
      <w:lvlJc w:val="left"/>
      <w:pPr>
        <w:ind w:left="926" w:hanging="360"/>
        <w:tabs>
          <w:tab w:val="num" w:pos="926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pStyle w:val="815"/>
      <w:isLgl w:val="false"/>
      <w:suff w:val="tab"/>
      <w:lvlText w:val=""/>
      <w:lvlJc w:val="left"/>
      <w:pPr>
        <w:ind w:left="643" w:hanging="360"/>
        <w:tabs>
          <w:tab w:val="num" w:pos="643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decimal"/>
      <w:pStyle w:val="820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pStyle w:val="814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4.1.%1"/>
      <w:lvlJc w:val="left"/>
      <w:pPr>
        <w:ind w:left="2148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4.3.%1"/>
      <w:lvlJc w:val="left"/>
      <w:pPr>
        <w:ind w:left="2148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4.4.%1"/>
      <w:lvlJc w:val="left"/>
      <w:pPr>
        <w:ind w:left="2148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8.%1"/>
      <w:lvlJc w:val="left"/>
      <w:pPr>
        <w:ind w:left="2148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isLgl w:val="false"/>
      <w:suff w:val="tab"/>
      <w:lvlText w:val="%1.%2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  <w:rPr>
        <w:rFonts w:hint="default"/>
        <w:b w:val="0"/>
        <w:color w:val="auto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800" w:hanging="720"/>
      </w:pPr>
      <w:rPr>
        <w:rFonts w:hint="default"/>
        <w:b w:val="0"/>
        <w:color w:val="auto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520" w:hanging="1080"/>
      </w:pPr>
      <w:rPr>
        <w:rFonts w:hint="default"/>
        <w:b w:val="0"/>
        <w:color w:val="auto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2880" w:hanging="1080"/>
      </w:pPr>
      <w:rPr>
        <w:rFonts w:hint="default"/>
        <w:b w:val="0"/>
        <w:color w:val="auto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600" w:hanging="1440"/>
      </w:pPr>
      <w:rPr>
        <w:rFonts w:hint="default"/>
        <w:b w:val="0"/>
        <w:color w:val="auto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3960" w:hanging="1440"/>
      </w:pPr>
      <w:rPr>
        <w:rFonts w:hint="default"/>
        <w:b w:val="0"/>
        <w:color w:val="auto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4680" w:hanging="1800"/>
      </w:pPr>
      <w:rPr>
        <w:rFonts w:hint="default"/>
        <w:b w:val="0"/>
        <w:color w:val="auto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1.%2"/>
      <w:lvlJc w:val="left"/>
      <w:pPr>
        <w:ind w:left="2148" w:hanging="360"/>
      </w:pPr>
      <w:rPr>
        <w:rFonts w:hint="default"/>
        <w:b w:val="0"/>
      </w:rPr>
    </w:lvl>
    <w:lvl w:ilvl="2">
      <w:start w:val="1"/>
      <w:numFmt w:val="lowerRoman"/>
      <w:isLgl w:val="false"/>
      <w:suff w:val="tab"/>
      <w:lvlText w:val="%3."/>
      <w:lvlJc w:val="right"/>
      <w:pPr>
        <w:ind w:left="2868" w:hanging="180"/>
      </w:pPr>
    </w:lvl>
    <w:lvl w:ilvl="3">
      <w:start w:val="1"/>
      <w:numFmt w:val="decimal"/>
      <w:isLgl w:val="false"/>
      <w:suff w:val="tab"/>
      <w:lvlText w:val="%4)"/>
      <w:lvlJc w:val="left"/>
      <w:pPr>
        <w:ind w:left="3588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43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8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5.%1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4.2.%1"/>
      <w:lvlJc w:val="left"/>
      <w:pPr>
        <w:ind w:left="2148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  <w:sz w:val="2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</w:lvl>
    <w:lvl w:ilvl="1">
      <w:start w:val="1"/>
      <w:numFmt w:val="decimal"/>
      <w:isLgl/>
      <w:suff w:val="tab"/>
      <w:lvlText w:val="%1.%2."/>
      <w:lvlJc w:val="left"/>
      <w:pPr>
        <w:ind w:left="644" w:hanging="360"/>
      </w:pPr>
      <w:rPr>
        <w:rFonts w:hint="default"/>
        <w:b/>
        <w:bCs w:val="0"/>
      </w:rPr>
    </w:lvl>
    <w:lvl w:ilvl="2">
      <w:start w:val="1"/>
      <w:numFmt w:val="decimal"/>
      <w:isLgl/>
      <w:suff w:val="tab"/>
      <w:lvlText w:val="%1.%2.%3.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isLgl/>
      <w:suff w:val="tab"/>
      <w:lvlText w:val="%1.%2.%3.%4."/>
      <w:lvlJc w:val="left"/>
      <w:pPr>
        <w:ind w:left="1004" w:hanging="720"/>
      </w:pPr>
      <w:rPr>
        <w:rFonts w:hint="default"/>
        <w:b/>
      </w:rPr>
    </w:lvl>
    <w:lvl w:ilvl="4">
      <w:start w:val="1"/>
      <w:numFmt w:val="decimal"/>
      <w:isLgl/>
      <w:suff w:val="tab"/>
      <w:lvlText w:val="%1.%2.%3.%4.%5."/>
      <w:lvlJc w:val="left"/>
      <w:pPr>
        <w:ind w:left="1364" w:hanging="1080"/>
      </w:pPr>
      <w:rPr>
        <w:rFonts w:hint="default"/>
        <w:b/>
      </w:rPr>
    </w:lvl>
    <w:lvl w:ilvl="5">
      <w:start w:val="1"/>
      <w:numFmt w:val="decimal"/>
      <w:isLgl/>
      <w:suff w:val="tab"/>
      <w:lvlText w:val="%1.%2.%3.%4.%5.%6."/>
      <w:lvlJc w:val="left"/>
      <w:pPr>
        <w:ind w:left="1364" w:hanging="1080"/>
      </w:pPr>
      <w:rPr>
        <w:rFonts w:hint="default"/>
        <w:b/>
      </w:rPr>
    </w:lvl>
    <w:lvl w:ilvl="6">
      <w:start w:val="1"/>
      <w:numFmt w:val="decimal"/>
      <w:isLgl/>
      <w:suff w:val="tab"/>
      <w:lvlText w:val="%1.%2.%3.%4.%5.%6.%7."/>
      <w:lvlJc w:val="left"/>
      <w:pPr>
        <w:ind w:left="1724" w:hanging="1440"/>
      </w:pPr>
      <w:rPr>
        <w:rFonts w:hint="default"/>
        <w:b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724" w:hanging="1440"/>
      </w:pPr>
      <w:rPr>
        <w:rFonts w:hint="default"/>
        <w:b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084" w:hanging="1800"/>
      </w:pPr>
      <w:rPr>
        <w:rFonts w:hint="default"/>
        <w:b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4.%1"/>
      <w:lvlJc w:val="left"/>
      <w:pPr>
        <w:ind w:left="2148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</w:pPr>
      <w:rPr>
        <w:rFonts w:hint="default" w:ascii="Symbol" w:hAnsi="Symbol"/>
        <w:b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9.%1"/>
      <w:lvlJc w:val="left"/>
      <w:pPr>
        <w:ind w:left="2148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>
      <w:start w:val="1"/>
      <w:numFmt w:val="decimal"/>
      <w:isLgl/>
      <w:suff w:val="tab"/>
      <w:lvlText w:val="%1.%2."/>
      <w:lvlJc w:val="left"/>
      <w:pPr>
        <w:ind w:left="1080" w:hanging="360"/>
      </w:pPr>
      <w:rPr>
        <w:rFonts w:hint="default" w:eastAsia="Arial Unicode MS" w:cs="Mangal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 w:eastAsia="Arial Unicode MS" w:cs="Mangal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720"/>
      </w:pPr>
      <w:rPr>
        <w:rFonts w:hint="default" w:eastAsia="Arial Unicode MS" w:cs="Mangal"/>
      </w:rPr>
    </w:lvl>
    <w:lvl w:ilvl="4">
      <w:start w:val="1"/>
      <w:numFmt w:val="decimal"/>
      <w:isLgl/>
      <w:suff w:val="tab"/>
      <w:lvlText w:val="%1.%2.%3.%4.%5."/>
      <w:lvlJc w:val="left"/>
      <w:pPr>
        <w:ind w:left="1800" w:hanging="1080"/>
      </w:pPr>
      <w:rPr>
        <w:rFonts w:hint="default" w:eastAsia="Arial Unicode MS" w:cs="Mangal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080"/>
      </w:pPr>
      <w:rPr>
        <w:rFonts w:hint="default" w:eastAsia="Arial Unicode MS" w:cs="Mangal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440"/>
      </w:pPr>
      <w:rPr>
        <w:rFonts w:hint="default" w:eastAsia="Arial Unicode MS" w:cs="Mangal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440"/>
      </w:pPr>
      <w:rPr>
        <w:rFonts w:hint="default" w:eastAsia="Arial Unicode MS" w:cs="Mangal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20" w:hanging="1800"/>
      </w:pPr>
      <w:rPr>
        <w:rFonts w:hint="default" w:eastAsia="Arial Unicode MS" w:cs="Mangal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10.%1"/>
      <w:lvlJc w:val="left"/>
      <w:pPr>
        <w:ind w:left="2148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7.%1"/>
      <w:lvlJc w:val="left"/>
      <w:pPr>
        <w:ind w:left="2148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7"/>
  </w:num>
  <w:num w:numId="3">
    <w:abstractNumId w:val="22"/>
  </w:num>
  <w:num w:numId="4">
    <w:abstractNumId w:val="10"/>
  </w:num>
  <w:num w:numId="5">
    <w:abstractNumId w:val="19"/>
  </w:num>
  <w:num w:numId="6">
    <w:abstractNumId w:val="12"/>
  </w:num>
  <w:num w:numId="7">
    <w:abstractNumId w:val="13"/>
  </w:num>
  <w:num w:numId="8">
    <w:abstractNumId w:val="28"/>
  </w:num>
  <w:num w:numId="9">
    <w:abstractNumId w:val="15"/>
  </w:num>
  <w:num w:numId="10">
    <w:abstractNumId w:val="24"/>
  </w:num>
  <w:num w:numId="11">
    <w:abstractNumId w:val="27"/>
  </w:num>
  <w:num w:numId="12">
    <w:abstractNumId w:val="21"/>
  </w:num>
  <w:num w:numId="13">
    <w:abstractNumId w:val="20"/>
  </w:num>
  <w:num w:numId="14">
    <w:abstractNumId w:val="25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18"/>
  </w:num>
  <w:num w:numId="26">
    <w:abstractNumId w:val="16"/>
  </w:num>
  <w:num w:numId="27">
    <w:abstractNumId w:val="14"/>
  </w:num>
  <w:num w:numId="28">
    <w:abstractNumId w:val="23"/>
  </w:num>
  <w:num w:numId="29">
    <w:abstractNumId w:val="26"/>
  </w:num>
  <w:num w:numId="30">
    <w:abstractNumId w:val="29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284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19"/>
    <w:link w:val="710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19"/>
    <w:link w:val="711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19"/>
    <w:link w:val="712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19"/>
    <w:link w:val="713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19"/>
    <w:link w:val="714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19"/>
    <w:link w:val="715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19"/>
    <w:link w:val="71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19"/>
    <w:link w:val="717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19"/>
    <w:link w:val="718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19"/>
    <w:link w:val="798"/>
    <w:uiPriority w:val="10"/>
    <w:rPr>
      <w:sz w:val="48"/>
      <w:szCs w:val="48"/>
    </w:rPr>
  </w:style>
  <w:style w:type="character" w:styleId="37">
    <w:name w:val="Subtitle Char"/>
    <w:basedOn w:val="719"/>
    <w:link w:val="842"/>
    <w:uiPriority w:val="11"/>
    <w:rPr>
      <w:sz w:val="24"/>
      <w:szCs w:val="24"/>
    </w:rPr>
  </w:style>
  <w:style w:type="character" w:styleId="39">
    <w:name w:val="Quote Char"/>
    <w:link w:val="883"/>
    <w:uiPriority w:val="29"/>
    <w:rPr>
      <w:i/>
    </w:rPr>
  </w:style>
  <w:style w:type="character" w:styleId="41">
    <w:name w:val="Intense Quote Char"/>
    <w:link w:val="794"/>
    <w:uiPriority w:val="30"/>
    <w:rPr>
      <w:i/>
    </w:rPr>
  </w:style>
  <w:style w:type="character" w:styleId="43">
    <w:name w:val="Header Char"/>
    <w:basedOn w:val="719"/>
    <w:link w:val="745"/>
    <w:uiPriority w:val="99"/>
  </w:style>
  <w:style w:type="character" w:styleId="45">
    <w:name w:val="Footer Char"/>
    <w:basedOn w:val="719"/>
    <w:link w:val="747"/>
    <w:uiPriority w:val="99"/>
  </w:style>
  <w:style w:type="character" w:styleId="47">
    <w:name w:val="Caption Char"/>
    <w:basedOn w:val="819"/>
    <w:link w:val="747"/>
    <w:uiPriority w:val="99"/>
  </w:style>
  <w:style w:type="table" w:styleId="49">
    <w:name w:val="Table Grid Light"/>
    <w:basedOn w:val="7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7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7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7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7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7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7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7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7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7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7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7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7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870"/>
    <w:uiPriority w:val="99"/>
    <w:rPr>
      <w:sz w:val="18"/>
    </w:rPr>
  </w:style>
  <w:style w:type="character" w:styleId="177">
    <w:name w:val="footnote reference"/>
    <w:basedOn w:val="719"/>
    <w:uiPriority w:val="99"/>
    <w:unhideWhenUsed/>
    <w:rPr>
      <w:vertAlign w:val="superscript"/>
    </w:rPr>
  </w:style>
  <w:style w:type="character" w:styleId="179">
    <w:name w:val="Endnote Text Char"/>
    <w:link w:val="767"/>
    <w:uiPriority w:val="99"/>
    <w:rPr>
      <w:sz w:val="20"/>
    </w:rPr>
  </w:style>
  <w:style w:type="paragraph" w:styleId="709" w:default="1">
    <w:name w:val="Normal"/>
    <w:qFormat/>
    <w:rPr>
      <w:rFonts w:ascii="DejaVu Sans" w:hAnsi="DejaVu Sans" w:eastAsia="Times New Roman" w:cs="DejaVu Sans"/>
      <w:color w:val="000000"/>
      <w:sz w:val="24"/>
      <w:szCs w:val="24"/>
    </w:rPr>
  </w:style>
  <w:style w:type="paragraph" w:styleId="710">
    <w:name w:val="Heading 1"/>
    <w:basedOn w:val="709"/>
    <w:next w:val="709"/>
    <w:link w:val="722"/>
    <w:uiPriority w:val="99"/>
    <w:qFormat/>
    <w:pPr>
      <w:jc w:val="center"/>
      <w:keepNext/>
      <w:spacing w:before="60"/>
      <w:widowControl w:val="off"/>
      <w:outlineLvl w:val="0"/>
    </w:pPr>
    <w:rPr>
      <w:rFonts w:ascii="Arial" w:hAnsi="Arial" w:cs="Arial"/>
      <w:b/>
      <w:bCs/>
      <w:color w:val="auto"/>
      <w:sz w:val="28"/>
      <w:szCs w:val="28"/>
    </w:rPr>
  </w:style>
  <w:style w:type="paragraph" w:styleId="711">
    <w:name w:val="Heading 2"/>
    <w:basedOn w:val="709"/>
    <w:next w:val="709"/>
    <w:link w:val="723"/>
    <w:uiPriority w:val="99"/>
    <w:qFormat/>
    <w:pPr>
      <w:keepNext/>
      <w:spacing w:before="240" w:after="60"/>
      <w:outlineLvl w:val="1"/>
    </w:pPr>
    <w:rPr>
      <w:rFonts w:ascii="Cambria" w:hAnsi="Cambria" w:cs="Cambria"/>
      <w:b/>
      <w:bCs/>
      <w:i/>
      <w:iCs/>
      <w:color w:val="auto"/>
      <w:sz w:val="28"/>
      <w:szCs w:val="28"/>
    </w:rPr>
  </w:style>
  <w:style w:type="paragraph" w:styleId="712">
    <w:name w:val="Heading 3"/>
    <w:basedOn w:val="709"/>
    <w:next w:val="709"/>
    <w:link w:val="724"/>
    <w:uiPriority w:val="99"/>
    <w:qFormat/>
    <w:pPr>
      <w:keepLines/>
      <w:keepNext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713">
    <w:name w:val="Heading 4"/>
    <w:basedOn w:val="709"/>
    <w:next w:val="709"/>
    <w:link w:val="800"/>
    <w:uiPriority w:val="9"/>
    <w:semiHidden/>
    <w:unhideWhenUsed/>
    <w:qFormat/>
    <w:pPr>
      <w:keepLines/>
      <w:keepNext/>
      <w:spacing w:before="4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714">
    <w:name w:val="Heading 5"/>
    <w:basedOn w:val="709"/>
    <w:next w:val="709"/>
    <w:link w:val="801"/>
    <w:uiPriority w:val="9"/>
    <w:semiHidden/>
    <w:unhideWhenUsed/>
    <w:qFormat/>
    <w:pPr>
      <w:keepLines/>
      <w:keepNext/>
      <w:spacing w:before="4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paragraph" w:styleId="715">
    <w:name w:val="Heading 6"/>
    <w:basedOn w:val="709"/>
    <w:next w:val="709"/>
    <w:link w:val="802"/>
    <w:uiPriority w:val="9"/>
    <w:semiHidden/>
    <w:unhideWhenUsed/>
    <w:qFormat/>
    <w:pPr>
      <w:keepLines/>
      <w:keepNext/>
      <w:spacing w:before="40"/>
      <w:outlineLvl w:val="5"/>
    </w:pPr>
    <w:rPr>
      <w:rFonts w:asciiTheme="majorHAnsi" w:hAnsiTheme="majorHAnsi" w:eastAsiaTheme="majorEastAsia" w:cstheme="majorBidi"/>
      <w:color w:val="1f3763" w:themeColor="accent1" w:themeShade="7F"/>
    </w:rPr>
  </w:style>
  <w:style w:type="paragraph" w:styleId="716">
    <w:name w:val="Heading 7"/>
    <w:basedOn w:val="709"/>
    <w:next w:val="709"/>
    <w:link w:val="803"/>
    <w:uiPriority w:val="9"/>
    <w:semiHidden/>
    <w:unhideWhenUsed/>
    <w:qFormat/>
    <w:pPr>
      <w:keepLines/>
      <w:keepNext/>
      <w:spacing w:before="40"/>
      <w:outlineLvl w:val="6"/>
    </w:pPr>
    <w:rPr>
      <w:rFonts w:asciiTheme="majorHAnsi" w:hAnsiTheme="majorHAnsi" w:eastAsiaTheme="majorEastAsia" w:cstheme="majorBidi"/>
      <w:i/>
      <w:iCs/>
      <w:color w:val="1f3763" w:themeColor="accent1" w:themeShade="7F"/>
    </w:rPr>
  </w:style>
  <w:style w:type="paragraph" w:styleId="717">
    <w:name w:val="Heading 8"/>
    <w:basedOn w:val="709"/>
    <w:next w:val="709"/>
    <w:link w:val="804"/>
    <w:uiPriority w:val="9"/>
    <w:semiHidden/>
    <w:unhideWhenUsed/>
    <w:qFormat/>
    <w:pPr>
      <w:keepLines/>
      <w:keepNext/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718">
    <w:name w:val="Heading 9"/>
    <w:basedOn w:val="709"/>
    <w:next w:val="709"/>
    <w:link w:val="805"/>
    <w:uiPriority w:val="9"/>
    <w:semiHidden/>
    <w:unhideWhenUsed/>
    <w:qFormat/>
    <w:pPr>
      <w:keepLines/>
      <w:keepNext/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719" w:default="1">
    <w:name w:val="Default Paragraph Font"/>
    <w:uiPriority w:val="1"/>
    <w:semiHidden/>
    <w:unhideWhenUsed/>
  </w:style>
  <w:style w:type="table" w:styleId="7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1" w:default="1">
    <w:name w:val="No List"/>
    <w:uiPriority w:val="99"/>
    <w:semiHidden/>
    <w:unhideWhenUsed/>
  </w:style>
  <w:style w:type="character" w:styleId="722" w:customStyle="1">
    <w:name w:val="Заголовок 1 Знак"/>
    <w:link w:val="710"/>
    <w:uiPriority w:val="99"/>
    <w:rPr>
      <w:rFonts w:ascii="Arial" w:hAnsi="Arial" w:eastAsia="Times New Roman" w:cs="Arial"/>
      <w:b/>
      <w:bCs/>
      <w:sz w:val="28"/>
      <w:szCs w:val="28"/>
      <w:lang w:eastAsia="ru-RU"/>
    </w:rPr>
  </w:style>
  <w:style w:type="character" w:styleId="723" w:customStyle="1">
    <w:name w:val="Заголовок 2 Знак"/>
    <w:link w:val="711"/>
    <w:uiPriority w:val="99"/>
    <w:rPr>
      <w:rFonts w:ascii="Cambria" w:hAnsi="Cambria" w:eastAsia="Times New Roman" w:cs="Cambria"/>
      <w:b/>
      <w:bCs/>
      <w:i/>
      <w:iCs/>
      <w:sz w:val="28"/>
      <w:szCs w:val="28"/>
      <w:lang w:eastAsia="ru-RU"/>
    </w:rPr>
  </w:style>
  <w:style w:type="character" w:styleId="724" w:customStyle="1">
    <w:name w:val="Заголовок 3 Знак"/>
    <w:link w:val="712"/>
    <w:uiPriority w:val="99"/>
    <w:rPr>
      <w:rFonts w:ascii="Cambria" w:hAnsi="Cambria" w:eastAsia="Times New Roman" w:cs="Cambria"/>
      <w:b/>
      <w:bCs/>
      <w:color w:val="4f81bd"/>
      <w:sz w:val="24"/>
      <w:szCs w:val="24"/>
      <w:lang w:eastAsia="ru-RU"/>
    </w:rPr>
  </w:style>
  <w:style w:type="paragraph" w:styleId="725" w:customStyle="1">
    <w:name w:val="Знак Знак2 Знак"/>
    <w:basedOn w:val="709"/>
    <w:uiPriority w:val="99"/>
    <w:pPr>
      <w:jc w:val="right"/>
      <w:spacing w:after="160" w:line="240" w:lineRule="exact"/>
      <w:widowControl w:val="off"/>
    </w:pPr>
    <w:rPr>
      <w:color w:val="auto"/>
      <w:sz w:val="20"/>
      <w:szCs w:val="20"/>
      <w:lang w:val="en-GB" w:eastAsia="en-US"/>
    </w:rPr>
  </w:style>
  <w:style w:type="paragraph" w:styleId="726">
    <w:name w:val="Body Text Indent"/>
    <w:basedOn w:val="709"/>
    <w:link w:val="727"/>
    <w:uiPriority w:val="99"/>
    <w:semiHidden/>
    <w:pPr>
      <w:ind w:left="283"/>
      <w:spacing w:after="120"/>
    </w:pPr>
  </w:style>
  <w:style w:type="character" w:styleId="727" w:customStyle="1">
    <w:name w:val="Основной текст с отступом Знак"/>
    <w:link w:val="726"/>
    <w:uiPriority w:val="99"/>
    <w:semiHidden/>
    <w:rPr>
      <w:rFonts w:ascii="DejaVu Sans" w:hAnsi="DejaVu Sans" w:eastAsia="Times New Roman" w:cs="DejaVu Sans"/>
      <w:color w:val="000000"/>
      <w:sz w:val="24"/>
      <w:szCs w:val="24"/>
      <w:lang w:eastAsia="ru-RU"/>
    </w:rPr>
  </w:style>
  <w:style w:type="character" w:styleId="728">
    <w:name w:val="Hyperlink"/>
    <w:uiPriority w:val="99"/>
    <w:rPr>
      <w:rFonts w:cs="Times New Roman"/>
      <w:color w:val="000080"/>
      <w:u w:val="single"/>
    </w:rPr>
  </w:style>
  <w:style w:type="character" w:styleId="729" w:customStyle="1">
    <w:name w:val="Основной текст_"/>
    <w:link w:val="736"/>
    <w:uiPriority w:val="99"/>
    <w:rPr>
      <w:rFonts w:ascii="Times New Roman" w:hAnsi="Times New Roman" w:cs="Times New Roman"/>
      <w:shd w:val="clear" w:color="auto" w:fill="ffffff"/>
    </w:rPr>
  </w:style>
  <w:style w:type="character" w:styleId="730" w:customStyle="1">
    <w:name w:val="Основной текст (2)_"/>
    <w:link w:val="737"/>
    <w:uiPriority w:val="99"/>
    <w:rPr>
      <w:rFonts w:ascii="Times New Roman" w:hAnsi="Times New Roman" w:cs="Times New Roman"/>
      <w:shd w:val="clear" w:color="auto" w:fill="ffffff"/>
    </w:rPr>
  </w:style>
  <w:style w:type="character" w:styleId="731" w:customStyle="1">
    <w:name w:val="Основной текст (2)"/>
    <w:uiPriority w:val="99"/>
  </w:style>
  <w:style w:type="character" w:styleId="732" w:customStyle="1">
    <w:name w:val="Заголовок №2_"/>
    <w:link w:val="738"/>
    <w:uiPriority w:val="99"/>
    <w:rPr>
      <w:rFonts w:ascii="Times New Roman" w:hAnsi="Times New Roman" w:cs="Times New Roman"/>
      <w:sz w:val="23"/>
      <w:szCs w:val="23"/>
      <w:shd w:val="clear" w:color="auto" w:fill="ffffff"/>
    </w:rPr>
  </w:style>
  <w:style w:type="character" w:styleId="733" w:customStyle="1">
    <w:name w:val="Основной текст (3)_"/>
    <w:link w:val="739"/>
    <w:uiPriority w:val="99"/>
    <w:rPr>
      <w:rFonts w:ascii="Times New Roman" w:hAnsi="Times New Roman" w:cs="Times New Roman"/>
      <w:sz w:val="23"/>
      <w:szCs w:val="23"/>
      <w:shd w:val="clear" w:color="auto" w:fill="ffffff"/>
    </w:rPr>
  </w:style>
  <w:style w:type="character" w:styleId="734" w:customStyle="1">
    <w:name w:val="Основной текст (4)_"/>
    <w:link w:val="740"/>
    <w:uiPriority w:val="99"/>
    <w:rPr>
      <w:rFonts w:ascii="Times New Roman" w:hAnsi="Times New Roman" w:cs="Times New Roman"/>
      <w:shd w:val="clear" w:color="auto" w:fill="ffffff"/>
    </w:rPr>
  </w:style>
  <w:style w:type="character" w:styleId="735" w:customStyle="1">
    <w:name w:val="Заголовок №1_"/>
    <w:link w:val="741"/>
    <w:uiPriority w:val="99"/>
    <w:rPr>
      <w:rFonts w:ascii="Times New Roman" w:hAnsi="Times New Roman" w:cs="Times New Roman"/>
      <w:shd w:val="clear" w:color="auto" w:fill="ffffff"/>
    </w:rPr>
  </w:style>
  <w:style w:type="paragraph" w:styleId="736" w:customStyle="1">
    <w:name w:val="Основной текст1"/>
    <w:basedOn w:val="709"/>
    <w:link w:val="729"/>
    <w:uiPriority w:val="99"/>
    <w:pPr>
      <w:ind w:hanging="2140"/>
      <w:spacing w:after="60" w:line="240" w:lineRule="atLeast"/>
      <w:shd w:val="clear" w:color="auto" w:fill="ffffff"/>
    </w:pPr>
    <w:rPr>
      <w:rFonts w:ascii="Times New Roman" w:hAnsi="Times New Roman" w:eastAsia="Calibri" w:cs="Times New Roman"/>
      <w:color w:val="auto"/>
      <w:sz w:val="22"/>
      <w:szCs w:val="22"/>
      <w:lang w:eastAsia="en-US"/>
    </w:rPr>
  </w:style>
  <w:style w:type="paragraph" w:styleId="737" w:customStyle="1">
    <w:name w:val="Основной текст (2)1"/>
    <w:basedOn w:val="709"/>
    <w:link w:val="730"/>
    <w:uiPriority w:val="99"/>
    <w:pPr>
      <w:ind w:firstLine="540"/>
      <w:jc w:val="both"/>
      <w:spacing w:before="300" w:after="420" w:line="240" w:lineRule="atLeast"/>
      <w:shd w:val="clear" w:color="auto" w:fill="ffffff"/>
    </w:pPr>
    <w:rPr>
      <w:rFonts w:ascii="Times New Roman" w:hAnsi="Times New Roman" w:eastAsia="Calibri" w:cs="Times New Roman"/>
      <w:color w:val="auto"/>
      <w:sz w:val="22"/>
      <w:szCs w:val="22"/>
      <w:lang w:eastAsia="en-US"/>
    </w:rPr>
  </w:style>
  <w:style w:type="paragraph" w:styleId="738" w:customStyle="1">
    <w:name w:val="Заголовок №2"/>
    <w:basedOn w:val="709"/>
    <w:link w:val="732"/>
    <w:uiPriority w:val="99"/>
    <w:pPr>
      <w:spacing w:before="60" w:after="60" w:line="240" w:lineRule="atLeast"/>
      <w:shd w:val="clear" w:color="auto" w:fill="ffffff"/>
      <w:outlineLvl w:val="1"/>
    </w:pPr>
    <w:rPr>
      <w:rFonts w:ascii="Times New Roman" w:hAnsi="Times New Roman" w:eastAsia="Calibri" w:cs="Times New Roman"/>
      <w:color w:val="auto"/>
      <w:sz w:val="23"/>
      <w:szCs w:val="23"/>
      <w:lang w:eastAsia="en-US"/>
    </w:rPr>
  </w:style>
  <w:style w:type="paragraph" w:styleId="739" w:customStyle="1">
    <w:name w:val="Основной текст (3)"/>
    <w:basedOn w:val="709"/>
    <w:link w:val="733"/>
    <w:uiPriority w:val="99"/>
    <w:pPr>
      <w:spacing w:after="120" w:line="240" w:lineRule="atLeast"/>
      <w:shd w:val="clear" w:color="auto" w:fill="ffffff"/>
    </w:pPr>
    <w:rPr>
      <w:rFonts w:ascii="Times New Roman" w:hAnsi="Times New Roman" w:eastAsia="Calibri" w:cs="Times New Roman"/>
      <w:color w:val="auto"/>
      <w:sz w:val="23"/>
      <w:szCs w:val="23"/>
      <w:lang w:eastAsia="en-US"/>
    </w:rPr>
  </w:style>
  <w:style w:type="paragraph" w:styleId="740" w:customStyle="1">
    <w:name w:val="Основной текст (4)"/>
    <w:basedOn w:val="709"/>
    <w:link w:val="734"/>
    <w:uiPriority w:val="99"/>
    <w:pPr>
      <w:spacing w:line="240" w:lineRule="atLeast"/>
      <w:shd w:val="clear" w:color="auto" w:fill="ffffff"/>
    </w:pPr>
    <w:rPr>
      <w:rFonts w:ascii="Times New Roman" w:hAnsi="Times New Roman" w:eastAsia="Calibri" w:cs="Times New Roman"/>
      <w:color w:val="auto"/>
      <w:sz w:val="22"/>
      <w:szCs w:val="22"/>
      <w:lang w:eastAsia="en-US"/>
    </w:rPr>
  </w:style>
  <w:style w:type="paragraph" w:styleId="741" w:customStyle="1">
    <w:name w:val="Заголовок №1"/>
    <w:basedOn w:val="709"/>
    <w:link w:val="735"/>
    <w:uiPriority w:val="99"/>
    <w:pPr>
      <w:spacing w:line="240" w:lineRule="atLeast"/>
      <w:shd w:val="clear" w:color="auto" w:fill="ffffff"/>
      <w:outlineLvl w:val="0"/>
    </w:pPr>
    <w:rPr>
      <w:rFonts w:ascii="Times New Roman" w:hAnsi="Times New Roman" w:eastAsia="Calibri" w:cs="Times New Roman"/>
      <w:color w:val="auto"/>
      <w:sz w:val="22"/>
      <w:szCs w:val="22"/>
      <w:lang w:eastAsia="en-US"/>
    </w:rPr>
  </w:style>
  <w:style w:type="table" w:styleId="742">
    <w:name w:val="Table Grid"/>
    <w:basedOn w:val="720"/>
    <w:uiPriority w:val="59"/>
    <w:rPr>
      <w:rFonts w:ascii="DejaVu Sans" w:hAnsi="DejaVu Sans" w:eastAsia="Times New Roman" w:cs="DejaVu San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43">
    <w:name w:val="Balloon Text"/>
    <w:basedOn w:val="709"/>
    <w:link w:val="744"/>
    <w:uiPriority w:val="99"/>
    <w:semiHidden/>
    <w:rPr>
      <w:rFonts w:ascii="Tahoma" w:hAnsi="Tahoma" w:cs="Tahoma"/>
      <w:sz w:val="16"/>
      <w:szCs w:val="16"/>
    </w:rPr>
  </w:style>
  <w:style w:type="character" w:styleId="744" w:customStyle="1">
    <w:name w:val="Текст выноски Знак"/>
    <w:link w:val="743"/>
    <w:uiPriority w:val="99"/>
    <w:semiHidden/>
    <w:rPr>
      <w:rFonts w:ascii="Tahoma" w:hAnsi="Tahoma" w:eastAsia="Times New Roman" w:cs="Tahoma"/>
      <w:color w:val="000000"/>
      <w:sz w:val="16"/>
      <w:szCs w:val="16"/>
      <w:lang w:eastAsia="ru-RU"/>
    </w:rPr>
  </w:style>
  <w:style w:type="paragraph" w:styleId="745">
    <w:name w:val="Header"/>
    <w:basedOn w:val="709"/>
    <w:link w:val="746"/>
    <w:uiPriority w:val="99"/>
    <w:pPr>
      <w:tabs>
        <w:tab w:val="center" w:pos="4677" w:leader="none"/>
        <w:tab w:val="right" w:pos="9355" w:leader="none"/>
      </w:tabs>
    </w:pPr>
  </w:style>
  <w:style w:type="character" w:styleId="746" w:customStyle="1">
    <w:name w:val="Верхний колонтитул Знак"/>
    <w:link w:val="745"/>
    <w:uiPriority w:val="99"/>
    <w:rPr>
      <w:rFonts w:ascii="DejaVu Sans" w:hAnsi="DejaVu Sans" w:eastAsia="Times New Roman" w:cs="DejaVu Sans"/>
      <w:color w:val="000000"/>
      <w:sz w:val="24"/>
      <w:szCs w:val="24"/>
      <w:lang w:eastAsia="ru-RU"/>
    </w:rPr>
  </w:style>
  <w:style w:type="paragraph" w:styleId="747">
    <w:name w:val="Footer"/>
    <w:basedOn w:val="709"/>
    <w:link w:val="748"/>
    <w:uiPriority w:val="99"/>
    <w:pPr>
      <w:tabs>
        <w:tab w:val="center" w:pos="4677" w:leader="none"/>
        <w:tab w:val="right" w:pos="9355" w:leader="none"/>
      </w:tabs>
    </w:pPr>
  </w:style>
  <w:style w:type="character" w:styleId="748" w:customStyle="1">
    <w:name w:val="Нижний колонтитул Знак"/>
    <w:link w:val="747"/>
    <w:uiPriority w:val="99"/>
    <w:rPr>
      <w:rFonts w:ascii="DejaVu Sans" w:hAnsi="DejaVu Sans" w:eastAsia="Times New Roman" w:cs="DejaVu Sans"/>
      <w:color w:val="000000"/>
      <w:sz w:val="24"/>
      <w:szCs w:val="24"/>
      <w:lang w:eastAsia="ru-RU"/>
    </w:rPr>
  </w:style>
  <w:style w:type="paragraph" w:styleId="749">
    <w:name w:val="List Paragraph"/>
    <w:basedOn w:val="709"/>
    <w:link w:val="777"/>
    <w:uiPriority w:val="34"/>
    <w:qFormat/>
    <w:pPr>
      <w:ind w:left="720"/>
    </w:pPr>
  </w:style>
  <w:style w:type="table" w:styleId="750" w:customStyle="1">
    <w:name w:val="Сетка таблицы1"/>
    <w:uiPriority w:val="59"/>
    <w:rPr>
      <w:rFonts w:ascii="DejaVu Sans" w:hAnsi="DejaVu Sans" w:eastAsia="Times New Roman" w:cs="DejaVu San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751">
    <w:name w:val="Body Text"/>
    <w:basedOn w:val="709"/>
    <w:link w:val="752"/>
    <w:uiPriority w:val="99"/>
    <w:pPr>
      <w:spacing w:after="120"/>
    </w:pPr>
    <w:rPr>
      <w:rFonts w:ascii="Times New Roman" w:hAnsi="Times New Roman" w:cs="Times New Roman"/>
      <w:color w:val="auto"/>
    </w:rPr>
  </w:style>
  <w:style w:type="character" w:styleId="752" w:customStyle="1">
    <w:name w:val="Основной текст Знак"/>
    <w:link w:val="751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53">
    <w:name w:val="annotation reference"/>
    <w:uiPriority w:val="99"/>
    <w:semiHidden/>
    <w:rPr>
      <w:rFonts w:cs="Times New Roman"/>
      <w:sz w:val="16"/>
      <w:szCs w:val="16"/>
    </w:rPr>
  </w:style>
  <w:style w:type="paragraph" w:styleId="754">
    <w:name w:val="annotation text"/>
    <w:basedOn w:val="709"/>
    <w:link w:val="755"/>
    <w:uiPriority w:val="99"/>
    <w:semiHidden/>
    <w:rPr>
      <w:sz w:val="20"/>
      <w:szCs w:val="20"/>
    </w:rPr>
  </w:style>
  <w:style w:type="character" w:styleId="755" w:customStyle="1">
    <w:name w:val="Текст примечания Знак"/>
    <w:link w:val="754"/>
    <w:uiPriority w:val="99"/>
    <w:semiHidden/>
    <w:rPr>
      <w:rFonts w:ascii="DejaVu Sans" w:hAnsi="DejaVu Sans" w:eastAsia="Times New Roman" w:cs="DejaVu Sans"/>
      <w:color w:val="000000"/>
      <w:sz w:val="20"/>
      <w:szCs w:val="20"/>
      <w:lang w:eastAsia="ru-RU"/>
    </w:rPr>
  </w:style>
  <w:style w:type="paragraph" w:styleId="756">
    <w:name w:val="annotation subject"/>
    <w:basedOn w:val="754"/>
    <w:next w:val="754"/>
    <w:link w:val="757"/>
    <w:uiPriority w:val="99"/>
    <w:semiHidden/>
    <w:rPr>
      <w:b/>
      <w:bCs/>
    </w:rPr>
  </w:style>
  <w:style w:type="character" w:styleId="757" w:customStyle="1">
    <w:name w:val="Тема примечания Знак"/>
    <w:link w:val="756"/>
    <w:uiPriority w:val="99"/>
    <w:semiHidden/>
    <w:rPr>
      <w:rFonts w:ascii="DejaVu Sans" w:hAnsi="DejaVu Sans" w:eastAsia="Times New Roman" w:cs="DejaVu Sans"/>
      <w:b/>
      <w:bCs/>
      <w:color w:val="000000"/>
      <w:sz w:val="20"/>
      <w:szCs w:val="20"/>
      <w:lang w:eastAsia="ru-RU"/>
    </w:rPr>
  </w:style>
  <w:style w:type="paragraph" w:styleId="758" w:customStyle="1">
    <w:name w:val="Знак Знак2 Знак1"/>
    <w:basedOn w:val="709"/>
    <w:uiPriority w:val="99"/>
    <w:pPr>
      <w:jc w:val="right"/>
      <w:spacing w:after="160" w:line="240" w:lineRule="exact"/>
      <w:widowControl w:val="off"/>
    </w:pPr>
    <w:rPr>
      <w:color w:val="auto"/>
      <w:sz w:val="20"/>
      <w:szCs w:val="20"/>
      <w:lang w:val="en-GB" w:eastAsia="en-US"/>
    </w:rPr>
  </w:style>
  <w:style w:type="paragraph" w:styleId="759">
    <w:name w:val="Body Text Indent 2"/>
    <w:basedOn w:val="709"/>
    <w:link w:val="760"/>
    <w:uiPriority w:val="99"/>
    <w:pPr>
      <w:ind w:left="283"/>
      <w:spacing w:after="120" w:line="480" w:lineRule="auto"/>
    </w:pPr>
    <w:rPr>
      <w:color w:val="auto"/>
    </w:rPr>
  </w:style>
  <w:style w:type="character" w:styleId="760" w:customStyle="1">
    <w:name w:val="Основной текст с отступом 2 Знак"/>
    <w:link w:val="759"/>
    <w:uiPriority w:val="99"/>
    <w:rPr>
      <w:rFonts w:ascii="DejaVu Sans" w:hAnsi="DejaVu Sans" w:eastAsia="Times New Roman" w:cs="DejaVu Sans"/>
      <w:sz w:val="24"/>
      <w:szCs w:val="24"/>
      <w:lang w:eastAsia="ru-RU"/>
    </w:rPr>
  </w:style>
  <w:style w:type="character" w:styleId="761">
    <w:name w:val="Strong"/>
    <w:uiPriority w:val="99"/>
    <w:qFormat/>
    <w:rPr>
      <w:rFonts w:cs="Times New Roman"/>
      <w:b/>
      <w:bCs/>
    </w:rPr>
  </w:style>
  <w:style w:type="paragraph" w:styleId="762" w:customStyle="1">
    <w:name w:val="Char Char Char"/>
    <w:basedOn w:val="709"/>
    <w:uiPriority w:val="99"/>
    <w:pPr>
      <w:spacing w:after="160" w:line="240" w:lineRule="exact"/>
    </w:pPr>
    <w:rPr>
      <w:color w:val="auto"/>
      <w:sz w:val="23"/>
      <w:szCs w:val="23"/>
    </w:rPr>
  </w:style>
  <w:style w:type="paragraph" w:styleId="763">
    <w:name w:val="Body Text 3"/>
    <w:basedOn w:val="709"/>
    <w:link w:val="764"/>
    <w:uiPriority w:val="99"/>
    <w:pPr>
      <w:spacing w:after="120"/>
    </w:pPr>
    <w:rPr>
      <w:sz w:val="16"/>
      <w:szCs w:val="16"/>
    </w:rPr>
  </w:style>
  <w:style w:type="character" w:styleId="764" w:customStyle="1">
    <w:name w:val="Основной текст 3 Знак"/>
    <w:link w:val="763"/>
    <w:uiPriority w:val="99"/>
    <w:rPr>
      <w:rFonts w:ascii="DejaVu Sans" w:hAnsi="DejaVu Sans" w:eastAsia="Times New Roman" w:cs="DejaVu Sans"/>
      <w:color w:val="000000"/>
      <w:sz w:val="16"/>
      <w:szCs w:val="16"/>
      <w:lang w:eastAsia="ru-RU"/>
    </w:rPr>
  </w:style>
  <w:style w:type="paragraph" w:styleId="765" w:customStyle="1">
    <w:name w:val="Style7"/>
    <w:basedOn w:val="709"/>
    <w:uiPriority w:val="99"/>
    <w:pPr>
      <w:widowControl w:val="off"/>
    </w:pPr>
    <w:rPr>
      <w:rFonts w:ascii="Times New Roman" w:hAnsi="Times New Roman" w:cs="Times New Roman"/>
      <w:color w:val="auto"/>
    </w:rPr>
  </w:style>
  <w:style w:type="character" w:styleId="766" w:customStyle="1">
    <w:name w:val="Font Style21"/>
    <w:uiPriority w:val="99"/>
    <w:rPr>
      <w:rFonts w:ascii="Times New Roman" w:hAnsi="Times New Roman"/>
      <w:b/>
      <w:sz w:val="22"/>
    </w:rPr>
  </w:style>
  <w:style w:type="paragraph" w:styleId="767">
    <w:name w:val="endnote text"/>
    <w:basedOn w:val="709"/>
    <w:link w:val="768"/>
    <w:uiPriority w:val="99"/>
    <w:rPr>
      <w:sz w:val="20"/>
      <w:szCs w:val="20"/>
    </w:rPr>
  </w:style>
  <w:style w:type="character" w:styleId="768" w:customStyle="1">
    <w:name w:val="Текст концевой сноски Знак"/>
    <w:link w:val="767"/>
    <w:uiPriority w:val="99"/>
    <w:rPr>
      <w:rFonts w:ascii="DejaVu Sans" w:hAnsi="DejaVu Sans" w:eastAsia="Times New Roman" w:cs="DejaVu Sans"/>
      <w:color w:val="000000"/>
      <w:sz w:val="20"/>
      <w:szCs w:val="20"/>
      <w:lang w:eastAsia="ru-RU"/>
    </w:rPr>
  </w:style>
  <w:style w:type="character" w:styleId="769">
    <w:name w:val="endnote reference"/>
    <w:uiPriority w:val="99"/>
    <w:rPr>
      <w:vertAlign w:val="superscript"/>
    </w:rPr>
  </w:style>
  <w:style w:type="character" w:styleId="770" w:customStyle="1">
    <w:name w:val="Неразрешенное упоминание1"/>
    <w:uiPriority w:val="99"/>
    <w:semiHidden/>
    <w:unhideWhenUsed/>
    <w:rPr>
      <w:color w:val="808080"/>
      <w:shd w:val="clear" w:color="auto" w:fill="e6e6e6"/>
    </w:rPr>
  </w:style>
  <w:style w:type="character" w:styleId="771">
    <w:name w:val="page number"/>
  </w:style>
  <w:style w:type="numbering" w:styleId="772" w:customStyle="1">
    <w:name w:val="Нет списка1"/>
    <w:next w:val="721"/>
    <w:uiPriority w:val="99"/>
    <w:semiHidden/>
    <w:unhideWhenUsed/>
  </w:style>
  <w:style w:type="table" w:styleId="773" w:customStyle="1">
    <w:name w:val="Сетка таблицы2"/>
    <w:basedOn w:val="720"/>
    <w:next w:val="742"/>
    <w:uiPriority w:val="59"/>
    <w:rPr>
      <w:rFonts w:ascii="DejaVu Sans" w:hAnsi="DejaVu Sans" w:eastAsia="Times New Roman" w:cs="DejaVu San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74" w:customStyle="1">
    <w:name w:val="Сетка таблицы11"/>
    <w:uiPriority w:val="59"/>
    <w:rPr>
      <w:rFonts w:ascii="DejaVu Sans" w:hAnsi="DejaVu Sans" w:eastAsia="Times New Roman" w:cs="DejaVu San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775">
    <w:name w:val="No Spacing"/>
    <w:link w:val="776"/>
    <w:uiPriority w:val="1"/>
    <w:qFormat/>
    <w:rPr>
      <w:sz w:val="22"/>
      <w:szCs w:val="22"/>
      <w:lang w:eastAsia="en-US"/>
    </w:rPr>
  </w:style>
  <w:style w:type="character" w:styleId="776" w:customStyle="1">
    <w:name w:val="Без интервала Знак"/>
    <w:link w:val="775"/>
    <w:uiPriority w:val="1"/>
    <w:rPr>
      <w:rFonts w:ascii="Calibri" w:hAnsi="Calibri" w:eastAsia="Calibri" w:cs="Times New Roman"/>
    </w:rPr>
  </w:style>
  <w:style w:type="character" w:styleId="777" w:customStyle="1">
    <w:name w:val="Абзац списка Знак"/>
    <w:link w:val="749"/>
    <w:uiPriority w:val="34"/>
    <w:qFormat/>
    <w:rPr>
      <w:rFonts w:ascii="DejaVu Sans" w:hAnsi="DejaVu Sans" w:eastAsia="Times New Roman" w:cs="DejaVu Sans"/>
      <w:color w:val="000000"/>
      <w:sz w:val="24"/>
      <w:szCs w:val="24"/>
      <w:lang w:eastAsia="ru-RU"/>
    </w:rPr>
  </w:style>
  <w:style w:type="paragraph" w:styleId="778" w:customStyle="1">
    <w:name w:val="Default"/>
    <w:rPr>
      <w:rFonts w:ascii="Symbol" w:hAnsi="Symbol" w:cs="Symbol"/>
      <w:color w:val="000000"/>
      <w:sz w:val="24"/>
      <w:szCs w:val="24"/>
      <w:lang w:eastAsia="en-US"/>
    </w:rPr>
  </w:style>
  <w:style w:type="character" w:styleId="779" w:customStyle="1">
    <w:name w:val="Неразрешенное упоминание2"/>
    <w:uiPriority w:val="99"/>
    <w:semiHidden/>
    <w:unhideWhenUsed/>
    <w:rPr>
      <w:color w:val="605e5c"/>
      <w:shd w:val="clear" w:color="auto" w:fill="e1dfdd"/>
    </w:rPr>
  </w:style>
  <w:style w:type="character" w:styleId="780" w:customStyle="1">
    <w:name w:val="Неразрешенное упоминание3"/>
    <w:uiPriority w:val="99"/>
    <w:semiHidden/>
    <w:unhideWhenUsed/>
    <w:rPr>
      <w:color w:val="605e5c"/>
      <w:shd w:val="clear" w:color="auto" w:fill="e1dfdd"/>
    </w:rPr>
  </w:style>
  <w:style w:type="paragraph" w:styleId="781" w:customStyle="1">
    <w:name w:val="List Paragraph1"/>
    <w:basedOn w:val="709"/>
    <w:uiPriority w:val="99"/>
    <w:pPr>
      <w:contextualSpacing/>
      <w:ind w:left="720" w:hanging="567"/>
      <w:jc w:val="both"/>
    </w:pPr>
    <w:rPr>
      <w:rFonts w:ascii="Calibri" w:hAnsi="Calibri" w:cs="Times New Roman"/>
      <w:color w:val="auto"/>
      <w:sz w:val="22"/>
      <w:szCs w:val="22"/>
      <w:lang w:eastAsia="en-US"/>
    </w:rPr>
  </w:style>
  <w:style w:type="character" w:styleId="782" w:customStyle="1">
    <w:name w:val="Неразрешенное упоминание4"/>
    <w:uiPriority w:val="99"/>
    <w:semiHidden/>
    <w:unhideWhenUsed/>
    <w:rPr>
      <w:color w:val="605e5c"/>
      <w:shd w:val="clear" w:color="auto" w:fill="e1dfdd"/>
    </w:rPr>
  </w:style>
  <w:style w:type="character" w:styleId="783" w:customStyle="1">
    <w:name w:val="Неразрешенное упоминание5"/>
    <w:uiPriority w:val="99"/>
    <w:semiHidden/>
    <w:unhideWhenUsed/>
    <w:rPr>
      <w:color w:val="605e5c"/>
      <w:shd w:val="clear" w:color="auto" w:fill="e1dfdd"/>
    </w:rPr>
  </w:style>
  <w:style w:type="character" w:styleId="784" w:customStyle="1">
    <w:name w:val="Неразрешенное упоминание6"/>
    <w:uiPriority w:val="99"/>
    <w:semiHidden/>
    <w:unhideWhenUsed/>
    <w:rPr>
      <w:color w:val="605e5c"/>
      <w:shd w:val="clear" w:color="auto" w:fill="e1dfdd"/>
    </w:rPr>
  </w:style>
  <w:style w:type="character" w:styleId="785" w:customStyle="1">
    <w:name w:val="Неразрешенное упоминание7"/>
    <w:uiPriority w:val="99"/>
    <w:semiHidden/>
    <w:unhideWhenUsed/>
    <w:rPr>
      <w:color w:val="605e5c"/>
      <w:shd w:val="clear" w:color="auto" w:fill="e1dfdd"/>
    </w:rPr>
  </w:style>
  <w:style w:type="character" w:styleId="786" w:customStyle="1">
    <w:name w:val="Неразрешенное упоминание8"/>
    <w:uiPriority w:val="99"/>
    <w:semiHidden/>
    <w:unhideWhenUsed/>
    <w:rPr>
      <w:color w:val="605e5c"/>
      <w:shd w:val="clear" w:color="auto" w:fill="e1dfdd"/>
    </w:rPr>
  </w:style>
  <w:style w:type="character" w:styleId="787">
    <w:name w:val="Subtle Emphasis"/>
    <w:uiPriority w:val="19"/>
    <w:qFormat/>
    <w:rPr>
      <w:i/>
      <w:iCs/>
      <w:color w:val="404040"/>
    </w:rPr>
  </w:style>
  <w:style w:type="paragraph" w:styleId="788" w:customStyle="1">
    <w:name w:val="ConsPlusNormal"/>
    <w:qFormat/>
    <w:pPr>
      <w:widowControl w:val="off"/>
    </w:pPr>
    <w:rPr>
      <w:rFonts w:eastAsia="Times New Roman" w:cs="Calibri"/>
      <w:sz w:val="22"/>
    </w:rPr>
  </w:style>
  <w:style w:type="paragraph" w:styleId="789" w:customStyle="1">
    <w:name w:val=".FORMATTEXT"/>
    <w:uiPriority w:val="99"/>
    <w:pPr>
      <w:widowControl w:val="off"/>
    </w:pPr>
    <w:rPr>
      <w:rFonts w:ascii="Times New Roman" w:hAnsi="Times New Roman" w:eastAsia="Times New Roman"/>
      <w:sz w:val="24"/>
      <w:szCs w:val="24"/>
    </w:rPr>
  </w:style>
  <w:style w:type="character" w:styleId="790" w:customStyle="1">
    <w:name w:val="Неразрешенное упоминание9"/>
    <w:uiPriority w:val="99"/>
    <w:semiHidden/>
    <w:unhideWhenUsed/>
    <w:rPr>
      <w:color w:val="605e5c"/>
      <w:shd w:val="clear" w:color="auto" w:fill="e1dfdd"/>
    </w:rPr>
  </w:style>
  <w:style w:type="paragraph" w:styleId="791">
    <w:name w:val="HTML Address"/>
    <w:basedOn w:val="709"/>
    <w:link w:val="792"/>
    <w:uiPriority w:val="99"/>
    <w:semiHidden/>
    <w:unhideWhenUsed/>
    <w:rPr>
      <w:i/>
      <w:iCs/>
    </w:rPr>
  </w:style>
  <w:style w:type="character" w:styleId="792" w:customStyle="1">
    <w:name w:val="Адрес HTML Знак"/>
    <w:basedOn w:val="719"/>
    <w:link w:val="791"/>
    <w:uiPriority w:val="99"/>
    <w:semiHidden/>
    <w:rPr>
      <w:rFonts w:ascii="DejaVu Sans" w:hAnsi="DejaVu Sans" w:eastAsia="Times New Roman" w:cs="DejaVu Sans"/>
      <w:i/>
      <w:iCs/>
      <w:color w:val="000000"/>
      <w:sz w:val="24"/>
      <w:szCs w:val="24"/>
    </w:rPr>
  </w:style>
  <w:style w:type="paragraph" w:styleId="793">
    <w:name w:val="envelope address"/>
    <w:basedOn w:val="709"/>
    <w:uiPriority w:val="99"/>
    <w:semiHidden/>
    <w:unhideWhenUsed/>
    <w:pPr>
      <w:ind w:left="2880"/>
      <w:framePr w:w="7920" w:h="1980" w:hSpace="180" w:wrap="auto" w:hAnchor="page" w:xAlign="center" w:yAlign="bottom" w:hRule="exact"/>
    </w:pPr>
    <w:rPr>
      <w:rFonts w:asciiTheme="majorHAnsi" w:hAnsiTheme="majorHAnsi" w:eastAsiaTheme="majorEastAsia" w:cstheme="majorBidi"/>
    </w:rPr>
  </w:style>
  <w:style w:type="paragraph" w:styleId="794">
    <w:name w:val="Intense Quote"/>
    <w:basedOn w:val="709"/>
    <w:next w:val="709"/>
    <w:link w:val="795"/>
    <w:uiPriority w:val="30"/>
    <w:qFormat/>
    <w:pPr>
      <w:ind w:left="864" w:right="864"/>
      <w:jc w:val="center"/>
      <w:spacing w:before="360" w:after="360"/>
      <w:pBdr>
        <w:top w:val="single" w:color="4472C4" w:themeColor="accent1" w:sz="4" w:space="10"/>
        <w:bottom w:val="single" w:color="4472C4" w:themeColor="accent1" w:sz="4" w:space="10"/>
      </w:pBdr>
    </w:pPr>
    <w:rPr>
      <w:i/>
      <w:iCs/>
      <w:color w:val="4472c4" w:themeColor="accent1"/>
    </w:rPr>
  </w:style>
  <w:style w:type="character" w:styleId="795" w:customStyle="1">
    <w:name w:val="Выделенная цитата Знак"/>
    <w:basedOn w:val="719"/>
    <w:link w:val="794"/>
    <w:uiPriority w:val="30"/>
    <w:rPr>
      <w:rFonts w:ascii="DejaVu Sans" w:hAnsi="DejaVu Sans" w:eastAsia="Times New Roman" w:cs="DejaVu Sans"/>
      <w:i/>
      <w:iCs/>
      <w:color w:val="4472c4" w:themeColor="accent1"/>
      <w:sz w:val="24"/>
      <w:szCs w:val="24"/>
    </w:rPr>
  </w:style>
  <w:style w:type="paragraph" w:styleId="796">
    <w:name w:val="Date"/>
    <w:basedOn w:val="709"/>
    <w:next w:val="709"/>
    <w:link w:val="797"/>
    <w:uiPriority w:val="99"/>
    <w:semiHidden/>
    <w:unhideWhenUsed/>
  </w:style>
  <w:style w:type="character" w:styleId="797" w:customStyle="1">
    <w:name w:val="Дата Знак"/>
    <w:basedOn w:val="719"/>
    <w:link w:val="796"/>
    <w:uiPriority w:val="99"/>
    <w:semiHidden/>
    <w:rPr>
      <w:rFonts w:ascii="DejaVu Sans" w:hAnsi="DejaVu Sans" w:eastAsia="Times New Roman" w:cs="DejaVu Sans"/>
      <w:color w:val="000000"/>
      <w:sz w:val="24"/>
      <w:szCs w:val="24"/>
    </w:rPr>
  </w:style>
  <w:style w:type="paragraph" w:styleId="798">
    <w:name w:val="Title"/>
    <w:basedOn w:val="709"/>
    <w:next w:val="709"/>
    <w:link w:val="799"/>
    <w:uiPriority w:val="10"/>
    <w:qFormat/>
    <w:pPr>
      <w:contextualSpacing/>
    </w:pPr>
    <w:rPr>
      <w:rFonts w:asciiTheme="majorHAnsi" w:hAnsiTheme="majorHAnsi" w:eastAsiaTheme="majorEastAsia" w:cstheme="majorBidi"/>
      <w:color w:val="auto"/>
      <w:spacing w:val="-10"/>
      <w:sz w:val="56"/>
      <w:szCs w:val="56"/>
    </w:rPr>
  </w:style>
  <w:style w:type="character" w:styleId="799" w:customStyle="1">
    <w:name w:val="Заголовок Знак"/>
    <w:basedOn w:val="719"/>
    <w:link w:val="798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800" w:customStyle="1">
    <w:name w:val="Заголовок 4 Знак"/>
    <w:basedOn w:val="719"/>
    <w:link w:val="713"/>
    <w:uiPriority w:val="9"/>
    <w:semiHidden/>
    <w:rPr>
      <w:rFonts w:asciiTheme="majorHAnsi" w:hAnsiTheme="majorHAnsi" w:eastAsiaTheme="majorEastAsia" w:cstheme="majorBidi"/>
      <w:i/>
      <w:iCs/>
      <w:color w:val="2f5496" w:themeColor="accent1" w:themeShade="BF"/>
      <w:sz w:val="24"/>
      <w:szCs w:val="24"/>
    </w:rPr>
  </w:style>
  <w:style w:type="character" w:styleId="801" w:customStyle="1">
    <w:name w:val="Заголовок 5 Знак"/>
    <w:basedOn w:val="719"/>
    <w:link w:val="714"/>
    <w:uiPriority w:val="9"/>
    <w:semiHidden/>
    <w:rPr>
      <w:rFonts w:asciiTheme="majorHAnsi" w:hAnsiTheme="majorHAnsi" w:eastAsiaTheme="majorEastAsia" w:cstheme="majorBidi"/>
      <w:color w:val="2f5496" w:themeColor="accent1" w:themeShade="BF"/>
      <w:sz w:val="24"/>
      <w:szCs w:val="24"/>
    </w:rPr>
  </w:style>
  <w:style w:type="character" w:styleId="802" w:customStyle="1">
    <w:name w:val="Заголовок 6 Знак"/>
    <w:basedOn w:val="719"/>
    <w:link w:val="715"/>
    <w:uiPriority w:val="9"/>
    <w:semiHidden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803" w:customStyle="1">
    <w:name w:val="Заголовок 7 Знак"/>
    <w:basedOn w:val="719"/>
    <w:link w:val="716"/>
    <w:uiPriority w:val="9"/>
    <w:semiHidden/>
    <w:rPr>
      <w:rFonts w:asciiTheme="majorHAnsi" w:hAnsiTheme="majorHAnsi" w:eastAsiaTheme="majorEastAsia" w:cstheme="majorBidi"/>
      <w:i/>
      <w:iCs/>
      <w:color w:val="1f3763" w:themeColor="accent1" w:themeShade="7F"/>
      <w:sz w:val="24"/>
      <w:szCs w:val="24"/>
    </w:rPr>
  </w:style>
  <w:style w:type="character" w:styleId="804" w:customStyle="1">
    <w:name w:val="Заголовок 8 Знак"/>
    <w:basedOn w:val="719"/>
    <w:link w:val="717"/>
    <w:uiPriority w:val="9"/>
    <w:semiHidden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805" w:customStyle="1">
    <w:name w:val="Заголовок 9 Знак"/>
    <w:basedOn w:val="719"/>
    <w:link w:val="718"/>
    <w:uiPriority w:val="9"/>
    <w:semiHidden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806">
    <w:name w:val="Note Heading"/>
    <w:basedOn w:val="709"/>
    <w:next w:val="709"/>
    <w:link w:val="807"/>
    <w:uiPriority w:val="99"/>
    <w:semiHidden/>
    <w:unhideWhenUsed/>
  </w:style>
  <w:style w:type="character" w:styleId="807" w:customStyle="1">
    <w:name w:val="Заголовок записки Знак"/>
    <w:basedOn w:val="719"/>
    <w:link w:val="806"/>
    <w:uiPriority w:val="99"/>
    <w:semiHidden/>
    <w:rPr>
      <w:rFonts w:ascii="DejaVu Sans" w:hAnsi="DejaVu Sans" w:eastAsia="Times New Roman" w:cs="DejaVu Sans"/>
      <w:color w:val="000000"/>
      <w:sz w:val="24"/>
      <w:szCs w:val="24"/>
    </w:rPr>
  </w:style>
  <w:style w:type="paragraph" w:styleId="808">
    <w:name w:val="TOC Heading"/>
    <w:basedOn w:val="710"/>
    <w:next w:val="709"/>
    <w:uiPriority w:val="39"/>
    <w:semiHidden/>
    <w:unhideWhenUsed/>
    <w:qFormat/>
    <w:pPr>
      <w:jc w:val="left"/>
      <w:keepLines/>
      <w:spacing w:before="240"/>
      <w:widowControl/>
      <w:outlineLvl w:val="9"/>
    </w:pPr>
    <w:rPr>
      <w:rFonts w:asciiTheme="majorHAnsi" w:hAnsiTheme="majorHAnsi" w:eastAsiaTheme="majorEastAsia" w:cstheme="majorBidi"/>
      <w:b w:val="0"/>
      <w:bCs w:val="0"/>
      <w:color w:val="2f5496" w:themeColor="accent1" w:themeShade="BF"/>
      <w:sz w:val="32"/>
      <w:szCs w:val="32"/>
    </w:rPr>
  </w:style>
  <w:style w:type="paragraph" w:styleId="809">
    <w:name w:val="toa heading"/>
    <w:basedOn w:val="709"/>
    <w:next w:val="709"/>
    <w:uiPriority w:val="99"/>
    <w:semiHidden/>
    <w:unhideWhenUsed/>
    <w:pPr>
      <w:spacing w:before="120"/>
    </w:pPr>
    <w:rPr>
      <w:rFonts w:asciiTheme="majorHAnsi" w:hAnsiTheme="majorHAnsi" w:eastAsiaTheme="majorEastAsia" w:cstheme="majorBidi"/>
      <w:b/>
      <w:bCs/>
    </w:rPr>
  </w:style>
  <w:style w:type="paragraph" w:styleId="810">
    <w:name w:val="Body Text First Indent"/>
    <w:basedOn w:val="751"/>
    <w:link w:val="811"/>
    <w:uiPriority w:val="99"/>
    <w:semiHidden/>
    <w:unhideWhenUsed/>
    <w:pPr>
      <w:ind w:firstLine="360"/>
      <w:spacing w:after="0"/>
    </w:pPr>
    <w:rPr>
      <w:rFonts w:ascii="DejaVu Sans" w:hAnsi="DejaVu Sans" w:cs="DejaVu Sans"/>
      <w:color w:val="000000"/>
    </w:rPr>
  </w:style>
  <w:style w:type="character" w:styleId="811" w:customStyle="1">
    <w:name w:val="Красная строка Знак"/>
    <w:basedOn w:val="752"/>
    <w:link w:val="810"/>
    <w:uiPriority w:val="99"/>
    <w:semiHidden/>
    <w:rPr>
      <w:rFonts w:ascii="DejaVu Sans" w:hAnsi="DejaVu Sans" w:eastAsia="Times New Roman" w:cs="DejaVu Sans"/>
      <w:color w:val="000000"/>
      <w:sz w:val="24"/>
      <w:szCs w:val="24"/>
      <w:lang w:eastAsia="ru-RU"/>
    </w:rPr>
  </w:style>
  <w:style w:type="paragraph" w:styleId="812">
    <w:name w:val="Body Text First Indent 2"/>
    <w:basedOn w:val="726"/>
    <w:link w:val="813"/>
    <w:uiPriority w:val="99"/>
    <w:semiHidden/>
    <w:unhideWhenUsed/>
    <w:pPr>
      <w:ind w:left="360" w:firstLine="360"/>
      <w:spacing w:after="0"/>
    </w:pPr>
  </w:style>
  <w:style w:type="character" w:styleId="813" w:customStyle="1">
    <w:name w:val="Красная строка 2 Знак"/>
    <w:basedOn w:val="727"/>
    <w:link w:val="812"/>
    <w:uiPriority w:val="99"/>
    <w:semiHidden/>
    <w:rPr>
      <w:rFonts w:ascii="DejaVu Sans" w:hAnsi="DejaVu Sans" w:eastAsia="Times New Roman" w:cs="DejaVu Sans"/>
      <w:color w:val="000000"/>
      <w:sz w:val="24"/>
      <w:szCs w:val="24"/>
      <w:lang w:eastAsia="ru-RU"/>
    </w:rPr>
  </w:style>
  <w:style w:type="paragraph" w:styleId="814">
    <w:name w:val="List Bullet"/>
    <w:basedOn w:val="709"/>
    <w:uiPriority w:val="99"/>
    <w:semiHidden/>
    <w:unhideWhenUsed/>
    <w:pPr>
      <w:numPr>
        <w:numId w:val="15"/>
      </w:numPr>
      <w:contextualSpacing/>
    </w:pPr>
  </w:style>
  <w:style w:type="paragraph" w:styleId="815">
    <w:name w:val="List Bullet 2"/>
    <w:basedOn w:val="709"/>
    <w:uiPriority w:val="99"/>
    <w:semiHidden/>
    <w:unhideWhenUsed/>
    <w:pPr>
      <w:numPr>
        <w:numId w:val="16"/>
      </w:numPr>
      <w:contextualSpacing/>
    </w:pPr>
  </w:style>
  <w:style w:type="paragraph" w:styleId="816">
    <w:name w:val="List Bullet 3"/>
    <w:basedOn w:val="709"/>
    <w:uiPriority w:val="99"/>
    <w:semiHidden/>
    <w:unhideWhenUsed/>
    <w:pPr>
      <w:numPr>
        <w:numId w:val="17"/>
      </w:numPr>
      <w:contextualSpacing/>
    </w:pPr>
  </w:style>
  <w:style w:type="paragraph" w:styleId="817">
    <w:name w:val="List Bullet 4"/>
    <w:basedOn w:val="709"/>
    <w:uiPriority w:val="99"/>
    <w:semiHidden/>
    <w:unhideWhenUsed/>
    <w:pPr>
      <w:numPr>
        <w:numId w:val="18"/>
      </w:numPr>
      <w:contextualSpacing/>
    </w:pPr>
  </w:style>
  <w:style w:type="paragraph" w:styleId="818">
    <w:name w:val="List Bullet 5"/>
    <w:basedOn w:val="709"/>
    <w:uiPriority w:val="99"/>
    <w:semiHidden/>
    <w:unhideWhenUsed/>
    <w:pPr>
      <w:numPr>
        <w:numId w:val="19"/>
      </w:numPr>
      <w:contextualSpacing/>
    </w:pPr>
  </w:style>
  <w:style w:type="paragraph" w:styleId="819">
    <w:name w:val="Caption"/>
    <w:basedOn w:val="709"/>
    <w:next w:val="709"/>
    <w:uiPriority w:val="35"/>
    <w:semiHidden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820">
    <w:name w:val="List Number"/>
    <w:basedOn w:val="709"/>
    <w:uiPriority w:val="99"/>
    <w:semiHidden/>
    <w:unhideWhenUsed/>
    <w:pPr>
      <w:numPr>
        <w:numId w:val="20"/>
      </w:numPr>
      <w:contextualSpacing/>
    </w:pPr>
  </w:style>
  <w:style w:type="paragraph" w:styleId="821">
    <w:name w:val="List Number 2"/>
    <w:basedOn w:val="709"/>
    <w:uiPriority w:val="99"/>
    <w:semiHidden/>
    <w:unhideWhenUsed/>
    <w:pPr>
      <w:numPr>
        <w:numId w:val="21"/>
      </w:numPr>
      <w:contextualSpacing/>
    </w:pPr>
  </w:style>
  <w:style w:type="paragraph" w:styleId="822">
    <w:name w:val="List Number 3"/>
    <w:basedOn w:val="709"/>
    <w:uiPriority w:val="99"/>
    <w:semiHidden/>
    <w:unhideWhenUsed/>
    <w:pPr>
      <w:numPr>
        <w:numId w:val="22"/>
      </w:numPr>
      <w:contextualSpacing/>
    </w:pPr>
  </w:style>
  <w:style w:type="paragraph" w:styleId="823">
    <w:name w:val="List Number 4"/>
    <w:basedOn w:val="709"/>
    <w:uiPriority w:val="99"/>
    <w:semiHidden/>
    <w:unhideWhenUsed/>
    <w:pPr>
      <w:numPr>
        <w:numId w:val="23"/>
      </w:numPr>
      <w:contextualSpacing/>
    </w:pPr>
  </w:style>
  <w:style w:type="paragraph" w:styleId="824">
    <w:name w:val="List Number 5"/>
    <w:basedOn w:val="709"/>
    <w:uiPriority w:val="99"/>
    <w:semiHidden/>
    <w:unhideWhenUsed/>
    <w:pPr>
      <w:numPr>
        <w:numId w:val="24"/>
      </w:numPr>
      <w:contextualSpacing/>
    </w:pPr>
  </w:style>
  <w:style w:type="paragraph" w:styleId="825">
    <w:name w:val="envelope return"/>
    <w:basedOn w:val="709"/>
    <w:uiPriority w:val="99"/>
    <w:semiHidden/>
    <w:unhideWhenUsed/>
    <w:rPr>
      <w:rFonts w:asciiTheme="majorHAnsi" w:hAnsiTheme="majorHAnsi" w:eastAsiaTheme="majorEastAsia" w:cstheme="majorBidi"/>
      <w:sz w:val="20"/>
      <w:szCs w:val="20"/>
    </w:rPr>
  </w:style>
  <w:style w:type="paragraph" w:styleId="826">
    <w:name w:val="Normal (Web)"/>
    <w:basedOn w:val="709"/>
    <w:uiPriority w:val="99"/>
    <w:semiHidden/>
    <w:unhideWhenUsed/>
    <w:rPr>
      <w:rFonts w:ascii="Times New Roman" w:hAnsi="Times New Roman" w:cs="Times New Roman"/>
    </w:rPr>
  </w:style>
  <w:style w:type="paragraph" w:styleId="827">
    <w:name w:val="Normal Indent"/>
    <w:basedOn w:val="709"/>
    <w:uiPriority w:val="99"/>
    <w:semiHidden/>
    <w:unhideWhenUsed/>
    <w:pPr>
      <w:ind w:left="708"/>
    </w:pPr>
  </w:style>
  <w:style w:type="paragraph" w:styleId="828">
    <w:name w:val="toc 1"/>
    <w:basedOn w:val="709"/>
    <w:next w:val="709"/>
    <w:uiPriority w:val="39"/>
    <w:semiHidden/>
    <w:unhideWhenUsed/>
    <w:pPr>
      <w:spacing w:after="100"/>
    </w:pPr>
  </w:style>
  <w:style w:type="paragraph" w:styleId="829">
    <w:name w:val="toc 2"/>
    <w:basedOn w:val="709"/>
    <w:next w:val="709"/>
    <w:uiPriority w:val="39"/>
    <w:semiHidden/>
    <w:unhideWhenUsed/>
    <w:pPr>
      <w:ind w:left="240"/>
      <w:spacing w:after="100"/>
    </w:pPr>
  </w:style>
  <w:style w:type="paragraph" w:styleId="830">
    <w:name w:val="toc 3"/>
    <w:basedOn w:val="709"/>
    <w:next w:val="709"/>
    <w:uiPriority w:val="39"/>
    <w:semiHidden/>
    <w:unhideWhenUsed/>
    <w:pPr>
      <w:ind w:left="480"/>
      <w:spacing w:after="100"/>
    </w:pPr>
  </w:style>
  <w:style w:type="paragraph" w:styleId="831">
    <w:name w:val="toc 4"/>
    <w:basedOn w:val="709"/>
    <w:next w:val="709"/>
    <w:uiPriority w:val="39"/>
    <w:semiHidden/>
    <w:unhideWhenUsed/>
    <w:pPr>
      <w:ind w:left="720"/>
      <w:spacing w:after="100"/>
    </w:pPr>
  </w:style>
  <w:style w:type="paragraph" w:styleId="832">
    <w:name w:val="toc 5"/>
    <w:basedOn w:val="709"/>
    <w:next w:val="709"/>
    <w:uiPriority w:val="39"/>
    <w:semiHidden/>
    <w:unhideWhenUsed/>
    <w:pPr>
      <w:ind w:left="960"/>
      <w:spacing w:after="100"/>
    </w:pPr>
  </w:style>
  <w:style w:type="paragraph" w:styleId="833">
    <w:name w:val="toc 6"/>
    <w:basedOn w:val="709"/>
    <w:next w:val="709"/>
    <w:uiPriority w:val="39"/>
    <w:semiHidden/>
    <w:unhideWhenUsed/>
    <w:pPr>
      <w:ind w:left="1200"/>
      <w:spacing w:after="100"/>
    </w:pPr>
  </w:style>
  <w:style w:type="paragraph" w:styleId="834">
    <w:name w:val="toc 7"/>
    <w:basedOn w:val="709"/>
    <w:next w:val="709"/>
    <w:uiPriority w:val="39"/>
    <w:semiHidden/>
    <w:unhideWhenUsed/>
    <w:pPr>
      <w:ind w:left="1440"/>
      <w:spacing w:after="100"/>
    </w:pPr>
  </w:style>
  <w:style w:type="paragraph" w:styleId="835">
    <w:name w:val="toc 8"/>
    <w:basedOn w:val="709"/>
    <w:next w:val="709"/>
    <w:uiPriority w:val="39"/>
    <w:semiHidden/>
    <w:unhideWhenUsed/>
    <w:pPr>
      <w:ind w:left="1680"/>
      <w:spacing w:after="100"/>
    </w:pPr>
  </w:style>
  <w:style w:type="paragraph" w:styleId="836">
    <w:name w:val="toc 9"/>
    <w:basedOn w:val="709"/>
    <w:next w:val="709"/>
    <w:uiPriority w:val="39"/>
    <w:semiHidden/>
    <w:unhideWhenUsed/>
    <w:pPr>
      <w:ind w:left="1920"/>
      <w:spacing w:after="100"/>
    </w:pPr>
  </w:style>
  <w:style w:type="paragraph" w:styleId="837">
    <w:name w:val="Body Text 2"/>
    <w:basedOn w:val="709"/>
    <w:link w:val="838"/>
    <w:uiPriority w:val="99"/>
    <w:semiHidden/>
    <w:unhideWhenUsed/>
    <w:pPr>
      <w:spacing w:after="120" w:line="480" w:lineRule="auto"/>
    </w:pPr>
  </w:style>
  <w:style w:type="character" w:styleId="838" w:customStyle="1">
    <w:name w:val="Основной текст 2 Знак"/>
    <w:basedOn w:val="719"/>
    <w:link w:val="837"/>
    <w:uiPriority w:val="99"/>
    <w:semiHidden/>
    <w:rPr>
      <w:rFonts w:ascii="DejaVu Sans" w:hAnsi="DejaVu Sans" w:eastAsia="Times New Roman" w:cs="DejaVu Sans"/>
      <w:color w:val="000000"/>
      <w:sz w:val="24"/>
      <w:szCs w:val="24"/>
    </w:rPr>
  </w:style>
  <w:style w:type="paragraph" w:styleId="839">
    <w:name w:val="Body Text Indent 3"/>
    <w:basedOn w:val="709"/>
    <w:link w:val="840"/>
    <w:uiPriority w:val="99"/>
    <w:semiHidden/>
    <w:unhideWhenUsed/>
    <w:pPr>
      <w:ind w:left="283"/>
      <w:spacing w:after="120"/>
    </w:pPr>
    <w:rPr>
      <w:sz w:val="16"/>
      <w:szCs w:val="16"/>
    </w:rPr>
  </w:style>
  <w:style w:type="character" w:styleId="840" w:customStyle="1">
    <w:name w:val="Основной текст с отступом 3 Знак"/>
    <w:basedOn w:val="719"/>
    <w:link w:val="839"/>
    <w:uiPriority w:val="99"/>
    <w:semiHidden/>
    <w:rPr>
      <w:rFonts w:ascii="DejaVu Sans" w:hAnsi="DejaVu Sans" w:eastAsia="Times New Roman" w:cs="DejaVu Sans"/>
      <w:color w:val="000000"/>
      <w:sz w:val="16"/>
      <w:szCs w:val="16"/>
    </w:rPr>
  </w:style>
  <w:style w:type="paragraph" w:styleId="841">
    <w:name w:val="table of figures"/>
    <w:basedOn w:val="709"/>
    <w:next w:val="709"/>
    <w:uiPriority w:val="99"/>
    <w:semiHidden/>
    <w:unhideWhenUsed/>
  </w:style>
  <w:style w:type="paragraph" w:styleId="842">
    <w:name w:val="Subtitle"/>
    <w:basedOn w:val="709"/>
    <w:next w:val="709"/>
    <w:link w:val="843"/>
    <w:uiPriority w:val="11"/>
    <w:qFormat/>
    <w:pPr>
      <w:numPr>
        <w:ilvl w:val="1"/>
      </w:numPr>
      <w:spacing w:after="160"/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843" w:customStyle="1">
    <w:name w:val="Подзаголовок Знак"/>
    <w:basedOn w:val="719"/>
    <w:link w:val="842"/>
    <w:uiPriority w:val="11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paragraph" w:styleId="844">
    <w:name w:val="Signature"/>
    <w:basedOn w:val="709"/>
    <w:link w:val="845"/>
    <w:uiPriority w:val="99"/>
    <w:semiHidden/>
    <w:unhideWhenUsed/>
    <w:pPr>
      <w:ind w:left="4252"/>
    </w:pPr>
  </w:style>
  <w:style w:type="character" w:styleId="845" w:customStyle="1">
    <w:name w:val="Подпись Знак"/>
    <w:basedOn w:val="719"/>
    <w:link w:val="844"/>
    <w:uiPriority w:val="99"/>
    <w:semiHidden/>
    <w:rPr>
      <w:rFonts w:ascii="DejaVu Sans" w:hAnsi="DejaVu Sans" w:eastAsia="Times New Roman" w:cs="DejaVu Sans"/>
      <w:color w:val="000000"/>
      <w:sz w:val="24"/>
      <w:szCs w:val="24"/>
    </w:rPr>
  </w:style>
  <w:style w:type="paragraph" w:styleId="846">
    <w:name w:val="Salutation"/>
    <w:basedOn w:val="709"/>
    <w:next w:val="709"/>
    <w:link w:val="847"/>
    <w:uiPriority w:val="99"/>
    <w:semiHidden/>
    <w:unhideWhenUsed/>
  </w:style>
  <w:style w:type="character" w:styleId="847" w:customStyle="1">
    <w:name w:val="Приветствие Знак"/>
    <w:basedOn w:val="719"/>
    <w:link w:val="846"/>
    <w:uiPriority w:val="99"/>
    <w:semiHidden/>
    <w:rPr>
      <w:rFonts w:ascii="DejaVu Sans" w:hAnsi="DejaVu Sans" w:eastAsia="Times New Roman" w:cs="DejaVu Sans"/>
      <w:color w:val="000000"/>
      <w:sz w:val="24"/>
      <w:szCs w:val="24"/>
    </w:rPr>
  </w:style>
  <w:style w:type="paragraph" w:styleId="848">
    <w:name w:val="List Continue"/>
    <w:basedOn w:val="709"/>
    <w:uiPriority w:val="99"/>
    <w:semiHidden/>
    <w:unhideWhenUsed/>
    <w:pPr>
      <w:contextualSpacing/>
      <w:ind w:left="283"/>
      <w:spacing w:after="120"/>
    </w:pPr>
  </w:style>
  <w:style w:type="paragraph" w:styleId="849">
    <w:name w:val="List Continue 2"/>
    <w:basedOn w:val="709"/>
    <w:uiPriority w:val="99"/>
    <w:semiHidden/>
    <w:unhideWhenUsed/>
    <w:pPr>
      <w:contextualSpacing/>
      <w:ind w:left="566"/>
      <w:spacing w:after="120"/>
    </w:pPr>
  </w:style>
  <w:style w:type="paragraph" w:styleId="850">
    <w:name w:val="List Continue 3"/>
    <w:basedOn w:val="709"/>
    <w:uiPriority w:val="99"/>
    <w:semiHidden/>
    <w:unhideWhenUsed/>
    <w:pPr>
      <w:contextualSpacing/>
      <w:ind w:left="849"/>
      <w:spacing w:after="120"/>
    </w:pPr>
  </w:style>
  <w:style w:type="paragraph" w:styleId="851">
    <w:name w:val="List Continue 4"/>
    <w:basedOn w:val="709"/>
    <w:uiPriority w:val="99"/>
    <w:semiHidden/>
    <w:unhideWhenUsed/>
    <w:pPr>
      <w:contextualSpacing/>
      <w:ind w:left="1132"/>
      <w:spacing w:after="120"/>
    </w:pPr>
  </w:style>
  <w:style w:type="paragraph" w:styleId="852">
    <w:name w:val="List Continue 5"/>
    <w:basedOn w:val="709"/>
    <w:uiPriority w:val="99"/>
    <w:semiHidden/>
    <w:unhideWhenUsed/>
    <w:pPr>
      <w:contextualSpacing/>
      <w:ind w:left="1415"/>
      <w:spacing w:after="120"/>
    </w:pPr>
  </w:style>
  <w:style w:type="paragraph" w:styleId="853">
    <w:name w:val="Closing"/>
    <w:basedOn w:val="709"/>
    <w:link w:val="854"/>
    <w:uiPriority w:val="99"/>
    <w:semiHidden/>
    <w:unhideWhenUsed/>
    <w:pPr>
      <w:ind w:left="4252"/>
    </w:pPr>
  </w:style>
  <w:style w:type="character" w:styleId="854" w:customStyle="1">
    <w:name w:val="Прощание Знак"/>
    <w:basedOn w:val="719"/>
    <w:link w:val="853"/>
    <w:uiPriority w:val="99"/>
    <w:semiHidden/>
    <w:rPr>
      <w:rFonts w:ascii="DejaVu Sans" w:hAnsi="DejaVu Sans" w:eastAsia="Times New Roman" w:cs="DejaVu Sans"/>
      <w:color w:val="000000"/>
      <w:sz w:val="24"/>
      <w:szCs w:val="24"/>
    </w:rPr>
  </w:style>
  <w:style w:type="paragraph" w:styleId="855">
    <w:name w:val="List"/>
    <w:basedOn w:val="709"/>
    <w:uiPriority w:val="99"/>
    <w:semiHidden/>
    <w:unhideWhenUsed/>
    <w:pPr>
      <w:contextualSpacing/>
      <w:ind w:left="283" w:hanging="283"/>
    </w:pPr>
  </w:style>
  <w:style w:type="paragraph" w:styleId="856">
    <w:name w:val="List 2"/>
    <w:basedOn w:val="709"/>
    <w:uiPriority w:val="99"/>
    <w:semiHidden/>
    <w:unhideWhenUsed/>
    <w:pPr>
      <w:contextualSpacing/>
      <w:ind w:left="566" w:hanging="283"/>
    </w:pPr>
  </w:style>
  <w:style w:type="paragraph" w:styleId="857">
    <w:name w:val="List 3"/>
    <w:basedOn w:val="709"/>
    <w:uiPriority w:val="99"/>
    <w:semiHidden/>
    <w:unhideWhenUsed/>
    <w:pPr>
      <w:contextualSpacing/>
      <w:ind w:left="849" w:hanging="283"/>
    </w:pPr>
  </w:style>
  <w:style w:type="paragraph" w:styleId="858">
    <w:name w:val="List 4"/>
    <w:basedOn w:val="709"/>
    <w:uiPriority w:val="99"/>
    <w:semiHidden/>
    <w:unhideWhenUsed/>
    <w:pPr>
      <w:contextualSpacing/>
      <w:ind w:left="1132" w:hanging="283"/>
    </w:pPr>
  </w:style>
  <w:style w:type="paragraph" w:styleId="859">
    <w:name w:val="List 5"/>
    <w:basedOn w:val="709"/>
    <w:uiPriority w:val="99"/>
    <w:semiHidden/>
    <w:unhideWhenUsed/>
    <w:pPr>
      <w:contextualSpacing/>
      <w:ind w:left="1415" w:hanging="283"/>
    </w:pPr>
  </w:style>
  <w:style w:type="paragraph" w:styleId="860">
    <w:name w:val="Bibliography"/>
    <w:basedOn w:val="709"/>
    <w:next w:val="709"/>
    <w:uiPriority w:val="37"/>
    <w:semiHidden/>
    <w:unhideWhenUsed/>
  </w:style>
  <w:style w:type="paragraph" w:styleId="861">
    <w:name w:val="HTML Preformatted"/>
    <w:basedOn w:val="709"/>
    <w:link w:val="862"/>
    <w:uiPriority w:val="99"/>
    <w:semiHidden/>
    <w:unhideWhenUsed/>
    <w:rPr>
      <w:rFonts w:ascii="Consolas" w:hAnsi="Consolas"/>
      <w:sz w:val="20"/>
      <w:szCs w:val="20"/>
    </w:rPr>
  </w:style>
  <w:style w:type="character" w:styleId="862" w:customStyle="1">
    <w:name w:val="Стандартный HTML Знак"/>
    <w:basedOn w:val="719"/>
    <w:link w:val="861"/>
    <w:uiPriority w:val="99"/>
    <w:semiHidden/>
    <w:rPr>
      <w:rFonts w:ascii="Consolas" w:hAnsi="Consolas" w:eastAsia="Times New Roman" w:cs="DejaVu Sans"/>
      <w:color w:val="000000"/>
    </w:rPr>
  </w:style>
  <w:style w:type="paragraph" w:styleId="863">
    <w:name w:val="Document Map"/>
    <w:basedOn w:val="709"/>
    <w:link w:val="864"/>
    <w:uiPriority w:val="99"/>
    <w:semiHidden/>
    <w:unhideWhenUsed/>
    <w:rPr>
      <w:rFonts w:ascii="Segoe UI" w:hAnsi="Segoe UI" w:cs="Segoe UI"/>
      <w:sz w:val="16"/>
      <w:szCs w:val="16"/>
    </w:rPr>
  </w:style>
  <w:style w:type="character" w:styleId="864" w:customStyle="1">
    <w:name w:val="Схема документа Знак"/>
    <w:basedOn w:val="719"/>
    <w:link w:val="863"/>
    <w:uiPriority w:val="99"/>
    <w:semiHidden/>
    <w:rPr>
      <w:rFonts w:ascii="Segoe UI" w:hAnsi="Segoe UI" w:eastAsia="Times New Roman" w:cs="Segoe UI"/>
      <w:color w:val="000000"/>
      <w:sz w:val="16"/>
      <w:szCs w:val="16"/>
    </w:rPr>
  </w:style>
  <w:style w:type="paragraph" w:styleId="865">
    <w:name w:val="table of authorities"/>
    <w:basedOn w:val="709"/>
    <w:next w:val="709"/>
    <w:uiPriority w:val="99"/>
    <w:semiHidden/>
    <w:unhideWhenUsed/>
    <w:pPr>
      <w:ind w:left="240" w:hanging="240"/>
    </w:pPr>
  </w:style>
  <w:style w:type="paragraph" w:styleId="866">
    <w:name w:val="Plain Text"/>
    <w:basedOn w:val="709"/>
    <w:link w:val="867"/>
    <w:uiPriority w:val="99"/>
    <w:semiHidden/>
    <w:unhideWhenUsed/>
    <w:rPr>
      <w:rFonts w:ascii="Consolas" w:hAnsi="Consolas"/>
      <w:sz w:val="21"/>
      <w:szCs w:val="21"/>
    </w:rPr>
  </w:style>
  <w:style w:type="character" w:styleId="867" w:customStyle="1">
    <w:name w:val="Текст Знак"/>
    <w:basedOn w:val="719"/>
    <w:link w:val="866"/>
    <w:uiPriority w:val="99"/>
    <w:semiHidden/>
    <w:rPr>
      <w:rFonts w:ascii="Consolas" w:hAnsi="Consolas" w:eastAsia="Times New Roman" w:cs="DejaVu Sans"/>
      <w:color w:val="000000"/>
      <w:sz w:val="21"/>
      <w:szCs w:val="21"/>
    </w:rPr>
  </w:style>
  <w:style w:type="paragraph" w:styleId="868">
    <w:name w:val="macro"/>
    <w:link w:val="869"/>
    <w:uiPriority w:val="99"/>
    <w:semiHidden/>
    <w:unhideWhenUsed/>
    <w:pPr>
      <w:tabs>
        <w:tab w:val="left" w:pos="480" w:leader="none"/>
        <w:tab w:val="left" w:pos="960" w:leader="none"/>
        <w:tab w:val="left" w:pos="1440" w:leader="none"/>
        <w:tab w:val="left" w:pos="1920" w:leader="none"/>
        <w:tab w:val="left" w:pos="2400" w:leader="none"/>
        <w:tab w:val="left" w:pos="2880" w:leader="none"/>
        <w:tab w:val="left" w:pos="3360" w:leader="none"/>
        <w:tab w:val="left" w:pos="3840" w:leader="none"/>
        <w:tab w:val="left" w:pos="4320" w:leader="none"/>
      </w:tabs>
    </w:pPr>
    <w:rPr>
      <w:rFonts w:ascii="Consolas" w:hAnsi="Consolas" w:eastAsia="Times New Roman" w:cs="DejaVu Sans"/>
      <w:color w:val="000000"/>
    </w:rPr>
  </w:style>
  <w:style w:type="character" w:styleId="869" w:customStyle="1">
    <w:name w:val="Текст макроса Знак"/>
    <w:basedOn w:val="719"/>
    <w:link w:val="868"/>
    <w:uiPriority w:val="99"/>
    <w:semiHidden/>
    <w:rPr>
      <w:rFonts w:ascii="Consolas" w:hAnsi="Consolas" w:eastAsia="Times New Roman" w:cs="DejaVu Sans"/>
      <w:color w:val="000000"/>
    </w:rPr>
  </w:style>
  <w:style w:type="paragraph" w:styleId="870">
    <w:name w:val="footnote text"/>
    <w:basedOn w:val="709"/>
    <w:link w:val="871"/>
    <w:uiPriority w:val="99"/>
    <w:semiHidden/>
    <w:unhideWhenUsed/>
    <w:rPr>
      <w:sz w:val="20"/>
      <w:szCs w:val="20"/>
    </w:rPr>
  </w:style>
  <w:style w:type="character" w:styleId="871" w:customStyle="1">
    <w:name w:val="Текст сноски Знак"/>
    <w:basedOn w:val="719"/>
    <w:link w:val="870"/>
    <w:uiPriority w:val="99"/>
    <w:semiHidden/>
    <w:rPr>
      <w:rFonts w:ascii="DejaVu Sans" w:hAnsi="DejaVu Sans" w:eastAsia="Times New Roman" w:cs="DejaVu Sans"/>
      <w:color w:val="000000"/>
    </w:rPr>
  </w:style>
  <w:style w:type="paragraph" w:styleId="872">
    <w:name w:val="index 1"/>
    <w:basedOn w:val="709"/>
    <w:next w:val="709"/>
    <w:uiPriority w:val="99"/>
    <w:semiHidden/>
    <w:unhideWhenUsed/>
    <w:pPr>
      <w:ind w:left="240" w:hanging="240"/>
    </w:pPr>
  </w:style>
  <w:style w:type="paragraph" w:styleId="873">
    <w:name w:val="index heading"/>
    <w:basedOn w:val="709"/>
    <w:next w:val="872"/>
    <w:uiPriority w:val="99"/>
    <w:semiHidden/>
    <w:unhideWhenUsed/>
    <w:rPr>
      <w:rFonts w:asciiTheme="majorHAnsi" w:hAnsiTheme="majorHAnsi" w:eastAsiaTheme="majorEastAsia" w:cstheme="majorBidi"/>
      <w:b/>
      <w:bCs/>
    </w:rPr>
  </w:style>
  <w:style w:type="paragraph" w:styleId="874">
    <w:name w:val="index 2"/>
    <w:basedOn w:val="709"/>
    <w:next w:val="709"/>
    <w:uiPriority w:val="99"/>
    <w:semiHidden/>
    <w:unhideWhenUsed/>
    <w:pPr>
      <w:ind w:left="480" w:hanging="240"/>
    </w:pPr>
  </w:style>
  <w:style w:type="paragraph" w:styleId="875">
    <w:name w:val="index 3"/>
    <w:basedOn w:val="709"/>
    <w:next w:val="709"/>
    <w:uiPriority w:val="99"/>
    <w:semiHidden/>
    <w:unhideWhenUsed/>
    <w:pPr>
      <w:ind w:left="720" w:hanging="240"/>
    </w:pPr>
  </w:style>
  <w:style w:type="paragraph" w:styleId="876">
    <w:name w:val="index 4"/>
    <w:basedOn w:val="709"/>
    <w:next w:val="709"/>
    <w:uiPriority w:val="99"/>
    <w:semiHidden/>
    <w:unhideWhenUsed/>
    <w:pPr>
      <w:ind w:left="960" w:hanging="240"/>
    </w:pPr>
  </w:style>
  <w:style w:type="paragraph" w:styleId="877">
    <w:name w:val="index 5"/>
    <w:basedOn w:val="709"/>
    <w:next w:val="709"/>
    <w:uiPriority w:val="99"/>
    <w:semiHidden/>
    <w:unhideWhenUsed/>
    <w:pPr>
      <w:ind w:left="1200" w:hanging="240"/>
    </w:pPr>
  </w:style>
  <w:style w:type="paragraph" w:styleId="878">
    <w:name w:val="index 6"/>
    <w:basedOn w:val="709"/>
    <w:next w:val="709"/>
    <w:uiPriority w:val="99"/>
    <w:semiHidden/>
    <w:unhideWhenUsed/>
    <w:pPr>
      <w:ind w:left="1440" w:hanging="240"/>
    </w:pPr>
  </w:style>
  <w:style w:type="paragraph" w:styleId="879">
    <w:name w:val="index 7"/>
    <w:basedOn w:val="709"/>
    <w:next w:val="709"/>
    <w:uiPriority w:val="99"/>
    <w:semiHidden/>
    <w:unhideWhenUsed/>
    <w:pPr>
      <w:ind w:left="1680" w:hanging="240"/>
    </w:pPr>
  </w:style>
  <w:style w:type="paragraph" w:styleId="880">
    <w:name w:val="index 8"/>
    <w:basedOn w:val="709"/>
    <w:next w:val="709"/>
    <w:uiPriority w:val="99"/>
    <w:semiHidden/>
    <w:unhideWhenUsed/>
    <w:pPr>
      <w:ind w:left="1920" w:hanging="240"/>
    </w:pPr>
  </w:style>
  <w:style w:type="paragraph" w:styleId="881">
    <w:name w:val="index 9"/>
    <w:basedOn w:val="709"/>
    <w:next w:val="709"/>
    <w:uiPriority w:val="99"/>
    <w:semiHidden/>
    <w:unhideWhenUsed/>
    <w:pPr>
      <w:ind w:left="2160" w:hanging="240"/>
    </w:pPr>
  </w:style>
  <w:style w:type="paragraph" w:styleId="882">
    <w:name w:val="Block Text"/>
    <w:basedOn w:val="709"/>
    <w:uiPriority w:val="99"/>
    <w:semiHidden/>
    <w:unhideWhenUsed/>
    <w:pPr>
      <w:ind w:left="1152" w:right="1152"/>
      <w:pBdr>
        <w:top w:val="single" w:color="4472C4" w:themeColor="accent1" w:sz="2" w:space="10"/>
        <w:left w:val="single" w:color="4472C4" w:themeColor="accent1" w:sz="2" w:space="10"/>
        <w:bottom w:val="single" w:color="4472C4" w:themeColor="accent1" w:sz="2" w:space="10"/>
        <w:right w:val="single" w:color="4472C4" w:themeColor="accent1" w:sz="2" w:space="10"/>
      </w:pBdr>
    </w:pPr>
    <w:rPr>
      <w:rFonts w:asciiTheme="minorHAnsi" w:hAnsiTheme="minorHAnsi" w:eastAsiaTheme="minorEastAsia" w:cstheme="minorBidi"/>
      <w:i/>
      <w:iCs/>
      <w:color w:val="4472c4" w:themeColor="accent1"/>
    </w:rPr>
  </w:style>
  <w:style w:type="paragraph" w:styleId="883">
    <w:name w:val="Quote"/>
    <w:basedOn w:val="709"/>
    <w:next w:val="709"/>
    <w:link w:val="884"/>
    <w:uiPriority w:val="29"/>
    <w:qFormat/>
    <w:pPr>
      <w:ind w:left="864" w:right="864"/>
      <w:jc w:val="center"/>
      <w:spacing w:before="200" w:after="160"/>
    </w:pPr>
    <w:rPr>
      <w:i/>
      <w:iCs/>
      <w:color w:val="404040" w:themeColor="text1" w:themeTint="BF"/>
    </w:rPr>
  </w:style>
  <w:style w:type="character" w:styleId="884" w:customStyle="1">
    <w:name w:val="Цитата 2 Знак"/>
    <w:basedOn w:val="719"/>
    <w:link w:val="883"/>
    <w:uiPriority w:val="29"/>
    <w:rPr>
      <w:rFonts w:ascii="DejaVu Sans" w:hAnsi="DejaVu Sans" w:eastAsia="Times New Roman" w:cs="DejaVu Sans"/>
      <w:i/>
      <w:iCs/>
      <w:color w:val="404040" w:themeColor="text1" w:themeTint="BF"/>
      <w:sz w:val="24"/>
      <w:szCs w:val="24"/>
    </w:rPr>
  </w:style>
  <w:style w:type="paragraph" w:styleId="885">
    <w:name w:val="Message Header"/>
    <w:basedOn w:val="709"/>
    <w:link w:val="886"/>
    <w:uiPriority w:val="99"/>
    <w:semiHidden/>
    <w:unhideWhenUsed/>
    <w:pPr>
      <w:ind w:left="1134" w:hanging="1134"/>
      <w:shd w:val="pct20" w:color="auto" w:fill="auto"/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</w:pPr>
    <w:rPr>
      <w:rFonts w:asciiTheme="majorHAnsi" w:hAnsiTheme="majorHAnsi" w:eastAsiaTheme="majorEastAsia" w:cstheme="majorBidi"/>
    </w:rPr>
  </w:style>
  <w:style w:type="character" w:styleId="886" w:customStyle="1">
    <w:name w:val="Шапка Знак"/>
    <w:basedOn w:val="719"/>
    <w:link w:val="885"/>
    <w:uiPriority w:val="99"/>
    <w:semiHidden/>
    <w:rPr>
      <w:rFonts w:asciiTheme="majorHAnsi" w:hAnsiTheme="majorHAnsi" w:eastAsiaTheme="majorEastAsia" w:cstheme="majorBidi"/>
      <w:color w:val="000000"/>
      <w:sz w:val="24"/>
      <w:szCs w:val="24"/>
      <w:shd w:val="pct20" w:color="auto" w:fill="auto"/>
    </w:rPr>
  </w:style>
  <w:style w:type="paragraph" w:styleId="887">
    <w:name w:val="E-mail Signature"/>
    <w:basedOn w:val="709"/>
    <w:link w:val="888"/>
    <w:uiPriority w:val="99"/>
    <w:semiHidden/>
    <w:unhideWhenUsed/>
  </w:style>
  <w:style w:type="character" w:styleId="888" w:customStyle="1">
    <w:name w:val="Электронная подпись Знак"/>
    <w:basedOn w:val="719"/>
    <w:link w:val="887"/>
    <w:uiPriority w:val="99"/>
    <w:semiHidden/>
    <w:rPr>
      <w:rFonts w:ascii="DejaVu Sans" w:hAnsi="DejaVu Sans" w:eastAsia="Times New Roman" w:cs="DejaVu Sans"/>
      <w:color w:val="000000"/>
      <w:sz w:val="24"/>
      <w:szCs w:val="24"/>
    </w:rPr>
  </w:style>
  <w:style w:type="character" w:styleId="889" w:customStyle="1">
    <w:name w:val="Неразрешенное упоминание10"/>
    <w:basedOn w:val="719"/>
    <w:uiPriority w:val="99"/>
    <w:semiHidden/>
    <w:unhideWhenUsed/>
    <w:rPr>
      <w:color w:val="605e5c"/>
      <w:shd w:val="clear" w:color="auto" w:fill="e1dfdd"/>
    </w:rPr>
  </w:style>
  <w:style w:type="character" w:styleId="890" w:customStyle="1">
    <w:name w:val="Неразрешенное упоминание11"/>
    <w:basedOn w:val="719"/>
    <w:uiPriority w:val="99"/>
    <w:semiHidden/>
    <w:unhideWhenUsed/>
    <w:rPr>
      <w:color w:val="605e5c"/>
      <w:shd w:val="clear" w:color="auto" w:fill="e1dfdd"/>
    </w:rPr>
  </w:style>
  <w:style w:type="character" w:styleId="891">
    <w:name w:val="Unresolved Mention"/>
    <w:basedOn w:val="719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0FD98-8202-4D40-8128-7C90C4614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Р7-Офис/7.3.3.220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Разживин Николай</dc:creator>
  <cp:keywords/>
  <dc:description/>
  <cp:revision>7</cp:revision>
  <dcterms:created xsi:type="dcterms:W3CDTF">2026-07-22T12:04:00Z</dcterms:created>
  <dcterms:modified xsi:type="dcterms:W3CDTF">2026-07-22T13:07:00Z</dcterms:modified>
</cp:coreProperties>
</file>