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709"/>
        <w:jc w:val="center"/>
        <w:rPr>
          <w:rFonts w:ascii="PT Astra Serif" w:hAnsi="PT Astra Serif" w:cs="PT Astra Serif"/>
          <w:b/>
          <w:sz w:val="19"/>
          <w:szCs w:val="19"/>
        </w:rPr>
      </w:pPr>
      <w:r>
        <w:rPr>
          <w:rFonts w:ascii="PT Astra Serif" w:hAnsi="PT Astra Serif" w:eastAsia="PT Astra Serif" w:cs="PT Astra Serif"/>
          <w:b/>
          <w:sz w:val="19"/>
          <w:szCs w:val="19"/>
        </w:rPr>
        <w:t xml:space="preserve">Начальная (максимальная) цена государственного контракта,</w:t>
      </w:r>
      <w:r>
        <w:rPr>
          <w:rFonts w:ascii="PT Astra Serif" w:hAnsi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</w:p>
    <w:p>
      <w:pPr>
        <w:pStyle w:val="837"/>
        <w:ind w:firstLine="709"/>
        <w:jc w:val="center"/>
        <w:rPr>
          <w:rFonts w:ascii="PT Astra Serif" w:hAnsi="PT Astra Serif" w:cs="PT Astra Serif"/>
          <w:b/>
          <w:sz w:val="19"/>
          <w:szCs w:val="19"/>
        </w:rPr>
      </w:pPr>
      <w:r>
        <w:rPr>
          <w:rFonts w:ascii="PT Astra Serif" w:hAnsi="PT Astra Serif" w:eastAsia="PT Astra Serif" w:cs="PT Astra Serif"/>
          <w:b/>
          <w:sz w:val="19"/>
          <w:szCs w:val="19"/>
        </w:rPr>
        <w:t xml:space="preserve">обоснование начальной максимальной цены государственного контракта</w:t>
      </w:r>
      <w:r>
        <w:rPr>
          <w:rFonts w:ascii="PT Astra Serif" w:hAnsi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</w:p>
    <w:p>
      <w:pPr>
        <w:pStyle w:val="837"/>
        <w:ind w:firstLine="709"/>
        <w:jc w:val="center"/>
        <w:rPr>
          <w:rFonts w:ascii="PT Astra Serif" w:hAnsi="PT Astra Serif" w:cs="PT Astra Serif"/>
          <w:b/>
          <w:sz w:val="19"/>
          <w:szCs w:val="19"/>
        </w:rPr>
      </w:pPr>
      <w:r>
        <w:rPr>
          <w:rFonts w:ascii="PT Astra Serif" w:hAnsi="PT Astra Serif" w:eastAsia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</w:p>
    <w:tbl>
      <w:tblPr>
        <w:tblW w:w="5479" w:type="pct"/>
        <w:tblInd w:w="-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269"/>
        <w:gridCol w:w="133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833"/>
              <w:ind w:left="57" w:right="57" w:hanging="57"/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  <w:highlight w:val="white"/>
              </w:rPr>
              <w:t xml:space="preserve">Наименование объекта закупки</w:t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22" w:type="dxa"/>
            <w:vAlign w:val="center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19"/>
                <w:szCs w:val="19"/>
                <w:highlight w:val="white"/>
              </w:rPr>
              <w:t xml:space="preserve">Оказание услуг по шиномонтажным работам, ремонту и балансировке колес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833"/>
              <w:ind w:right="57"/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  <w:highlight w:val="white"/>
              </w:rPr>
              <w:t xml:space="preserve">Используемый метод определения НМЦК с обоснованием:</w:t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22" w:type="dxa"/>
            <w:vAlign w:val="center"/>
            <w:textDirection w:val="lrTb"/>
            <w:noWrap w:val="false"/>
          </w:tcPr>
          <w:p>
            <w:pPr>
              <w:pStyle w:val="833"/>
              <w:ind w:left="57" w:firstLine="11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Метод сопоставимых рыночных цен (анализ рынка) на основании информации, содержащейся в коммерческих предложениях.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833"/>
              <w:ind w:left="57" w:right="57" w:hanging="57"/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Расчет НМЦК</w:t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22" w:type="dxa"/>
            <w:vAlign w:val="center"/>
            <w:textDirection w:val="lrTb"/>
            <w:noWrap w:val="false"/>
          </w:tcPr>
          <w:p>
            <w:pPr>
              <w:pStyle w:val="833"/>
              <w:ind w:left="87" w:right="180" w:firstLine="425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Для определения НМЦК Заказчиком использован метод сопоставимых рыночных цен (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. 22 Федерального закона от 05.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ind w:left="87" w:right="180" w:firstLine="425"/>
              <w:jc w:val="both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В соответствии с п. 3.7.1 части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en-US"/>
              </w:rPr>
              <w:t xml:space="preserve">III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Методических рекомендаций направлены запросы о предоставлении ценовой информации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восьми</w:t>
            </w:r>
            <w:r>
              <w:rPr>
                <w:rFonts w:ascii="PT Astra Serif" w:hAnsi="PT Astra Serif" w:eastAsia="PT Astra Serif" w:cs="PT Astra Serif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поставщикам, обладающих опытом оказания подобных услуг. В результате, получены ответы, содержащие запрашиваемую информацию, от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трех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поставщиков, которым были направлены запросы.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НМЦК,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рассчитан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, как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реднеарифметическ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на основании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имеющейся информации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составила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63 827,12</w:t>
            </w:r>
            <w:r/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</w:rPr>
              <w:t xml:space="preserve">руб.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ind w:left="87" w:right="180" w:firstLine="425"/>
              <w:jc w:val="both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 В резуль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тате проведенного анализа всей имеющейся информации принято решение: в целях экономии бюджетных средств и в связи с дефицитом лимитов бюджетных ассигнований на 2026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год объявить начальную (максимальную) цену контракта по минимально предлагаемой цене, то есть </w:t>
            </w: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7 520</w:t>
            </w: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,0</w:t>
            </w: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 руб.</w:t>
            </w: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pStyle w:val="833"/>
              <w:ind w:firstLine="392"/>
              <w:jc w:val="both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ind w:firstLine="108"/>
              <w:jc w:val="both"/>
              <w:rPr>
                <w:rFonts w:ascii="PT Astra Serif" w:hAnsi="PT Astra Serif" w:cs="PT Astra Serif"/>
                <w:b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Расчёт представлен ниже.</w:t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1" w:type="dxa"/>
            <w:vAlign w:val="center"/>
            <w:textDirection w:val="lrTb"/>
            <w:noWrap w:val="false"/>
          </w:tcPr>
          <w:p>
            <w:pPr>
              <w:pStyle w:val="833"/>
              <w:ind w:left="57" w:right="-28" w:firstLine="0"/>
              <w:rPr>
                <w:rFonts w:ascii="PT Astra Serif" w:hAnsi="PT Astra Serif" w:cs="PT Astra Serif"/>
                <w:b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Дата подготовки обоснования: 25</w:t>
            </w: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.03.2026</w:t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</w:p>
        </w:tc>
      </w:tr>
    </w:tbl>
    <w:p>
      <w:pPr>
        <w:pStyle w:val="833"/>
        <w:rPr>
          <w:rFonts w:ascii="PT Astra Serif" w:hAnsi="PT Astra Serif" w:cs="PT Astra Serif"/>
          <w:sz w:val="19"/>
          <w:szCs w:val="19"/>
        </w:rPr>
      </w:pPr>
      <w:r>
        <w:rPr>
          <w:rFonts w:ascii="PT Astra Serif" w:hAnsi="PT Astra Serif" w:eastAsia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</w:p>
    <w:tbl>
      <w:tblPr>
        <w:tblW w:w="15370" w:type="dxa"/>
        <w:jc w:val="center"/>
        <w:tblInd w:w="-19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34"/>
        <w:gridCol w:w="546"/>
        <w:gridCol w:w="1093"/>
        <w:gridCol w:w="1093"/>
        <w:gridCol w:w="1093"/>
        <w:gridCol w:w="1093"/>
        <w:gridCol w:w="1093"/>
        <w:gridCol w:w="1093"/>
        <w:gridCol w:w="1045"/>
        <w:gridCol w:w="956"/>
        <w:gridCol w:w="747"/>
        <w:gridCol w:w="1134"/>
        <w:gridCol w:w="1134"/>
        <w:gridCol w:w="992"/>
        <w:gridCol w:w="1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3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Основные характерис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тики услуги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Кол-во/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усл. ед.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6"/>
            <w:tcW w:w="6558" w:type="dxa"/>
            <w:vAlign w:val="top"/>
            <w:textDirection w:val="lrTb"/>
            <w:noWrap w:val="false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Наименование источника информации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Сред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няя цена,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</w:tc>
        <w:tc>
          <w:tcPr>
            <w:tcW w:w="9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Сред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нее квадра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тичное отклоне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ние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</w:tc>
        <w:tc>
          <w:tcPr>
            <w:tcW w:w="7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Коэф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фе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циент вариа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ции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</w:tc>
        <w:tc>
          <w:tcPr>
            <w:gridSpan w:val="2"/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</w:rPr>
              <w:t xml:space="preserve">Начальная расчётная (максимальная) цена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(руб.)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2"/>
            <w:tcW w:w="2016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19"/>
                <w:szCs w:val="19"/>
              </w:rPr>
              <w:t xml:space="preserve">Начальная (максимальная) цена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(руб.)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  <w:p>
            <w:pP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4"/>
        </w:trPr>
        <w:tc>
          <w:tcPr>
            <w:tcW w:w="1234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46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gridSpan w:val="2"/>
            <w:tcW w:w="2186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Коммерческое предложение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№ 1, руб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2"/>
            <w:tcW w:w="218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Коммерческое предложение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№ 2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, руб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2"/>
            <w:tcW w:w="2186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Коммерческое 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редложение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b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, руб</w:t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56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47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226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201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4"/>
        </w:trPr>
        <w:tc>
          <w:tcPr>
            <w:tcW w:w="1234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46" w:type="dxa"/>
            <w:vAlign w:val="center"/>
            <w:vMerge w:val="continue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общая 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общая 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общая 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5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4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общая стоимость,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стои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2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общая стои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мость, руб.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466"/>
        </w:trPr>
        <w:tc>
          <w:tcPr>
            <w:gridSpan w:val="15"/>
            <w:tcW w:w="15370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19"/>
                <w:szCs w:val="19"/>
                <w:highlight w:val="white"/>
              </w:rPr>
              <w:t xml:space="preserve">Оказание услуг по шиномонтажным работам, ремонту и балансировке колес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2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Демонтаж/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14:ligatures w14:val="none"/>
              </w:rPr>
            </w:r>
          </w:p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монтаж одного колеса  R15,R16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56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300,00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16 800,00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14 000,00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280,00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15 680,00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276,67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25,17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9,10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276,67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15 493,52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14 000,00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9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Балансировка одного  колеса 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R15,R16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56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16 800,00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14 000,00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280,00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15 680,00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276,67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25,17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9,10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276,67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15 493,52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14 000,00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8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Вулканизация шины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R15,R16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2 200,00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8 800,00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1 900,00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7 600,00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2 033,33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152,75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7,51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2 033,33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8 133,32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1 900,00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7 600,00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8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Ремонт одной шины (прокол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безкамер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14:ligatures w14:val="none"/>
              </w:rPr>
            </w:r>
          </w:p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ной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шины (жгут)) R15, 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8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600,00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4 800,00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450 ,00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3 600,00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516,67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76,38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14,78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516,67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4 133,36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450 ,00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3 600,00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3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Ремонт одной шины (прокол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безкамерной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шины (заплатка)) R15, 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1 900,00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7 600,00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1 600,00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6 400,00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1 800,00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7 200,00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1 766,67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152,75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8,65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1 766,67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7 066,68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1 600,00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6 400,00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5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Подкачка-проверка давления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одного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легкового колеса  R15, 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16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200,00 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3 200,00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120,00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1 920,00</w:t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none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2 400,00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156,67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40,41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25,80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156,67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2 506,72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120,00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1 920,00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845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Снять/поставить  одно легковое колесо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R15, R16 (без выполнения работ), поменять колеса местами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10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300,00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3 000,00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2 500,00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250,00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2 500,00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2 000,00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45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Смазка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герметиком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одной шины   R15, R16</w:t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  <w:r>
              <w:rPr>
                <w:rFonts w:ascii="PT Astra Serif" w:hAnsi="PT Astra Serif" w:cs="PT Astra Serif"/>
                <w:sz w:val="19"/>
                <w:szCs w:val="19"/>
                <w14:ligatures w14:val="none"/>
              </w:rPr>
            </w:r>
          </w:p>
        </w:tc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10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  <w:t xml:space="preserve">900,00</w:t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9 000,00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8 500,00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850,00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5,88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850,00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8 500,00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8 000,00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45"/>
        </w:trPr>
        <w:tc>
          <w:tcPr>
            <w:tcW w:w="1234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Итого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5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highlight w:val="none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highlight w:val="white"/>
              </w:rPr>
            </w:r>
            <w:r>
              <w:rPr>
                <w:rFonts w:ascii="PT Astra Serif" w:hAnsi="PT Astra Serif" w:cs="PT Astra Serif"/>
                <w:sz w:val="19"/>
                <w:szCs w:val="19"/>
                <w:highlight w:val="white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70 000,00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57 520,00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9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63 960,00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56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747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63 827,12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х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02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19"/>
                <w:szCs w:val="19"/>
              </w:rPr>
              <w:t xml:space="preserve">57 520,00</w:t>
            </w:r>
            <w:r>
              <w:rPr>
                <w:rFonts w:ascii="PT Astra Serif" w:hAnsi="PT Astra Serif" w:cs="PT Astra Serif"/>
                <w:b/>
                <w:bCs/>
                <w:sz w:val="19"/>
                <w:szCs w:val="19"/>
              </w:rPr>
            </w:r>
          </w:p>
        </w:tc>
      </w:tr>
    </w:tbl>
    <w:p>
      <w:pPr>
        <w:pStyle w:val="833"/>
        <w:jc w:val="both"/>
        <w:rPr>
          <w:rFonts w:ascii="PT Astra Serif" w:hAnsi="PT Astra Serif" w:cs="PT Astra Serif"/>
          <w:sz w:val="19"/>
          <w:szCs w:val="19"/>
        </w:rPr>
      </w:pPr>
      <w:r>
        <w:rPr>
          <w:rFonts w:ascii="PT Astra Serif" w:hAnsi="PT Astra Serif" w:eastAsia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</w:p>
    <w:p>
      <w:pPr>
        <w:ind w:firstLine="540"/>
        <w:jc w:val="left"/>
        <w:spacing w:after="0" w:line="240" w:lineRule="auto"/>
        <w:rPr>
          <w:rFonts w:ascii="PT Astra Serif" w:hAnsi="PT Astra Serif" w:cs="PT Astra Serif"/>
          <w:b/>
          <w:bCs/>
          <w:sz w:val="19"/>
          <w:szCs w:val="19"/>
          <w:highlight w:val="none"/>
        </w:rPr>
      </w:pPr>
      <w:r>
        <w:rPr>
          <w:rFonts w:ascii="PT Astra Serif" w:hAnsi="PT Astra Serif" w:eastAsia="PT Astra Serif" w:cs="PT Astra Serif"/>
          <w:b/>
          <w:sz w:val="19"/>
          <w:szCs w:val="19"/>
          <w:lang w:eastAsia="ru-RU"/>
        </w:rPr>
        <w:t xml:space="preserve">                                  Перечень транспортных средств</w:t>
      </w:r>
      <w:r>
        <w:rPr>
          <w:rFonts w:ascii="PT Astra Serif" w:hAnsi="PT Astra Serif" w:cs="PT Astra Serif"/>
          <w:b/>
          <w:bCs/>
          <w:sz w:val="19"/>
          <w:szCs w:val="19"/>
          <w:highlight w:val="none"/>
        </w:rPr>
      </w:r>
      <w:r>
        <w:rPr>
          <w:rFonts w:ascii="PT Astra Serif" w:hAnsi="PT Astra Serif" w:cs="PT Astra Serif"/>
          <w:b/>
          <w:bCs/>
          <w:sz w:val="19"/>
          <w:szCs w:val="19"/>
          <w:highlight w:val="none"/>
        </w:rPr>
      </w:r>
    </w:p>
    <w:tbl>
      <w:tblPr>
        <w:tblW w:w="9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128"/>
        <w:gridCol w:w="2409"/>
      </w:tblGrid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eastAsia="ru-RU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19"/>
                <w:szCs w:val="19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Марка, модель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Кол-во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</w:tr>
      <w:tr>
        <w:tblPrEx/>
        <w:trPr>
          <w:trHeight w:val="304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1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en-US"/>
              </w:rPr>
              <w:t xml:space="preserve">Toyota Camry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val="en-US" w:eastAsia="ru-RU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  <w:lang w:val="en-US" w:eastAsia="ru-RU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2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Рено Логан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3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Нива Трэвел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4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4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Лада Веста</w:t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19"/>
                <w:szCs w:val="19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lang w:eastAsia="ru-RU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19"/>
                <w:szCs w:val="19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  <w:r>
              <w:rPr>
                <w:rFonts w:ascii="PT Astra Serif" w:hAnsi="PT Astra Serif" w:cs="PT Astra Serif"/>
                <w:color w:val="000000"/>
                <w:sz w:val="19"/>
                <w:szCs w:val="19"/>
              </w:rPr>
            </w:r>
          </w:p>
        </w:tc>
      </w:tr>
    </w:tbl>
    <w:p>
      <w:pPr>
        <w:contextualSpacing/>
        <w:ind w:right="-143" w:firstLine="709"/>
        <w:jc w:val="both"/>
        <w:tabs>
          <w:tab w:val="left" w:pos="426" w:leader="none"/>
        </w:tabs>
        <w:rPr>
          <w:rFonts w:ascii="PT Astra Serif" w:hAnsi="PT Astra Serif" w:cs="PT Astra Serif"/>
          <w:b/>
          <w:bCs/>
          <w:sz w:val="19"/>
          <w:szCs w:val="19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19"/>
          <w:szCs w:val="19"/>
          <w:highlight w:val="none"/>
        </w:rPr>
      </w:r>
      <w:r>
        <w:rPr>
          <w:rFonts w:ascii="PT Astra Serif" w:hAnsi="PT Astra Serif" w:cs="PT Astra Serif"/>
          <w:b/>
          <w:bCs/>
          <w:sz w:val="19"/>
          <w:szCs w:val="19"/>
          <w:highlight w:val="none"/>
        </w:rPr>
      </w:r>
      <w:r>
        <w:rPr>
          <w:rFonts w:ascii="PT Astra Serif" w:hAnsi="PT Astra Serif" w:cs="PT Astra Serif"/>
          <w:b/>
          <w:bCs/>
          <w:sz w:val="19"/>
          <w:szCs w:val="19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b/>
          <w:bCs/>
          <w:sz w:val="19"/>
          <w:szCs w:val="19"/>
        </w:rPr>
      </w:pPr>
      <w:r>
        <w:rPr>
          <w:rFonts w:ascii="PT Astra Serif" w:hAnsi="PT Astra Serif" w:eastAsia="PT Astra Serif" w:cs="PT Astra Serif"/>
          <w:b/>
          <w:sz w:val="19"/>
          <w:szCs w:val="19"/>
          <w:highlight w:val="none"/>
        </w:rPr>
        <w:t xml:space="preserve">Требования к выполняемым работам, порядок и сроки оказания услуг</w:t>
      </w:r>
      <w:r>
        <w:rPr>
          <w:rFonts w:ascii="PT Astra Serif" w:hAnsi="PT Astra Serif" w:eastAsia="PT Astra Serif" w:cs="PT Astra Serif"/>
          <w:b/>
          <w:sz w:val="19"/>
          <w:szCs w:val="19"/>
          <w:highlight w:val="none"/>
        </w:rPr>
        <w:t xml:space="preserve">, порядок и сроки сдачи/приемки, требования к качеству работ согласно Технического задания.</w:t>
      </w:r>
      <w:r>
        <w:rPr>
          <w:rFonts w:ascii="PT Astra Serif" w:hAnsi="PT Astra Serif" w:cs="PT Astra Serif"/>
          <w:b/>
          <w:bCs/>
          <w:sz w:val="19"/>
          <w:szCs w:val="19"/>
        </w:rPr>
      </w:r>
      <w:r>
        <w:rPr>
          <w:rFonts w:ascii="PT Astra Serif" w:hAnsi="PT Astra Serif" w:cs="PT Astra Serif"/>
          <w:b/>
          <w:bCs/>
          <w:sz w:val="19"/>
          <w:szCs w:val="19"/>
        </w:rPr>
      </w:r>
    </w:p>
    <w:p>
      <w:pPr>
        <w:pStyle w:val="833"/>
        <w:rPr>
          <w:rFonts w:ascii="PT Astra Serif" w:hAnsi="PT Astra Serif" w:cs="PT Astra Serif"/>
          <w:b/>
          <w:sz w:val="19"/>
          <w:szCs w:val="19"/>
        </w:rPr>
      </w:pPr>
      <w:r>
        <w:rPr>
          <w:rFonts w:ascii="PT Astra Serif" w:hAnsi="PT Astra Serif" w:eastAsia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  <w:r>
        <w:rPr>
          <w:rFonts w:ascii="PT Astra Serif" w:hAnsi="PT Astra Serif" w:cs="PT Astra Serif"/>
          <w:b/>
          <w:sz w:val="19"/>
          <w:szCs w:val="19"/>
        </w:rPr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blPrEx/>
        <w:trPr/>
        <w:tc>
          <w:tcPr>
            <w:tcBorders>
              <w:bottom w:val="single" w:color="000000" w:sz="4" w:space="0"/>
            </w:tcBorders>
            <w:tcW w:w="4649" w:type="dxa"/>
            <w:vAlign w:val="bottom"/>
            <w:textDirection w:val="lrTb"/>
            <w:noWrap w:val="false"/>
          </w:tcPr>
          <w:p>
            <w:pPr>
              <w:pStyle w:val="833"/>
              <w:ind w:hanging="28"/>
              <w:spacing w:after="120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sz w:val="19"/>
                <w:szCs w:val="19"/>
              </w:rPr>
              <w:t xml:space="preserve">Работник контрактной службы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Зам начальника ФЭО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(должность)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</w:tbl>
    <w:p>
      <w:pPr>
        <w:pStyle w:val="833"/>
        <w:rPr>
          <w:rFonts w:ascii="PT Astra Serif" w:hAnsi="PT Astra Serif" w:cs="PT Astra Serif"/>
          <w:sz w:val="19"/>
          <w:szCs w:val="19"/>
        </w:rPr>
      </w:pPr>
      <w:r>
        <w:rPr>
          <w:rFonts w:ascii="PT Astra Serif" w:hAnsi="PT Astra Serif" w:eastAsia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</w:p>
    <w:tbl>
      <w:tblPr>
        <w:tblW w:w="0" w:type="auto"/>
        <w:tblInd w:w="60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blPrEx/>
        <w:trPr/>
        <w:tc>
          <w:tcPr>
            <w:gridSpan w:val="4"/>
            <w:tcBorders>
              <w:bottom w:val="single" w:color="000000" w:sz="4" w:space="0"/>
            </w:tcBorders>
            <w:tcW w:w="1020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70" w:type="dxa"/>
            <w:vAlign w:val="bottom"/>
            <w:textDirection w:val="lrTb"/>
            <w:noWrap w:val="false"/>
          </w:tcPr>
          <w:p>
            <w:pPr>
              <w:pStyle w:val="833"/>
              <w:jc w:val="right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/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2608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Н.А.Максимова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172" w:type="dxa"/>
            <w:vAlign w:val="bottom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/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681" w:type="dxa"/>
            <w:vAlign w:val="top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51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(подпись/расшифровка подписи)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  <w:tr>
        <w:tblPrEx/>
        <w:trPr/>
        <w:tc>
          <w:tcPr>
            <w:tcW w:w="170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943-061</w:t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pStyle w:val="833"/>
              <w:jc w:val="right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Borders>
              <w:bottom w:val="single" w:color="000000" w:sz="4" w:space="0"/>
            </w:tcBorders>
            <w:tcW w:w="369" w:type="dxa"/>
            <w:vAlign w:val="bottom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gridSpan w:val="2"/>
            <w:tcW w:w="397" w:type="dxa"/>
            <w:vAlign w:val="bottom"/>
            <w:textDirection w:val="lrTb"/>
            <w:noWrap w:val="false"/>
          </w:tcPr>
          <w:p>
            <w:pPr>
              <w:pStyle w:val="833"/>
              <w:ind w:left="57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  <w:tc>
          <w:tcPr>
            <w:tcW w:w="681" w:type="dxa"/>
            <w:vAlign w:val="top"/>
            <w:textDirection w:val="lrTb"/>
            <w:noWrap w:val="false"/>
          </w:tcPr>
          <w:p>
            <w:pPr>
              <w:pStyle w:val="833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  <w:r>
              <w:rPr>
                <w:rFonts w:ascii="PT Astra Serif" w:hAnsi="PT Astra Serif" w:cs="PT Astra Serif"/>
                <w:sz w:val="19"/>
                <w:szCs w:val="19"/>
              </w:rPr>
            </w:r>
          </w:p>
        </w:tc>
      </w:tr>
    </w:tbl>
    <w:p>
      <w:pPr>
        <w:pStyle w:val="833"/>
        <w:rPr>
          <w:rFonts w:ascii="PT Astra Serif" w:hAnsi="PT Astra Serif" w:cs="PT Astra Serif"/>
          <w:sz w:val="19"/>
          <w:szCs w:val="19"/>
        </w:rPr>
        <w:sectPr>
          <w:footnotePr/>
          <w:endnotePr/>
          <w:type w:val="nextPage"/>
          <w:pgSz w:w="16838" w:h="11906" w:orient="landscape"/>
          <w:pgMar w:top="567" w:right="1106" w:bottom="851" w:left="1559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</w:p>
    <w:p>
      <w:pPr>
        <w:rPr>
          <w:rFonts w:ascii="PT Astra Serif" w:hAnsi="PT Astra Serif" w:cs="PT Astra Serif"/>
          <w:sz w:val="19"/>
          <w:szCs w:val="19"/>
        </w:rPr>
      </w:pPr>
      <w:r>
        <w:rPr>
          <w:rFonts w:ascii="PT Astra Serif" w:hAnsi="PT Astra Serif" w:eastAsia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  <w:r>
        <w:rPr>
          <w:rFonts w:ascii="PT Astra Serif" w:hAnsi="PT Astra Serif" w:cs="PT Astra Serif"/>
          <w:sz w:val="19"/>
          <w:szCs w:val="19"/>
        </w:rPr>
      </w:r>
    </w:p>
    <w:sectPr>
      <w:footnotePr/>
      <w:endnotePr/>
      <w:type w:val="nextPage"/>
      <w:pgSz w:w="11906" w:h="16838" w:orient="portrait"/>
      <w:pgMar w:top="539" w:right="1259" w:bottom="204" w:left="12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num w:numId="1">
    <w:abstractNumId w:val="0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lang w:val="ru-RU" w:eastAsia="ar-SA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Normal1"/>
    <w:next w:val="837"/>
    <w:link w:val="833"/>
    <w:rPr>
      <w:sz w:val="24"/>
      <w:lang w:val="ru-RU" w:eastAsia="ar-SA" w:bidi="ar-SA"/>
    </w:rPr>
  </w:style>
  <w:style w:type="paragraph" w:styleId="838">
    <w:name w:val="Основной текст"/>
    <w:basedOn w:val="833"/>
    <w:next w:val="838"/>
    <w:link w:val="839"/>
    <w:pPr>
      <w:jc w:val="both"/>
    </w:pPr>
    <w:rPr>
      <w:sz w:val="24"/>
      <w:szCs w:val="24"/>
    </w:rPr>
  </w:style>
  <w:style w:type="character" w:styleId="839">
    <w:name w:val="Основной текст Знак"/>
    <w:next w:val="839"/>
    <w:link w:val="838"/>
    <w:rPr>
      <w:sz w:val="24"/>
      <w:szCs w:val="24"/>
      <w:lang w:val="ru-RU" w:eastAsia="ar-SA" w:bidi="ar-SA"/>
    </w:rPr>
  </w:style>
  <w:style w:type="paragraph" w:styleId="840">
    <w:name w:val="Основной текст с отступом 3"/>
    <w:basedOn w:val="833"/>
    <w:next w:val="840"/>
    <w:link w:val="841"/>
    <w:uiPriority w:val="99"/>
    <w:semiHidden/>
    <w:pPr>
      <w:ind w:left="283"/>
      <w:spacing w:after="120"/>
    </w:pPr>
    <w:rPr>
      <w:sz w:val="16"/>
      <w:szCs w:val="16"/>
    </w:rPr>
  </w:style>
  <w:style w:type="character" w:styleId="841">
    <w:name w:val="Основной текст с отступом 3 Знак"/>
    <w:next w:val="841"/>
    <w:link w:val="840"/>
    <w:uiPriority w:val="99"/>
    <w:semiHidden/>
    <w:rPr>
      <w:sz w:val="16"/>
      <w:szCs w:val="16"/>
      <w:lang w:val="ru-RU" w:eastAsia="ar-SA" w:bidi="ar-SA"/>
    </w:rPr>
  </w:style>
  <w:style w:type="paragraph" w:styleId="842">
    <w:name w:val="List Paragraph"/>
    <w:basedOn w:val="833"/>
    <w:next w:val="842"/>
    <w:link w:val="833"/>
    <w:pPr>
      <w:ind w:left="720"/>
    </w:pPr>
  </w:style>
  <w:style w:type="character" w:styleId="843">
    <w:name w:val="ConsPlusNormal Знак"/>
    <w:next w:val="843"/>
    <w:link w:val="844"/>
    <w:rPr>
      <w:rFonts w:ascii="Arial" w:hAnsi="Arial" w:cs="Arial"/>
      <w:sz w:val="22"/>
      <w:szCs w:val="22"/>
      <w:lang w:val="ru-RU" w:eastAsia="ar-SA" w:bidi="ar-SA"/>
    </w:rPr>
  </w:style>
  <w:style w:type="paragraph" w:styleId="844">
    <w:name w:val="ConsPlusNormal"/>
    <w:next w:val="844"/>
    <w:link w:val="843"/>
    <w:qFormat/>
    <w:pPr>
      <w:ind w:firstLine="720"/>
      <w:widowControl w:val="off"/>
    </w:pPr>
    <w:rPr>
      <w:rFonts w:ascii="Arial" w:hAnsi="Arial" w:cs="Arial"/>
      <w:sz w:val="22"/>
      <w:szCs w:val="22"/>
      <w:lang w:val="ru-RU" w:eastAsia="ar-SA" w:bidi="ar-SA"/>
    </w:rPr>
  </w:style>
  <w:style w:type="paragraph" w:styleId="845">
    <w:name w:val=" Знак Знак Знак Знак"/>
    <w:basedOn w:val="833"/>
    <w:next w:val="845"/>
    <w:link w:val="833"/>
    <w:rPr>
      <w:rFonts w:ascii="Verdana" w:hAnsi="Verdana" w:cs="Verdana"/>
      <w:lang w:val="en-US" w:eastAsia="en-US"/>
    </w:rPr>
  </w:style>
  <w:style w:type="paragraph" w:styleId="846">
    <w:name w:val="Абзац списка"/>
    <w:basedOn w:val="833"/>
    <w:next w:val="846"/>
    <w:link w:val="83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47">
    <w:name w:val="Гиперссылка"/>
    <w:next w:val="847"/>
    <w:link w:val="833"/>
    <w:uiPriority w:val="99"/>
    <w:unhideWhenUsed/>
    <w:rPr>
      <w:color w:val="0000ff"/>
      <w:u w:val="single"/>
    </w:rPr>
  </w:style>
  <w:style w:type="paragraph" w:styleId="848">
    <w:name w:val="Текст выноски"/>
    <w:basedOn w:val="833"/>
    <w:next w:val="848"/>
    <w:link w:val="849"/>
    <w:rPr>
      <w:rFonts w:ascii="Segoe UI" w:hAnsi="Segoe UI" w:cs="Segoe UI"/>
      <w:sz w:val="18"/>
      <w:szCs w:val="18"/>
    </w:rPr>
  </w:style>
  <w:style w:type="character" w:styleId="849">
    <w:name w:val="Текст выноски Знак"/>
    <w:next w:val="849"/>
    <w:link w:val="848"/>
    <w:rPr>
      <w:rFonts w:ascii="Segoe UI" w:hAnsi="Segoe UI" w:cs="Segoe UI"/>
      <w:sz w:val="18"/>
      <w:szCs w:val="18"/>
      <w:lang w:eastAsia="ar-SA"/>
    </w:rPr>
  </w:style>
  <w:style w:type="paragraph" w:styleId="850">
    <w:name w:val="Обычный (веб)"/>
    <w:basedOn w:val="833"/>
    <w:next w:val="850"/>
    <w:link w:val="833"/>
    <w:rPr>
      <w:rFonts w:ascii="Arial" w:hAnsi="Arial" w:eastAsia="Calibri" w:cs="Arial"/>
      <w:color w:val="696969"/>
    </w:rPr>
  </w:style>
  <w:style w:type="character" w:styleId="851">
    <w:name w:val="Строгий"/>
    <w:next w:val="851"/>
    <w:link w:val="833"/>
    <w:qFormat/>
    <w:rPr>
      <w:rFonts w:cs="Times New Roman"/>
      <w:b/>
      <w:bCs/>
    </w:rPr>
  </w:style>
  <w:style w:type="character" w:styleId="852" w:default="1">
    <w:name w:val="Default Paragraph Font"/>
    <w:uiPriority w:val="1"/>
    <w:semiHidden/>
    <w:unhideWhenUsed/>
  </w:style>
  <w:style w:type="numbering" w:styleId="853" w:default="1">
    <w:name w:val="No List"/>
    <w:uiPriority w:val="99"/>
    <w:semiHidden/>
    <w:unhideWhenUsed/>
  </w:style>
  <w:style w:type="table" w:styleId="8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Гришкова</dc:creator>
  <cp:lastModifiedBy>mna</cp:lastModifiedBy>
  <cp:revision>78</cp:revision>
  <dcterms:created xsi:type="dcterms:W3CDTF">2021-11-16T06:27:00Z</dcterms:created>
  <dcterms:modified xsi:type="dcterms:W3CDTF">2026-03-27T09:29:44Z</dcterms:modified>
  <cp:version>983040</cp:version>
</cp:coreProperties>
</file>