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Проект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Контракт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 №</w:t>
      </w:r>
      <w:r>
        <w:rPr>
          <w:rFonts w:ascii="Tinos" w:hAnsi="Tinos" w:cs="Tinos"/>
          <w:sz w:val="24"/>
          <w:szCs w:val="24"/>
          <w:highlight w:val="none"/>
        </w:rPr>
        <w:t xml:space="preserve"> 20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9"/>
        <w:gridCol w:w="8636"/>
      </w:tblGrid>
      <w:tr>
        <w:tblPrEx/>
        <w:trPr>
          <w:trHeight w:val="298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ИКЗ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9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КБК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32104125440190019244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г.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Великий Новгород               </w:t>
      </w:r>
      <w:bookmarkStart w:id="0" w:name="_GoBack"/>
      <w:r>
        <w:rPr>
          <w:rFonts w:ascii="Tinos" w:hAnsi="Tinos" w:eastAsia="Tinos" w:cs="Tinos"/>
          <w:sz w:val="24"/>
          <w:szCs w:val="24"/>
          <w:highlight w:val="none"/>
        </w:rPr>
      </w:r>
      <w:bookmarkEnd w:id="0"/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___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» _________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2026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(далее - Управление), именуемое в дальнейшем «Заказчик», в лице заместителя руководителя Управления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Смирновой Ольги Олеговны,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действующей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016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-Д от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17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.0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.202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4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____________, в лице ________________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действующей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на основании 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 имен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уемое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дальнейшем «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», с другой стороны (далее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4 ч.1 ст.93 Федерального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rPr>
          <w:rFonts w:ascii="Tinos" w:hAnsi="Tinos" w:eastAsia="Tinos" w:cs="Tinos"/>
          <w:bCs/>
          <w:sz w:val="24"/>
          <w:szCs w:val="24"/>
          <w:lang w:val="en-US" w:eastAsia="ru-RU"/>
        </w:rPr>
        <w:t xml:space="preserve">c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учетом итогов закупочной сессии №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____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состоялась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/не состоялась),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В соответствии с настоящим контрактом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обязуется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оказать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услуги по шиномонтажным работам, ремонту и балансировке колес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приложением № 1 к контрак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ту (далее –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услуга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), а Заказчик принять и оплатить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оказанную услугу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в соответствии с настоящим контрактом.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1.2. Сроки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оказания услуг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 даты заключения контракта  до 30 ноября  2026 года.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Сумма контракта и порядок расчетов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 Сумма настоящего контракта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составляет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рублей,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том числе НДС/НДС не облагается.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юридическому лицу или ф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изическому лицу, в том числе зарегистрированному в качестве индивидуального предпринимателя уменьшается, на размер налогов, сборов и иных обязательных платежей в бюджет, связанных с оплатой контракта, если такие платежи подлежат уплате в бюджет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2.2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Оплата производится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 счет средств федерального бюджета, безналичным путем, путем перечисления денежных средств на расчетный счет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в течение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семи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рабочих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дней после пред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ставления платёжных документов и подписания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лучаях, предусмотренных п.6 ст.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161 Бюджетного кодекса Российской Федерации, оплата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осуществляется Заказчиком в порядке, установленном пунктом 2.2 контракта, после доведения до него согласованных лимито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бюджетных ассигнований на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год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Доставка платёжных документов (счет,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счёт-фактура,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осуществляется в электрон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ном виде, все представленные документы должны быть подписаны ЭЦП. В случае обмена электронными платёжными документами, такие документы признаются официальными, имеющими юридическую силу и без последующего представления бумажных оригиналов этих документов.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отсутствии технической возможности платежные документы доставляются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своими силами за свой счёт по юридическому адресу Заказчика. 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представленные по факсу, копии (сканы) платёжных документов, платёжные документы, представленные в электронном виде без ЭЦП, к оплате не принимаются и считаются непредставленными.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оформленные не в соответствии с действующим законодательством и(или) заключенным между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и Заказчиком контрактом, считаются непредставленными.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2.3. В стоимость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по настоящему контракту входят расходы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в полном объеме и надлежащего качества, все подлежащие к уплате налоги, сборы и другие обязательные платежи и иные расходы, связанные с оказанием услуг.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В случае неисполнения или ненадлежащего исполнения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обязательства, предусмотренного контрактом, Заказчик вправе осуществить взыскание неустойки (штрафа, пени) в бесспорном порядке без согласия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путем удержания суммы неустойки (штрафа, пени), начисленной в соответствии с разделом 5 настоящего Контракта, при окончательном расчете с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 При этом оплата осу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ществляется на основании счета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счёт-фактуры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подписанного сторонами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(Приложение №2),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2.6. Обязательства Заказчика по оплате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2.7. Банковское сопровождение контракта, предусмотренное ст.35 Закона №44-ФЗ, к настоящему контракту не применяется.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3.1. Исполнитель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Оказать услуги своевременно и с надлежащим качеством.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3.1.2. Оказать услуги в соответствии с требованиями, установленными Приложением № 1 к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3.1.3. Устранить   недостатки, возникшие вследствие   отступления   от контракта,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3.1.4.  Предупредить Заказчика при обнаружении возможных неблагоприятных последствий, которые могут возникнуть в результате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3.1.5. 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3.2. Заказчик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ar-SA"/>
        </w:rPr>
        <w:t xml:space="preserve">3.2.1.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ринять и оплатить оказанные услуги в соответствии с условиями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3.3. Заказчик вправе: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3.3.1. Запрашивать у Исполнителя информацию о ходе исполнения настоящего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3.3.2. В любое 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зумное время проверить качество оказываемых услуг и в случае обнаружения существенных отступлений, предъявить Исполнителю письменную претензию. В случае ее признания Исполнитель обязан в сроки, согласованные с Заказчиком, за свой счет устранить недостатки.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4. Порядок сдачи-приемки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4.1. По завершении оказания услуг Исполнитель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 в течение 2 (двух) рабочих дней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представляет Заказчику подписанный со своей стороны акт оказанных услуг в 2-х экземплярах. Заказчик в течение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пяти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) рабочих дней после передачи ему акта оказанных услуг подписывает его со своей стороны и передает Исполнителю или заявляет в письменном виде мотивированный отказ от приемки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4.2. В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случае несоответствия оказываемых услуг условиям контракта составляется акт устранения недостатков, при этом, Исполнитель обязан устранить   недостатки, возникшие вследствие   отступления   от контракта за свой счет в течение 5 (пяти) рабочих дней с момен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та поступления требования от Заказчика либо составления акта. Некачественно оказанные услуги считаются не выполненными. Срок устранения недостатков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1"/>
          <w:numId w:val="2"/>
        </w:numPr>
        <w:contextualSpacing/>
        <w:ind w:firstLine="720"/>
        <w:jc w:val="both"/>
        <w:spacing w:before="0" w:beforeAutospacing="0" w:after="0" w:afterAutospacing="0" w:line="240" w:lineRule="auto"/>
        <w:tabs>
          <w:tab w:val="num" w:pos="7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4.3. Датой приемки результатов оказания услуг считается дата подписания с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торонами (или их представителями) акта оказанных услуг. При этом, если услуги приняты Заказчиком без замечаний, то срок с даты оказания услуг Исполнителем до даты подписания Заказчиком акта приемки оказанных услуг не входит в срок просрочки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4.4. Для проверки предоставленных Исполнителем результатов, предусмотрен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4.5. Выбор эксперта (экспертной организации) осуществляется Заказчиком без согласования с Исполнителем.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4.6.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4.7. Исполнитель имеет право присутствовать при проводимых в ходе экспертизы осмотрах результатов оказания услуг или иных аналогичных исследованиях.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4.8. Исполнитель, если возникнет так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ая необходимость, обязан в кратчайшие сроки предоставлять эксперту (экспертной организации), с которой Заказчиком заключен договор на проведение экспертизы, 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4.9. После завершения экспертизы Заказчик направляет Исполнителю копию экспертного заключения.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4.10. При получении копии экспертного заключения Исполнитель принимает решение, описанное в пункте 4.2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4.11. В случае выявления экспертом недостатков, несоответствия оказанных услуг требованиям технического задания Исполнитель возмещает Заказчику стоимость произведенной экспертизы и устраняет недостатки и своими силами и за свой счёт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pacing w:val="-8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5. Ответственность сторон</w:t>
      </w:r>
      <w:r>
        <w:rPr>
          <w:rFonts w:ascii="Tinos" w:hAnsi="Tinos" w:cs="Tinos"/>
          <w:spacing w:val="-8"/>
          <w:sz w:val="24"/>
          <w:szCs w:val="24"/>
        </w:rPr>
      </w:r>
      <w:r>
        <w:rPr>
          <w:rFonts w:ascii="Tinos" w:hAnsi="Tinos" w:cs="Tinos"/>
          <w:spacing w:val="-8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.6.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к направляет Поставщику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Поставщиком.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Поставщику в срок не позднее 20 (Двадцати) календарных дней после получения требования Поставщика об уплате штрафа, пеней.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.15. Поставщик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6.1. Ни   одна  из  сторон   не   несет  ответственность   перед  другой   стороной   за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действием обстоятельств непреодолимой силы, т.е. чрезвычайных и непредотвратимых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силы.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контракту.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6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7. Порядок разрешения споров</w:t>
      </w:r>
      <w:r>
        <w:rPr>
          <w:rFonts w:ascii="Tinos" w:hAnsi="Tinos" w:cs="Tinos"/>
          <w:spacing w:val="6"/>
          <w:sz w:val="24"/>
          <w:szCs w:val="24"/>
        </w:rPr>
      </w:r>
      <w:r>
        <w:rPr>
          <w:rFonts w:ascii="Tinos" w:hAnsi="Tinos" w:cs="Tinos"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ними.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В   случае  невозможности  разрешения  разногласий   путем   переговоров  они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обеими сторонами.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Федеральным законом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Федерального закона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9. Прочие условия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7"/>
          <w:sz w:val="24"/>
          <w:szCs w:val="24"/>
          <w:lang w:eastAsia="ru-RU"/>
        </w:rPr>
        <w:t xml:space="preserve">9.1.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9.2.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9.3. Следующие    приложения    являются    неотъемлемой    частью    настоящего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контракта: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1 -спецификация;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2 - форма акта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8"/>
          <w:sz w:val="24"/>
          <w:szCs w:val="24"/>
          <w:lang w:eastAsia="ru-RU"/>
        </w:rPr>
        <w:t xml:space="preserve">9.4.</w:t>
      </w:r>
      <w:r>
        <w:rPr>
          <w:rFonts w:ascii="Tinos" w:hAnsi="Tinos" w:eastAsia="Tinos" w:cs="Tinos"/>
          <w:sz w:val="24"/>
          <w:szCs w:val="24"/>
          <w:lang w:eastAsia="ru-RU"/>
        </w:rPr>
        <w:tab/>
        <w:t xml:space="preserve">Вопросы, не   урегулированные   настоящим     контрактом,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tbl>
      <w:tblPr>
        <w:tblW w:w="95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870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870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>
          <w:trHeight w:val="875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5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contextualSpacing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</w:tbl>
    <w:p>
      <w:pPr>
        <w:contextualSpacing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                                      </w:t>
      </w: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bCs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риложение №1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от «</w:t>
      </w:r>
      <w:r>
        <w:rPr>
          <w:rFonts w:ascii="Tinos" w:hAnsi="Tinos" w:eastAsia="Tinos" w:cs="Tinos"/>
          <w:sz w:val="24"/>
          <w:szCs w:val="24"/>
        </w:rPr>
        <w:t xml:space="preserve">___» </w:t>
      </w:r>
      <w:r>
        <w:rPr>
          <w:rFonts w:ascii="Tinos" w:hAnsi="Tinos" w:eastAsia="Tinos" w:cs="Tinos"/>
          <w:sz w:val="24"/>
          <w:szCs w:val="24"/>
        </w:rPr>
        <w:t xml:space="preserve">________ </w:t>
      </w:r>
      <w:r>
        <w:rPr>
          <w:rFonts w:ascii="Tinos" w:hAnsi="Tinos" w:eastAsia="Tinos" w:cs="Tinos"/>
          <w:sz w:val="24"/>
          <w:szCs w:val="24"/>
        </w:rPr>
        <w:t xml:space="preserve">2026</w:t>
      </w:r>
      <w:r>
        <w:rPr>
          <w:rFonts w:ascii="Tinos" w:hAnsi="Tinos" w:eastAsia="Tinos" w:cs="Tinos"/>
          <w:sz w:val="24"/>
          <w:szCs w:val="24"/>
        </w:rPr>
        <w:t xml:space="preserve"> г. №</w:t>
      </w:r>
      <w:r>
        <w:rPr>
          <w:rFonts w:ascii="Tinos" w:hAnsi="Tinos" w:cs="Tinos"/>
          <w:sz w:val="24"/>
          <w:szCs w:val="24"/>
          <w:highlight w:val="none"/>
        </w:rPr>
        <w:t xml:space="preserve">20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1.Расчет стоимости</w:t>
      </w:r>
      <w:r>
        <w:rPr>
          <w:rFonts w:ascii="Tinos" w:hAnsi="Tinos" w:eastAsia="Tinos" w:cs="Tinos"/>
          <w:b/>
          <w:sz w:val="22"/>
          <w:szCs w:val="22"/>
        </w:rPr>
        <w:t xml:space="preserve"> услуг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before="0" w:line="240" w:lineRule="auto"/>
        <w:widowControl/>
        <w:rPr>
          <w:rFonts w:ascii="Tinos" w:hAnsi="Tinos" w:cs="Tinos"/>
          <w:b/>
          <w:sz w:val="22"/>
          <w:szCs w:val="22"/>
          <w:highlight w:val="yellow"/>
        </w:rPr>
      </w:pPr>
      <w:r>
        <w:rPr>
          <w:rFonts w:ascii="Tinos" w:hAnsi="Tinos" w:eastAsia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</w:p>
    <w:tbl>
      <w:tblPr>
        <w:tblpPr w:horzAnchor="margin" w:tblpXSpec="left" w:vertAnchor="text" w:tblpY="-11" w:leftFromText="180" w:topFromText="0" w:rightFromText="180" w:bottomFromText="0"/>
        <w:tblW w:w="9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1"/>
        <w:gridCol w:w="707"/>
        <w:gridCol w:w="1417"/>
        <w:gridCol w:w="778"/>
        <w:gridCol w:w="1209"/>
        <w:gridCol w:w="1276"/>
      </w:tblGrid>
      <w:tr>
        <w:tblPrEx/>
        <w:trPr>
          <w:trHeight w:val="1500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/п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Наименование единицы услуги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Кол-во,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усл.ед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778" w:type="dxa"/>
            <w:textDirection w:val="lrTb"/>
            <w:noWrap w:val="false"/>
          </w:tcPr>
          <w:p>
            <w:pPr>
              <w:ind w:left="-182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Размер НДС, %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09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 с НДС, руб.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Стоимость, руб. (кол-во*цену с НДС)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Демонтаж/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монтаж одного колеса  R15,R16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56</w:t>
            </w:r>
            <w:r>
              <w:rPr>
                <w:rFonts w:ascii="Tinos" w:hAnsi="Tinos" w:cs="Tinos"/>
                <w:sz w:val="19"/>
                <w:szCs w:val="19"/>
              </w:rPr>
            </w:r>
            <w:r>
              <w:rPr>
                <w:rFonts w:ascii="Tinos" w:hAnsi="Tinos" w:cs="Tinos"/>
                <w:sz w:val="19"/>
                <w:szCs w:val="19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r/>
            <w:r/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eastAsia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Балансировка одного  колеса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R15,R16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</w:tc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56</w:t>
            </w:r>
            <w:r>
              <w:rPr>
                <w:rFonts w:ascii="Tinos" w:hAnsi="Tinos" w:cs="Tinos"/>
                <w:sz w:val="19"/>
                <w:szCs w:val="19"/>
              </w:rPr>
            </w:r>
            <w:r>
              <w:rPr>
                <w:rFonts w:ascii="Tinos" w:hAnsi="Tinos" w:cs="Tinos"/>
                <w:sz w:val="19"/>
                <w:szCs w:val="19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eastAsia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Вулканизация шины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R15,R16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</w:tc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4</w:t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eastAsia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Ремонт одной шины (прокол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безкамер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ной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шины (жгут)) R15, R16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</w:tc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8</w:t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eastAsia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Ремонт одной шины (прокол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безкамерной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шины (заплатка)) R15, R16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</w:tc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4</w:t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eastAsia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Подкачка-проверка давления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одного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легкового колеса  R15, R16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</w:tc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16</w:t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eastAsia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Снять/поставить  одно легковое колесо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R15, R16 (без выполнения работ), поменять колеса местами</w:t>
            </w:r>
            <w:r>
              <w:rPr>
                <w:rFonts w:ascii="Tinos" w:hAnsi="Tinos" w:cs="Tinos"/>
                <w:sz w:val="19"/>
                <w:szCs w:val="19"/>
              </w:rPr>
            </w:r>
            <w:r>
              <w:rPr>
                <w:rFonts w:ascii="Tinos" w:hAnsi="Tinos" w:cs="Tinos"/>
                <w:sz w:val="19"/>
                <w:szCs w:val="19"/>
              </w:rPr>
            </w:r>
          </w:p>
        </w:tc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10</w:t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eastAsia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19"/>
                <w:szCs w:val="19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Смазка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герметиком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одной шины   R15, R16</w:t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  <w:r>
              <w:rPr>
                <w:rFonts w:ascii="Tinos" w:hAnsi="Tinos" w:cs="Tinos"/>
                <w:sz w:val="19"/>
                <w:szCs w:val="19"/>
                <w14:ligatures w14:val="none"/>
              </w:rPr>
            </w:r>
          </w:p>
        </w:tc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19"/>
                <w:szCs w:val="19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10</w:t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  <w:r>
              <w:rPr>
                <w:rFonts w:ascii="Tinos" w:hAnsi="Tinos" w:cs="Tinos"/>
                <w:sz w:val="19"/>
                <w:szCs w:val="19"/>
                <w:highlight w:val="whit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vMerge w:val="restart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/>
          </w:tcPr>
          <w:p>
            <w:r/>
            <w:r/>
          </w:p>
        </w:tc>
      </w:tr>
      <w:tr>
        <w:tblPrEx/>
        <w:trPr>
          <w:trHeight w:val="506"/>
        </w:trPr>
        <w:tc>
          <w:tcPr>
            <w:shd w:val="clear" w:color="ffffff" w:fill="ffffff"/>
            <w:tcW w:w="567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6"/>
            <w:shd w:val="clear" w:color="ffffff" w:fill="ffffff"/>
            <w:tcW w:w="8081" w:type="dxa"/>
            <w:vAlign w:val="center"/>
            <w:textDirection w:val="lrTb"/>
            <w:noWrap w:val="false"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ind w:firstLine="708"/>
        <w:jc w:val="left"/>
        <w:spacing w:after="20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                                          2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.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ind w:firstLine="708"/>
        <w:jc w:val="left"/>
        <w:spacing w:after="20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jc w:val="center"/>
        <w:rPr>
          <w:rFonts w:ascii="Tinos" w:hAnsi="Tinos" w:cs="Tinos"/>
          <w:b/>
          <w:bCs/>
          <w:sz w:val="24"/>
          <w:szCs w:val="24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на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оказание услуг по шиномонтажным работам, ремонту и балансировке колес</w:t>
      </w:r>
      <w:r>
        <w:rPr>
          <w:rFonts w:ascii="Tinos" w:hAnsi="Tinos" w:cs="Tinos"/>
          <w:b/>
          <w:bCs/>
          <w:sz w:val="24"/>
          <w:szCs w:val="24"/>
          <w14:ligatures w14:val="none"/>
        </w:rPr>
      </w:r>
      <w:r>
        <w:rPr>
          <w:rFonts w:ascii="Tinos" w:hAnsi="Tinos" w:cs="Tinos"/>
          <w:b/>
          <w:bCs/>
          <w:sz w:val="24"/>
          <w:szCs w:val="24"/>
          <w14:ligatures w14:val="none"/>
        </w:rPr>
      </w:r>
    </w:p>
    <w:p>
      <w:pPr>
        <w:ind w:left="0" w:right="0" w:firstLine="0"/>
        <w:rPr>
          <w:rFonts w:ascii="Tinos" w:hAnsi="Tinos" w:cs="Tinos"/>
          <w:sz w:val="21"/>
          <w:szCs w:val="21"/>
        </w:rPr>
        <w:pBdr>
          <w:top w:val="single" w:color="E5E7EB" w:sz="0" w:space="0"/>
          <w:left w:val="single" w:color="E5E7EB" w:sz="0" w:space="0"/>
          <w:bottom w:val="single" w:color="E5E7EB" w:sz="0" w:space="0"/>
          <w:right w:val="single" w:color="E5E7EB" w:sz="0" w:space="0"/>
        </w:pBd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cs="Tinos"/>
          <w:sz w:val="21"/>
          <w:szCs w:val="21"/>
        </w:rPr>
      </w:r>
      <w:r>
        <w:rPr>
          <w:rFonts w:ascii="Tinos" w:hAnsi="Tinos" w:cs="Tinos"/>
          <w:sz w:val="21"/>
          <w:szCs w:val="21"/>
        </w:rPr>
      </w:r>
    </w:p>
    <w:p>
      <w:pPr>
        <w:ind w:left="0" w:right="0" w:firstLine="0"/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  <w14:ligatures w14:val="none"/>
        </w:rPr>
        <w:pBdr>
          <w:top w:val="single" w:color="E5E7EB" w:sz="0" w:space="0"/>
          <w:left w:val="single" w:color="E5E7EB" w:sz="0" w:space="0"/>
          <w:bottom w:val="single" w:color="E5E7EB" w:sz="0" w:space="0"/>
          <w:right w:val="single" w:color="E5E7EB" w:sz="0" w:space="0"/>
        </w:pBd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Объект закупки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: </w:t>
      </w:r>
      <w:r>
        <w:rPr>
          <w:rStyle w:val="943"/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  <w:t xml:space="preserve">Оказание услуг по шиномонтажным работам, ремонту и балансировке колес</w:t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  <w14:ligatures w14:val="none"/>
        </w:rPr>
      </w:r>
    </w:p>
    <w:p>
      <w:pPr>
        <w:ind w:left="0" w:right="0" w:firstLine="0"/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  <w:pBdr>
          <w:top w:val="single" w:color="E5E7EB" w:sz="0" w:space="0"/>
          <w:left w:val="single" w:color="E5E7EB" w:sz="0" w:space="0"/>
          <w:bottom w:val="single" w:color="E5E7EB" w:sz="0" w:space="0"/>
          <w:right w:val="single" w:color="E5E7EB" w:sz="0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lang w:eastAsia="ru-RU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</w:r>
      <w:hyperlink r:id="rId13" w:tooltip="https://moy-zakupki.ru/okpd-2/45.20.13.000/" w:history="1">
        <w:r>
          <w:rPr>
            <w:rStyle w:val="943"/>
            <w:rFonts w:ascii="Tinos" w:hAnsi="Tinos" w:eastAsia="Tinos" w:cs="Tinos"/>
            <w:b w:val="0"/>
            <w:bCs w:val="0"/>
            <w:color w:val="000000" w:themeColor="text1"/>
            <w:sz w:val="24"/>
            <w:szCs w:val="24"/>
            <w:highlight w:val="none"/>
          </w:rPr>
          <w:t xml:space="preserve"> ОКПД 2   </w:t>
        </w:r>
        <w:r>
          <w:rPr>
            <w:rStyle w:val="943"/>
            <w:rFonts w:ascii="Tinos" w:hAnsi="Tinos" w:eastAsia="Tinos" w:cs="Tinos"/>
            <w:b w:val="0"/>
            <w:bCs w:val="0"/>
            <w:color w:val="000000" w:themeColor="text1"/>
            <w:sz w:val="24"/>
            <w:szCs w:val="24"/>
            <w:highlight w:val="white"/>
          </w:rPr>
          <w:t xml:space="preserve">45.20.13.000 - Услуги по ремонту шин легковых автомобилей и легких грузовых автотранспортных средств, включая регулировку и балансировку колес</w:t>
        </w:r>
      </w:hyperlink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contextualSpacing/>
        <w:ind w:right="-1" w:firstLine="567"/>
        <w:jc w:val="both"/>
        <w:tabs>
          <w:tab w:val="left" w:pos="426" w:leader="none"/>
        </w:tabs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</w:p>
    <w:tbl>
      <w:tblPr>
        <w:tblW w:w="93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3749"/>
        <w:gridCol w:w="2251"/>
        <w:gridCol w:w="2500"/>
      </w:tblGrid>
      <w:tr>
        <w:tblPrEx/>
        <w:trPr>
          <w:jc w:val="center"/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both"/>
              <w:spacing w:line="256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9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Наименование оказываемых услуг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1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Количество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услуг,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line="256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усл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. ед.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Код ОКПД 2 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54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Демонтаж/монтаж одного колеса  R15,R16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9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Балансировка одного  колеса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R15,R16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jc w:val="center"/>
          <w:trHeight w:val="387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3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749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Вулканизация шины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R15,R16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50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74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Ремонт одной шины (прокол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безкамерной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шины (жгут))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837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</w:t>
            </w:r>
            <w:r>
              <w:rPr>
                <w:rFonts w:ascii="Tinos" w:hAnsi="Tinos" w:cs="Tinos"/>
                <w:sz w:val="24"/>
                <w:szCs w:val="24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shd w:val="clear" w:color="auto" w:fill="ffffff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74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Ремонт одной шины (прокол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безкамерной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шины (заплатка))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772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74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Подкачка-проверка давления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одного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легкового колеса 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840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74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Снять/поставить  одно легковое колесо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R15, R16 (без выполнения работ), поменять колеса местами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61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74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Смазка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герметиком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одной шины  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45.20.13.000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firstLine="540"/>
        <w:jc w:val="center"/>
        <w:spacing w:after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540"/>
        <w:jc w:val="center"/>
        <w:spacing w:after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Перечень транспортных средств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tbl>
      <w:tblPr>
        <w:tblW w:w="93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128"/>
        <w:gridCol w:w="2409"/>
      </w:tblGrid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Марка, модель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Кол-во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04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Toyota Camry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val="en-US" w:eastAsia="ru-RU"/>
              </w:rPr>
              <w:t xml:space="preserve">1</w:t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highlight w:val="none"/>
                <w:lang w:val="en-US"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Рено Логан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3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Нива Трэвел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8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612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Лада Веста</w:t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</w:tr>
    </w:tbl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Место оказания услуг: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 территории Исполнителя в черте г. Великий Новгород (Новгородская область).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Общие требования к выполняемым работам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Работы должны оказываться квалифицированным персоналом Исполнителя, на профессиональном оборудовании с использованием соответствующих материалов, предоставляемых Исполнителем.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Исполнитель гарантирует полную сохранность всего имущества Заказчика в период оказания услуг, и несет полную материальную ответственность за причинение вреда имуществу Заказчика в ходе оказания услуг.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Оказываемые работы должны соответствовать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требованиям качества, безопасности жизни и здоровья, а также иным требованиям (безопасности, санитарным нормам и правилам, государственным стандартам), установленным законодательством Российской Федерации.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Расходные материалы, применяемые при выполнении работ, должны быть качественными и отвечать стандартам и требованиям, предъявляемым к расходным материалам данного рода, действующим на территории Российской Федерации.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Требования к техническим характеристикам работам: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- Исполнитель должен выполнять все работы в полном объеме и в строгом соответствии с требованиями государственных стандартов, условий технической документации на автотранспорт, в объеме и в сроки, предусмотренные Договором.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- услуги по шиномонтажу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транспортных средств Исполнитель должен осуществлять на участке, оснащенном необходимым оборудованием, приспособлениями и инструментом (шиномонтажный станок, балансировочный стенд, компрессор, дископравный стенд, мойка колес, вулканизатор, домкрат и т.д.).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Требования к безопасности работ (услуг):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- Исполнитель должен осуществлять услуги по шиномонтажу способами и средствами, обеспечивающими безопасность движения при эксплуатации автотранспорта. Самостоятельно определять способы шиномонтажных и сервисных работ по ремонту колеса.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Станция технического обслуживания должна быть оснащена всем оборудованием, соответствующим стандартам для выполнения шиномонтажных работ.</w:t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Порядок и сроки оказания услуг: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Выполнение шиномонтажных работ (далее – шиномонтаж) оказывается поэтапно исходя из потребности Заказчика ежедневно с 09.00 до 18.00,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начиная с даты заключения контракта  до 30 ноября  202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6 г.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Выполнение шиномонтажных работ должно осуществляться: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-  в день обращения Заказчика;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- в срок не более 1 (одного) часа с момента доставки автотранспорта Заказчика в сервисный центр Исполнителя;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-  время ожидания в очереди – не более 15 минут.</w:t>
      </w:r>
      <w:r>
        <w:rPr>
          <w:rFonts w:ascii="Tinos" w:hAnsi="Tinos" w:cs="Tinos"/>
          <w:sz w:val="20"/>
          <w:szCs w:val="20"/>
          <w14:ligatures w14:val="none"/>
        </w:rPr>
      </w:r>
      <w:r>
        <w:rPr>
          <w:rFonts w:ascii="Tinos" w:hAnsi="Tinos" w:cs="Tinos"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Передача автотранспортного средства Исполнителю для выполнения работ по шиномонтажу осуществляется на основании заявки Заказчика, которая направляется Исполнителю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по телефону (адресу электронной почты) Исполнителя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(указанным Договоре)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ответственным лицом (представителем) Заказчика.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Заявка Заказчика может быть вручена Исполнителю нарочно. Моментом получения заявки считается:</w:t>
      </w:r>
      <w:r>
        <w:rPr>
          <w:rFonts w:ascii="Tinos" w:hAnsi="Tinos" w:cs="Tinos"/>
          <w:sz w:val="20"/>
          <w:szCs w:val="20"/>
          <w14:ligatures w14:val="none"/>
        </w:rPr>
      </w:r>
      <w:r>
        <w:rPr>
          <w:rFonts w:ascii="Tinos" w:hAnsi="Tinos" w:cs="Tinos"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а) в случае вручения  лично – в момент получения, с письменной отметкой о вручении;</w:t>
      </w:r>
      <w:r>
        <w:rPr>
          <w:rFonts w:ascii="Tinos" w:hAnsi="Tinos" w:cs="Tinos"/>
          <w:sz w:val="20"/>
          <w:szCs w:val="20"/>
          <w14:ligatures w14:val="none"/>
        </w:rPr>
      </w:r>
      <w:r>
        <w:rPr>
          <w:rFonts w:ascii="Tinos" w:hAnsi="Tinos" w:cs="Tinos"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б) в случае направления посредством факса – спустя два часа после отправления факса с подтверждением получения;</w:t>
      </w:r>
      <w:r>
        <w:rPr>
          <w:rFonts w:ascii="Tinos" w:hAnsi="Tinos" w:cs="Tinos"/>
          <w:sz w:val="20"/>
          <w:szCs w:val="20"/>
          <w14:ligatures w14:val="none"/>
        </w:rPr>
      </w:r>
      <w:r>
        <w:rPr>
          <w:rFonts w:ascii="Tinos" w:hAnsi="Tinos" w:cs="Tinos"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в) в случае направления посредством электронной почты – в момент отправки (подтверждением о получении признается отметка об отправке по электронной почте).</w:t>
      </w:r>
      <w:r>
        <w:rPr>
          <w:rFonts w:ascii="Tinos" w:hAnsi="Tinos" w:cs="Tinos"/>
          <w:sz w:val="20"/>
          <w:szCs w:val="20"/>
          <w14:ligatures w14:val="none"/>
        </w:rPr>
      </w:r>
      <w:r>
        <w:rPr>
          <w:rFonts w:ascii="Tinos" w:hAnsi="Tinos" w:cs="Tinos"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Автотранспортное средство принимается/сдается на территории производственной базы Исполнителя. Доставка автотранспортного средства Исполнителю и от Исполнителя осуществляется силами Заказчика и за его счет, если Заявкой Заказчика не установлено иное.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Работы выполняются в присутствии представителя Заказчика.</w:t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</w:p>
    <w:p>
      <w:pPr>
        <w:contextualSpacing/>
        <w:ind w:right="-143" w:firstLine="0"/>
        <w:jc w:val="both"/>
        <w:tabs>
          <w:tab w:val="left" w:pos="426" w:leader="none"/>
        </w:tabs>
        <w:rPr>
          <w:rFonts w:ascii="Tinos" w:hAnsi="Tinos" w:cs="Tinos"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          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Порядок и сроки сдачи, приемки и оформления оказанных услуг:</w:t>
      </w:r>
      <w:r>
        <w:rPr>
          <w:rFonts w:ascii="Tinos" w:hAnsi="Tinos" w:cs="Tinos"/>
          <w:sz w:val="20"/>
          <w:szCs w:val="20"/>
          <w14:ligatures w14:val="none"/>
        </w:rPr>
      </w:r>
      <w:r>
        <w:rPr>
          <w:rFonts w:ascii="Tinos" w:hAnsi="Tinos" w:cs="Tinos"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После оказания услуг в течение 5 (пяти) календарных дней Исполнитель представляет Заказчику акт оказанных услуг в 2 (двух) экземплярах с приложением счета на оплату, счета-фактуры (при наличии).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Заказчик в течение 5 (пяти) рабочих дней со дня получения акта оказанных усл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уг осуществляет проверку качества оказанных услуг и передает для подписания Исполнителю подписанный со своей стороны акт оказанных услуг или отказывает в приемке, направляя мотивированный отказ от приемки услуг (двухсторонний претензионный акт) с перечнем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выявленных недостатков и со сроком их устранения. Указанный акт в течение 1 (одного) рабочего дня с даты подписания Заказчиком направляется Исполнителю для устранения выявленных недостатков. После устранения недостатков Исполнитель предоставляет Заказчику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акт оказанных услуг в 2 (двух) экземплярах.</w:t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</w:p>
    <w:p>
      <w:pPr>
        <w:contextualSpacing/>
        <w:ind w:right="-143" w:firstLine="0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          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Порядок и сроки оплаты оказанных услуг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: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Оплата производится по факту оказания услуг на основании счета в те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чение 7 (семи) рабочих дней после подписания Сторонами акта оказанных услуг (акта приемки-сдачи услуг), путем безналичного перечисления денежных средств на банковский счет Исполнителя, указанный в Договоре, на основании счёта, счет-фактуры (при наличии).  </w:t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Характеристики оказанных услуг (требования к качеству, техническим характеристикам работ и иные показатели, связанные с определением соответствия выполненных работ потребностям Заказчика)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: 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Все работы должны быть выполнены в соответствии с требованиями действ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ующего законодательства РФ.  Должны соответствовать «ГОСТ 33997-2016. 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N 708-ст).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Оказываемые услуги по шиномонтажным работам, ремонту и балансировке  колес автотранспорта должны быть надлежащего качества и выполняться в полном объеме. Исполнитель оказывает услуги собственными силами (персоналом) и средствами (оборудованием).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Все запасные части и материалы, к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оторые Исполнитель использует при оказании услуг, должны быть новыми, не восстановленными, без дефектов, не переделанными, не поврежденными, без каких-либо ограничений (залог, запрет, арест и т.п.) к свободному обращению на территории Российской Федерации.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 выполнение шиномонтажных работ входит: диагностика состояния колеса, съем/установка колес, монтаж/демонтаж шин (разборка колеса (снятие шины с диска) и сборка колеса (установка шины на диск) с использованием специального оборудования и качест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венного инструмента), чистка, мойка колеса в сборе (по необходимости), промазка дисков (устранение негерметичности по ободу диска), накачка колеса до нужного давления, рекомендованного заводом изготовителем для данной марки автомобиля, балансировка колес.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Балансировка колеса производится на балансировочном станке, предназначенного для данного типа и размера колеса. Качество и безопасность балансировки достигается путем недопущения радиального и бокового биения колеса с использованием балансировочного груза.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Оборудование Исполнителя должно быть откалибровано. Установка колеса должна обеспечивать надежное крепление к ступице автомобиля, с моментом затяжки болтов, в соответствии с инструкцией завода изготовителя автомобиля.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Снятые шины возвращаются Заказчику.</w:t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 Требования к безопасности работ: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Выполняемые работы не должны наносить вред имуществу Заказчика. При выполнении работ должны соблюдаться нормы пожарной безопасности, а также соблюдаться нормы техники безопасности. </w:t>
      </w:r>
      <w:r>
        <w:rPr>
          <w:rFonts w:ascii="Tinos" w:hAnsi="Tinos" w:cs="Tinos"/>
          <w:bCs/>
          <w:sz w:val="20"/>
          <w:szCs w:val="20"/>
          <w14:ligatures w14:val="none"/>
        </w:rPr>
      </w:r>
      <w:r>
        <w:rPr>
          <w:rFonts w:ascii="Tinos" w:hAnsi="Tinos" w:cs="Tinos"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После выполнения работ Исполнителем автотранспорт Заказчика должен быть безопасен при соблюдении норм и правил, установленных его производителем и определяющих порядок его эксплуатации.</w:t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0"/>
          <w:szCs w:val="20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ребования к качеству оказанных услуг: </w:t>
      </w:r>
      <w:r>
        <w:rPr>
          <w:rFonts w:ascii="Tinos" w:hAnsi="Tinos" w:cs="Tinos"/>
          <w:sz w:val="20"/>
          <w:szCs w:val="20"/>
          <w14:ligatures w14:val="none"/>
        </w:rPr>
      </w:r>
      <w:r>
        <w:rPr>
          <w:rFonts w:ascii="Tinos" w:hAnsi="Tinos" w:cs="Tinos"/>
          <w:sz w:val="20"/>
          <w:szCs w:val="20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b/>
          <w:bCs/>
          <w:sz w:val="20"/>
          <w:szCs w:val="20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Исполнитель обеспечивает оказание услуг в соответствии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с требованиями и техническими нормами, определяемыми условиями действующего законодательства, техническим заданием и Договором. В случае оказания услуг несоответствующего качества, Исполнитель обязан устранить все выявленные недостатки за собственный счет.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  <w:r>
        <w:rPr>
          <w:rFonts w:ascii="Tinos" w:hAnsi="Tinos" w:cs="Tinos"/>
          <w:b/>
          <w:bCs/>
          <w:sz w:val="20"/>
          <w:szCs w:val="20"/>
          <w14:ligatures w14:val="none"/>
        </w:rPr>
      </w:r>
    </w:p>
    <w:p>
      <w:pPr>
        <w:pStyle w:val="932"/>
        <w:contextualSpacing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left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Приложение № 2 к контракту 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                                                                    от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___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 _________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2026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№20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ОБРАЗЕЦ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Акт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№____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  г.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контракту №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 20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right="-1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Заказчик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Управлением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Росреестра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 Новгородской области</w:t>
      </w:r>
      <w:r>
        <w:rPr>
          <w:rFonts w:ascii="Tinos" w:hAnsi="Tinos" w:cs="Tinos"/>
          <w:strike/>
          <w:sz w:val="24"/>
          <w:szCs w:val="24"/>
        </w:rPr>
      </w:r>
      <w:r>
        <w:rPr>
          <w:rFonts w:ascii="Tinos" w:hAnsi="Tinos" w:cs="Tinos"/>
          <w:strike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Заказчика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г. Великий Новгород, ул. Октябрьская, д. 17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lang w:eastAsia="ar-SA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Исполнитель: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Исполнителя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tabs>
          <w:tab w:val="left" w:pos="590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Исполнителем 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соответствии с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контракт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ом №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20 от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б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ыли оказаны следующие услуги: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jc w:val="center"/>
        <w:tblInd w:w="-3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331"/>
        <w:gridCol w:w="1559"/>
        <w:gridCol w:w="1967"/>
        <w:gridCol w:w="999"/>
      </w:tblGrid>
      <w:tr>
        <w:tblPrEx/>
        <w:trPr>
          <w:jc w:val="center"/>
          <w:trHeight w:val="268"/>
        </w:trPr>
        <w:tc>
          <w:tcPr>
            <w:tcW w:w="4331" w:type="dxa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Наименование услуг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Кол-во,усл.ед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Цена,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Сумма,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Демонтаж/монтаж одного колеса  R15,R16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Балансировка одного  колеса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R15,R16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</w:tr>
      <w:tr>
        <w:tblPrEx/>
        <w:trPr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Вулканизация шины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R15,R16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</w:tr>
      <w:tr>
        <w:tblPrEx/>
        <w:trPr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Ремонт одной шины (прокол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безкамерной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шины (жгут))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</w:tr>
      <w:tr>
        <w:tblPrEx/>
        <w:trPr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Ремонт одной шины (прокол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безкамерной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шины (заплатка))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</w:tr>
      <w:tr>
        <w:tblPrEx/>
        <w:trPr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Подкачка-проверка давления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одного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легкового колеса 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</w:tr>
      <w:tr>
        <w:tblPrEx/>
        <w:trPr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Снять/поставить  одно легковое колесо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R15, R16 (без выполнения работ), поменять колеса местами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</w:tr>
      <w:tr>
        <w:tblPrEx/>
        <w:trPr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Смазка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герметиком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одной шины   R15, R16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</w:p>
        </w:tc>
      </w:tr>
    </w:tbl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Вышеперечисленные услуги оказаны полностью и в срок. Заказчик претензий по объему, качеству и срокам оказания услуг не имеет.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        </w:t>
      </w:r>
      <w:r>
        <w:rPr>
          <w:rFonts w:ascii="Tinos" w:hAnsi="Tinos" w:eastAsia="Tinos" w:cs="Tinos"/>
          <w:sz w:val="20"/>
          <w:szCs w:val="20"/>
          <w:lang w:eastAsia="ar-SA"/>
        </w:rPr>
        <w:t xml:space="preserve"> (*) Сумма, подлежащая оплате в соответствии с условиями контракта (итого общая стоимость оказанных услуг)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Размер неустойки, подлежащий взысканию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Основания применения и порядок расчета неустойки (штрафов)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Итоговая сумма, подлежащая оплате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  <w:lang w:eastAsia="ar-SA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ar-SA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(*) Данные разде</w:t>
      </w: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лы акта заполняются Заказчиком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jc w:val="center"/>
    </w:pPr>
    <w:fldSimple w:instr="PAGE \* MERGEFORMAT">
      <w:r>
        <w:t xml:space="preserve">1</w:t>
      </w:r>
    </w:fldSimple>
    <w:r/>
    <w:r/>
  </w:p>
  <w:p>
    <w:pPr>
      <w:pStyle w:val="7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3" w:hanging="360"/>
        <w:tabs>
          <w:tab w:val="num" w:pos="102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4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86" w:hanging="360"/>
      </w:pPr>
      <w:rPr>
        <w:rFonts w:hint="default"/>
        <w:b w:val="0"/>
        <w:lang w:val="ru-RU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0">
    <w:multiLevelType w:val="hybridMultilevel"/>
    <w:lvl w:ilvl="0">
      <w:start w:val="2009"/>
      <w:numFmt w:val="decimal"/>
      <w:isLgl w:val="false"/>
      <w:suff w:val="tab"/>
      <w:lvlText w:val="%1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 w:val="false"/>
      <w:suff w:val="tab"/>
      <w:lvlText w:val="%2."/>
      <w:lvlJc w:val="left"/>
      <w:pPr>
        <w:ind w:left="1211" w:hanging="360"/>
        <w:tabs>
          <w:tab w:val="num" w:pos="1211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200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7">
    <w:name w:val="Heading 1"/>
    <w:basedOn w:val="932"/>
    <w:next w:val="932"/>
    <w:link w:val="7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8">
    <w:name w:val="Heading 1 Char"/>
    <w:basedOn w:val="933"/>
    <w:link w:val="757"/>
    <w:uiPriority w:val="9"/>
    <w:rPr>
      <w:rFonts w:ascii="Arial" w:hAnsi="Arial" w:eastAsia="Arial" w:cs="Arial"/>
      <w:sz w:val="40"/>
      <w:szCs w:val="40"/>
    </w:rPr>
  </w:style>
  <w:style w:type="paragraph" w:styleId="759">
    <w:name w:val="Heading 2"/>
    <w:basedOn w:val="932"/>
    <w:next w:val="932"/>
    <w:link w:val="7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0">
    <w:name w:val="Heading 2 Char"/>
    <w:basedOn w:val="933"/>
    <w:link w:val="759"/>
    <w:uiPriority w:val="9"/>
    <w:rPr>
      <w:rFonts w:ascii="Arial" w:hAnsi="Arial" w:eastAsia="Arial" w:cs="Arial"/>
      <w:sz w:val="34"/>
    </w:rPr>
  </w:style>
  <w:style w:type="paragraph" w:styleId="761">
    <w:name w:val="Heading 3"/>
    <w:basedOn w:val="932"/>
    <w:next w:val="932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2">
    <w:name w:val="Heading 3 Char"/>
    <w:basedOn w:val="933"/>
    <w:link w:val="761"/>
    <w:uiPriority w:val="9"/>
    <w:rPr>
      <w:rFonts w:ascii="Arial" w:hAnsi="Arial" w:eastAsia="Arial" w:cs="Arial"/>
      <w:sz w:val="30"/>
      <w:szCs w:val="30"/>
    </w:rPr>
  </w:style>
  <w:style w:type="paragraph" w:styleId="763">
    <w:name w:val="Heading 4"/>
    <w:basedOn w:val="932"/>
    <w:next w:val="932"/>
    <w:link w:val="7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4">
    <w:name w:val="Heading 4 Char"/>
    <w:basedOn w:val="933"/>
    <w:link w:val="763"/>
    <w:uiPriority w:val="9"/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932"/>
    <w:next w:val="932"/>
    <w:link w:val="7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6">
    <w:name w:val="Heading 5 Char"/>
    <w:basedOn w:val="933"/>
    <w:link w:val="765"/>
    <w:uiPriority w:val="9"/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932"/>
    <w:next w:val="932"/>
    <w:link w:val="7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8">
    <w:name w:val="Heading 6 Char"/>
    <w:basedOn w:val="933"/>
    <w:link w:val="767"/>
    <w:uiPriority w:val="9"/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932"/>
    <w:next w:val="932"/>
    <w:link w:val="7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>
    <w:name w:val="Heading 7 Char"/>
    <w:basedOn w:val="933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932"/>
    <w:next w:val="932"/>
    <w:link w:val="7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2">
    <w:name w:val="Heading 8 Char"/>
    <w:basedOn w:val="933"/>
    <w:link w:val="771"/>
    <w:uiPriority w:val="9"/>
    <w:rPr>
      <w:rFonts w:ascii="Arial" w:hAnsi="Arial" w:eastAsia="Arial" w:cs="Arial"/>
      <w:i/>
      <w:iCs/>
      <w:sz w:val="22"/>
      <w:szCs w:val="22"/>
    </w:rPr>
  </w:style>
  <w:style w:type="paragraph" w:styleId="773">
    <w:name w:val="Heading 9"/>
    <w:basedOn w:val="932"/>
    <w:next w:val="932"/>
    <w:link w:val="7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>
    <w:name w:val="Heading 9 Char"/>
    <w:basedOn w:val="933"/>
    <w:link w:val="773"/>
    <w:uiPriority w:val="9"/>
    <w:rPr>
      <w:rFonts w:ascii="Arial" w:hAnsi="Arial" w:eastAsia="Arial" w:cs="Arial"/>
      <w:i/>
      <w:iCs/>
      <w:sz w:val="21"/>
      <w:szCs w:val="21"/>
    </w:rPr>
  </w:style>
  <w:style w:type="paragraph" w:styleId="775">
    <w:name w:val="No Spacing"/>
    <w:uiPriority w:val="1"/>
    <w:qFormat/>
    <w:pPr>
      <w:spacing w:before="0" w:after="0" w:line="240" w:lineRule="auto"/>
    </w:pPr>
  </w:style>
  <w:style w:type="paragraph" w:styleId="776">
    <w:name w:val="Title"/>
    <w:basedOn w:val="932"/>
    <w:next w:val="932"/>
    <w:link w:val="7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7">
    <w:name w:val="Title Char"/>
    <w:basedOn w:val="933"/>
    <w:link w:val="776"/>
    <w:uiPriority w:val="10"/>
    <w:rPr>
      <w:sz w:val="48"/>
      <w:szCs w:val="48"/>
    </w:rPr>
  </w:style>
  <w:style w:type="paragraph" w:styleId="778">
    <w:name w:val="Subtitle"/>
    <w:basedOn w:val="932"/>
    <w:next w:val="932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>
    <w:name w:val="Subtitle Char"/>
    <w:basedOn w:val="933"/>
    <w:link w:val="778"/>
    <w:uiPriority w:val="11"/>
    <w:rPr>
      <w:sz w:val="24"/>
      <w:szCs w:val="24"/>
    </w:rPr>
  </w:style>
  <w:style w:type="paragraph" w:styleId="780">
    <w:name w:val="Quote"/>
    <w:basedOn w:val="932"/>
    <w:next w:val="932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32"/>
    <w:next w:val="932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paragraph" w:styleId="784">
    <w:name w:val="Header"/>
    <w:basedOn w:val="932"/>
    <w:link w:val="7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5">
    <w:name w:val="Header Char"/>
    <w:basedOn w:val="933"/>
    <w:link w:val="784"/>
    <w:uiPriority w:val="99"/>
  </w:style>
  <w:style w:type="paragraph" w:styleId="786">
    <w:name w:val="Footer"/>
    <w:basedOn w:val="932"/>
    <w:link w:val="7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7">
    <w:name w:val="Footer Char"/>
    <w:basedOn w:val="933"/>
    <w:link w:val="786"/>
    <w:uiPriority w:val="99"/>
  </w:style>
  <w:style w:type="paragraph" w:styleId="788">
    <w:name w:val="Caption"/>
    <w:basedOn w:val="932"/>
    <w:next w:val="9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9">
    <w:name w:val="Caption Char"/>
    <w:basedOn w:val="788"/>
    <w:link w:val="786"/>
    <w:uiPriority w:val="99"/>
  </w:style>
  <w:style w:type="table" w:styleId="790">
    <w:name w:val="Table Grid Light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Grid Table 4 - Accent 1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9">
    <w:name w:val="Grid Table 4 - Accent 2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Grid Table 4 - Accent 3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1">
    <w:name w:val="Grid Table 4 - Accent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Grid Table 4 - Accent 5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Grid Table 4 - Accent 6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Grid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31">
    <w:name w:val="Grid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2">
    <w:name w:val="Grid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3">
    <w:name w:val="Grid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4">
    <w:name w:val="Grid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5">
    <w:name w:val="Grid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6">
    <w:name w:val="Grid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3">
    <w:name w:val="List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4">
    <w:name w:val="List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5">
    <w:name w:val="List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6">
    <w:name w:val="List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7">
    <w:name w:val="List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8">
    <w:name w:val="List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1">
    <w:name w:val="List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List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3">
    <w:name w:val="List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4">
    <w:name w:val="List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5">
    <w:name w:val="List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6">
    <w:name w:val="List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7">
    <w:name w:val="List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8">
    <w:name w:val="List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9">
    <w:name w:val="List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0">
    <w:name w:val="List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91">
    <w:name w:val="List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2">
    <w:name w:val="List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93">
    <w:name w:val="List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4">
    <w:name w:val="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6">
    <w:name w:val="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7">
    <w:name w:val="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8">
    <w:name w:val="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9">
    <w:name w:val="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0">
    <w:name w:val="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1">
    <w:name w:val="Bordered &amp; 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Bordered &amp; 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3">
    <w:name w:val="Bordered &amp; 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4">
    <w:name w:val="Bordered &amp; 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5">
    <w:name w:val="Bordered &amp; 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6">
    <w:name w:val="Bordered &amp; 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7">
    <w:name w:val="Bordered &amp; 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8">
    <w:name w:val="Bordered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9">
    <w:name w:val="Bordered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0">
    <w:name w:val="Bordered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1">
    <w:name w:val="Bordered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2">
    <w:name w:val="Bordered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3">
    <w:name w:val="Bordered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4">
    <w:name w:val="Bordered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5">
    <w:name w:val="footnote text"/>
    <w:basedOn w:val="932"/>
    <w:link w:val="916"/>
    <w:uiPriority w:val="99"/>
    <w:semiHidden/>
    <w:unhideWhenUsed/>
    <w:pPr>
      <w:spacing w:after="40" w:line="240" w:lineRule="auto"/>
    </w:pPr>
    <w:rPr>
      <w:sz w:val="18"/>
    </w:rPr>
  </w:style>
  <w:style w:type="character" w:styleId="916">
    <w:name w:val="Footnote Text Char"/>
    <w:link w:val="915"/>
    <w:uiPriority w:val="99"/>
    <w:rPr>
      <w:sz w:val="18"/>
    </w:rPr>
  </w:style>
  <w:style w:type="character" w:styleId="917">
    <w:name w:val="footnote reference"/>
    <w:basedOn w:val="933"/>
    <w:uiPriority w:val="99"/>
    <w:unhideWhenUsed/>
    <w:rPr>
      <w:vertAlign w:val="superscript"/>
    </w:rPr>
  </w:style>
  <w:style w:type="paragraph" w:styleId="918">
    <w:name w:val="endnote text"/>
    <w:basedOn w:val="932"/>
    <w:link w:val="919"/>
    <w:uiPriority w:val="99"/>
    <w:semiHidden/>
    <w:unhideWhenUsed/>
    <w:pPr>
      <w:spacing w:after="0" w:line="240" w:lineRule="auto"/>
    </w:pPr>
    <w:rPr>
      <w:sz w:val="20"/>
    </w:rPr>
  </w:style>
  <w:style w:type="character" w:styleId="919">
    <w:name w:val="Endnote Text Char"/>
    <w:link w:val="918"/>
    <w:uiPriority w:val="99"/>
    <w:rPr>
      <w:sz w:val="20"/>
    </w:rPr>
  </w:style>
  <w:style w:type="character" w:styleId="920">
    <w:name w:val="endnote reference"/>
    <w:basedOn w:val="933"/>
    <w:uiPriority w:val="99"/>
    <w:semiHidden/>
    <w:unhideWhenUsed/>
    <w:rPr>
      <w:vertAlign w:val="superscript"/>
    </w:rPr>
  </w:style>
  <w:style w:type="paragraph" w:styleId="921">
    <w:name w:val="toc 1"/>
    <w:basedOn w:val="932"/>
    <w:next w:val="932"/>
    <w:uiPriority w:val="39"/>
    <w:unhideWhenUsed/>
    <w:pPr>
      <w:ind w:left="0" w:right="0" w:firstLine="0"/>
      <w:spacing w:after="57"/>
    </w:pPr>
  </w:style>
  <w:style w:type="paragraph" w:styleId="922">
    <w:name w:val="toc 2"/>
    <w:basedOn w:val="932"/>
    <w:next w:val="932"/>
    <w:uiPriority w:val="39"/>
    <w:unhideWhenUsed/>
    <w:pPr>
      <w:ind w:left="283" w:right="0" w:firstLine="0"/>
      <w:spacing w:after="57"/>
    </w:pPr>
  </w:style>
  <w:style w:type="paragraph" w:styleId="923">
    <w:name w:val="toc 3"/>
    <w:basedOn w:val="932"/>
    <w:next w:val="932"/>
    <w:uiPriority w:val="39"/>
    <w:unhideWhenUsed/>
    <w:pPr>
      <w:ind w:left="567" w:right="0" w:firstLine="0"/>
      <w:spacing w:after="57"/>
    </w:pPr>
  </w:style>
  <w:style w:type="paragraph" w:styleId="924">
    <w:name w:val="toc 4"/>
    <w:basedOn w:val="932"/>
    <w:next w:val="932"/>
    <w:uiPriority w:val="39"/>
    <w:unhideWhenUsed/>
    <w:pPr>
      <w:ind w:left="850" w:right="0" w:firstLine="0"/>
      <w:spacing w:after="57"/>
    </w:pPr>
  </w:style>
  <w:style w:type="paragraph" w:styleId="925">
    <w:name w:val="toc 5"/>
    <w:basedOn w:val="932"/>
    <w:next w:val="932"/>
    <w:uiPriority w:val="39"/>
    <w:unhideWhenUsed/>
    <w:pPr>
      <w:ind w:left="1134" w:right="0" w:firstLine="0"/>
      <w:spacing w:after="57"/>
    </w:pPr>
  </w:style>
  <w:style w:type="paragraph" w:styleId="926">
    <w:name w:val="toc 6"/>
    <w:basedOn w:val="932"/>
    <w:next w:val="932"/>
    <w:uiPriority w:val="39"/>
    <w:unhideWhenUsed/>
    <w:pPr>
      <w:ind w:left="1417" w:right="0" w:firstLine="0"/>
      <w:spacing w:after="57"/>
    </w:pPr>
  </w:style>
  <w:style w:type="paragraph" w:styleId="927">
    <w:name w:val="toc 7"/>
    <w:basedOn w:val="932"/>
    <w:next w:val="932"/>
    <w:uiPriority w:val="39"/>
    <w:unhideWhenUsed/>
    <w:pPr>
      <w:ind w:left="1701" w:right="0" w:firstLine="0"/>
      <w:spacing w:after="57"/>
    </w:pPr>
  </w:style>
  <w:style w:type="paragraph" w:styleId="928">
    <w:name w:val="toc 8"/>
    <w:basedOn w:val="932"/>
    <w:next w:val="932"/>
    <w:uiPriority w:val="39"/>
    <w:unhideWhenUsed/>
    <w:pPr>
      <w:ind w:left="1984" w:right="0" w:firstLine="0"/>
      <w:spacing w:after="57"/>
    </w:pPr>
  </w:style>
  <w:style w:type="paragraph" w:styleId="929">
    <w:name w:val="toc 9"/>
    <w:basedOn w:val="932"/>
    <w:next w:val="932"/>
    <w:uiPriority w:val="39"/>
    <w:unhideWhenUsed/>
    <w:pPr>
      <w:ind w:left="2268" w:right="0" w:firstLine="0"/>
      <w:spacing w:after="57"/>
    </w:pPr>
  </w:style>
  <w:style w:type="paragraph" w:styleId="930">
    <w:name w:val="TOC Heading"/>
    <w:uiPriority w:val="39"/>
    <w:unhideWhenUsed/>
  </w:style>
  <w:style w:type="paragraph" w:styleId="931">
    <w:name w:val="table of figures"/>
    <w:basedOn w:val="932"/>
    <w:next w:val="932"/>
    <w:uiPriority w:val="99"/>
    <w:unhideWhenUsed/>
    <w:pPr>
      <w:spacing w:after="0" w:afterAutospacing="0"/>
    </w:pPr>
  </w:style>
  <w:style w:type="paragraph" w:styleId="932" w:default="1">
    <w:name w:val="Normal"/>
    <w:qFormat/>
  </w:style>
  <w:style w:type="character" w:styleId="933" w:default="1">
    <w:name w:val="Default Paragraph Font"/>
    <w:uiPriority w:val="1"/>
    <w:semiHidden/>
    <w:unhideWhenUsed/>
  </w:style>
  <w:style w:type="table" w:styleId="9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5" w:default="1">
    <w:name w:val="No List"/>
    <w:uiPriority w:val="99"/>
    <w:semiHidden/>
    <w:unhideWhenUsed/>
  </w:style>
  <w:style w:type="table" w:styleId="936" w:customStyle="1">
    <w:name w:val="Сетка таблицы1"/>
    <w:basedOn w:val="934"/>
    <w:next w:val="93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7">
    <w:name w:val="Table Grid"/>
    <w:basedOn w:val="93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8">
    <w:name w:val="Balloon Text"/>
    <w:basedOn w:val="932"/>
    <w:link w:val="9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9" w:customStyle="1">
    <w:name w:val="Текст выноски Знак"/>
    <w:basedOn w:val="933"/>
    <w:link w:val="938"/>
    <w:uiPriority w:val="99"/>
    <w:semiHidden/>
    <w:rPr>
      <w:rFonts w:ascii="Segoe UI" w:hAnsi="Segoe UI" w:cs="Segoe UI"/>
      <w:sz w:val="18"/>
      <w:szCs w:val="18"/>
    </w:rPr>
  </w:style>
  <w:style w:type="table" w:styleId="940" w:customStyle="1">
    <w:name w:val="Сетка таблицы2"/>
    <w:basedOn w:val="934"/>
    <w:next w:val="93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1" w:customStyle="1">
    <w:name w:val="Сетка таблицы3"/>
    <w:basedOn w:val="934"/>
    <w:next w:val="93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2">
    <w:name w:val="List Paragraph"/>
    <w:basedOn w:val="932"/>
    <w:uiPriority w:val="34"/>
    <w:qFormat/>
    <w:pPr>
      <w:contextualSpacing/>
      <w:ind w:left="720"/>
    </w:pPr>
  </w:style>
  <w:style w:type="character" w:styleId="943">
    <w:name w:val="Hyperlink"/>
    <w:basedOn w:val="933"/>
    <w:uiPriority w:val="99"/>
    <w:unhideWhenUsed/>
    <w:rPr>
      <w:color w:val="0563c1" w:themeColor="hyperlink"/>
      <w:u w:val="single"/>
    </w:rPr>
  </w:style>
  <w:style w:type="paragraph" w:styleId="944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45" w:customStyle="1">
    <w:name w:val="ConsPlusNormal"/>
    <w:link w:val="84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46" w:customStyle="1">
    <w:name w:val="Body text_"/>
    <w:uiPriority w:val="99"/>
    <w:rPr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https://moy-zakupki.ru/okpd-2/45.20.13.000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22</cp:revision>
  <dcterms:created xsi:type="dcterms:W3CDTF">2023-10-13T09:26:00Z</dcterms:created>
  <dcterms:modified xsi:type="dcterms:W3CDTF">2026-04-01T07:58:27Z</dcterms:modified>
</cp:coreProperties>
</file>