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kern w:val="2"/>
          <w:sz w:val="24"/>
          <w:szCs w:val="24"/>
          <w:lang w:val="ru-RU"/>
        </w:rPr>
      </w:pPr>
      <w:r>
        <w:rPr>
          <w:b/>
          <w:kern w:val="2"/>
          <w:sz w:val="24"/>
          <w:szCs w:val="24"/>
          <w:lang w:val="ru-RU"/>
        </w:rPr>
        <w:t>Описание объекта закупки (техническое задание)</w:t>
      </w:r>
    </w:p>
    <w:p>
      <w:pPr>
        <w:pStyle w:val="Normal"/>
        <w:jc w:val="center"/>
        <w:rPr>
          <w:b/>
          <w:bCs/>
        </w:rPr>
      </w:pPr>
      <w:r>
        <w:rPr>
          <w:b/>
          <w:bCs/>
          <w:kern w:val="2"/>
          <w:sz w:val="24"/>
          <w:szCs w:val="24"/>
          <w:lang w:val="ru-RU"/>
        </w:rPr>
        <w:t xml:space="preserve"> </w:t>
      </w:r>
      <w:r>
        <w:rPr>
          <w:b/>
          <w:bCs/>
          <w:color w:val="000000"/>
          <w:spacing w:val="-5"/>
          <w:sz w:val="24"/>
          <w:szCs w:val="24"/>
          <w:lang w:val="ru-RU"/>
        </w:rPr>
        <w:t xml:space="preserve">на поставку </w:t>
      </w:r>
      <w:r>
        <w:rPr>
          <w:rFonts w:eastAsia="MS Mincho"/>
          <w:b/>
          <w:bCs/>
          <w:sz w:val="24"/>
          <w:szCs w:val="24"/>
          <w:lang w:val="ru-RU"/>
        </w:rPr>
        <w:t>смартфона взамен вышедшего из строя</w:t>
      </w:r>
    </w:p>
    <w:p>
      <w:pPr>
        <w:pStyle w:val="Normal"/>
        <w:widowControl/>
        <w:suppressAutoHyphens w:val="true"/>
        <w:bidi w:val="0"/>
        <w:spacing w:before="0" w:after="0"/>
        <w:ind w:firstLine="397" w:left="0" w:right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</w:p>
    <w:p>
      <w:pPr>
        <w:pStyle w:val="Normal"/>
        <w:widowControl/>
        <w:suppressAutoHyphens w:val="true"/>
        <w:bidi w:val="0"/>
        <w:spacing w:before="0" w:after="0"/>
        <w:ind w:firstLine="397" w:left="0" w:right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ОКПД 2: </w:t>
      </w:r>
      <w:r>
        <w:rPr>
          <w:rFonts w:eastAsia="MS Mincho" w:cs="Times New Roman"/>
          <w:b/>
          <w:sz w:val="24"/>
          <w:szCs w:val="24"/>
          <w:lang w:val="ru-RU"/>
        </w:rPr>
        <w:t>26.30.22.110 – 00000001- телефонное устройство с функцией видеосвязи, навигации и с текстовым выходом.</w:t>
      </w:r>
    </w:p>
    <w:p>
      <w:pPr>
        <w:pStyle w:val="Normal"/>
        <w:ind w:firstLine="426" w:left="-426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1. Предмет</w:t>
      </w:r>
    </w:p>
    <w:p>
      <w:pPr>
        <w:pStyle w:val="Normal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tbl>
      <w:tblPr>
        <w:tblW w:w="9641" w:type="dxa"/>
        <w:jc w:val="left"/>
        <w:tblInd w:w="-15" w:type="dxa"/>
        <w:tblLayout w:type="fixed"/>
        <w:tblCellMar>
          <w:top w:w="0" w:type="dxa"/>
          <w:left w:w="2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2121"/>
        <w:gridCol w:w="3056"/>
        <w:gridCol w:w="1873"/>
        <w:gridCol w:w="1695"/>
        <w:gridCol w:w="896"/>
      </w:tblGrid>
      <w:tr>
        <w:trPr/>
        <w:tc>
          <w:tcPr>
            <w:tcW w:w="21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lang w:val="ru-RU"/>
              </w:rPr>
            </w:pPr>
            <w:r>
              <w:rPr>
                <w:lang w:val="ru-RU"/>
              </w:rPr>
              <w:t>Наименование товара</w:t>
            </w:r>
          </w:p>
        </w:tc>
        <w:tc>
          <w:tcPr>
            <w:tcW w:w="66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lang w:val="ru-RU"/>
              </w:rPr>
            </w:pPr>
            <w:r>
              <w:rPr>
                <w:lang w:val="ru-RU"/>
              </w:rPr>
              <w:t>Описание (характеристики) объекта закупки</w:t>
            </w:r>
          </w:p>
        </w:tc>
        <w:tc>
          <w:tcPr>
            <w:tcW w:w="8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Кол-во, шт</w:t>
            </w:r>
          </w:p>
        </w:tc>
      </w:tr>
      <w:tr>
        <w:trPr/>
        <w:tc>
          <w:tcPr>
            <w:tcW w:w="212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30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lang w:val="ru-RU"/>
              </w:rPr>
            </w:pPr>
            <w:r>
              <w:rPr>
                <w:lang w:val="ru-RU"/>
              </w:rPr>
              <w:t>Наименование характеристики</w:t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lang w:val="ru-RU"/>
              </w:rPr>
            </w:pPr>
            <w:r>
              <w:rPr>
                <w:lang w:val="ru-RU"/>
              </w:rPr>
              <w:t>Значение характеристики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lang w:val="ru-RU"/>
              </w:rPr>
            </w:pPr>
            <w:r>
              <w:rPr>
                <w:lang w:val="ru-RU"/>
              </w:rPr>
              <w:t>Единица измерения характеристики</w:t>
            </w:r>
          </w:p>
        </w:tc>
        <w:tc>
          <w:tcPr>
            <w:tcW w:w="89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/>
        <w:tc>
          <w:tcPr>
            <w:tcW w:w="212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pacing w:val="-5"/>
                <w:sz w:val="20"/>
                <w:szCs w:val="20"/>
              </w:rPr>
              <w:t xml:space="preserve">Телефонное </w:t>
              <w:br/>
              <w:t xml:space="preserve">устройство с функцией </w:t>
              <w:br/>
              <w:t xml:space="preserve">видеосвязи, навигации и </w:t>
              <w:br/>
              <w:t>с текстовым выходом</w:t>
            </w:r>
            <w:r>
              <w:rPr>
                <w:sz w:val="20"/>
                <w:szCs w:val="20"/>
              </w:rPr>
              <w:t xml:space="preserve"> (смартфон)</w:t>
            </w:r>
          </w:p>
        </w:tc>
        <w:tc>
          <w:tcPr>
            <w:tcW w:w="30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Встроенные функции</w:t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Русифицированное меню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89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>
        <w:trPr/>
        <w:tc>
          <w:tcPr>
            <w:tcW w:w="21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Возможность подключения к беспроводной сети (</w:t>
            </w:r>
            <w:r>
              <w:rPr>
                <w:sz w:val="20"/>
                <w:szCs w:val="20"/>
                <w:lang w:val="en-US"/>
              </w:rPr>
              <w:t>Wi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Fi</w:t>
            </w:r>
            <w:r>
              <w:rPr>
                <w:sz w:val="20"/>
                <w:szCs w:val="20"/>
              </w:rPr>
              <w:t xml:space="preserve"> точка доступа)</w:t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89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/>
        <w:tc>
          <w:tcPr>
            <w:tcW w:w="21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Возможность автоматического поворота экрана</w:t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89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/>
        <w:tc>
          <w:tcPr>
            <w:tcW w:w="21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клавиатуры с алфавитом на русском языке</w:t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89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/>
        <w:tc>
          <w:tcPr>
            <w:tcW w:w="21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слота для установки карты памяти</w:t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89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/>
        <w:tc>
          <w:tcPr>
            <w:tcW w:w="21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зарядного устройства</w:t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89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/>
        <w:tc>
          <w:tcPr>
            <w:tcW w:w="21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5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Поддерживаемые стандарты</w:t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3G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89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/>
        <w:tc>
          <w:tcPr>
            <w:tcW w:w="21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5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4G (LTE)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89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/>
        <w:tc>
          <w:tcPr>
            <w:tcW w:w="21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матрицы сенсорного экрана</w:t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IPS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89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/>
        <w:tc>
          <w:tcPr>
            <w:tcW w:w="21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ядер процессора</w:t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Штука</w:t>
            </w:r>
          </w:p>
        </w:tc>
        <w:tc>
          <w:tcPr>
            <w:tcW w:w="89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413" w:hRule="atLeast"/>
        </w:trPr>
        <w:tc>
          <w:tcPr>
            <w:tcW w:w="21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оперативной памяти</w:t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Гигабайт</w:t>
            </w:r>
          </w:p>
        </w:tc>
        <w:tc>
          <w:tcPr>
            <w:tcW w:w="89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/>
        <w:tc>
          <w:tcPr>
            <w:tcW w:w="212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Дополнительные характеристики</w:t>
            </w:r>
          </w:p>
        </w:tc>
        <w:tc>
          <w:tcPr>
            <w:tcW w:w="30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Емкость аккумулятора, мА/ч*</w:t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>5000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мА*ч</w:t>
            </w:r>
          </w:p>
        </w:tc>
        <w:tc>
          <w:tcPr>
            <w:tcW w:w="89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/>
        <w:tc>
          <w:tcPr>
            <w:tcW w:w="21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разъема (джек-разъем) для проводных наушников*</w:t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89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/>
        <w:tc>
          <w:tcPr>
            <w:tcW w:w="21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тыльной камеры*</w:t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89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273" w:hRule="atLeast"/>
        </w:trPr>
        <w:tc>
          <w:tcPr>
            <w:tcW w:w="21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фронтальной камеры*</w:t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89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/>
        <w:tc>
          <w:tcPr>
            <w:tcW w:w="21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встроенной памяти*</w:t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≤ </w:t>
            </w:r>
            <w:r>
              <w:rPr>
                <w:sz w:val="20"/>
                <w:szCs w:val="20"/>
              </w:rPr>
              <w:t>64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Гигабайт</w:t>
            </w:r>
          </w:p>
        </w:tc>
        <w:tc>
          <w:tcPr>
            <w:tcW w:w="89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/>
        <w:tc>
          <w:tcPr>
            <w:tcW w:w="21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Операционная система*</w:t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Android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89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/>
        <w:tc>
          <w:tcPr>
            <w:tcW w:w="21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встроенных портов*</w:t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USB Type-C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  <w:tc>
          <w:tcPr>
            <w:tcW w:w="89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>
          <w:trHeight w:val="258" w:hRule="atLeast"/>
        </w:trPr>
        <w:tc>
          <w:tcPr>
            <w:tcW w:w="212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Частота обновления экрана*</w:t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≥ </w:t>
            </w:r>
            <w:r>
              <w:rPr>
                <w:sz w:val="20"/>
                <w:szCs w:val="20"/>
              </w:rPr>
              <w:t>90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Герц</w:t>
            </w:r>
          </w:p>
        </w:tc>
        <w:tc>
          <w:tcPr>
            <w:tcW w:w="89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  <w:tr>
        <w:trPr/>
        <w:tc>
          <w:tcPr>
            <w:tcW w:w="212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parametervalu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056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Частота процессора*</w:t>
            </w:r>
          </w:p>
        </w:tc>
        <w:tc>
          <w:tcPr>
            <w:tcW w:w="187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parametervalue"/>
              <w:spacing w:before="0" w:after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≥</w:t>
            </w:r>
            <w:r>
              <w:rPr>
                <w:sz w:val="20"/>
                <w:szCs w:val="20"/>
                <w:lang w:val="en-US"/>
              </w:rPr>
              <w:t>1800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Мегагерц</w:t>
            </w:r>
          </w:p>
        </w:tc>
        <w:tc>
          <w:tcPr>
            <w:tcW w:w="89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spacing w:beforeAutospacing="1" w:after="0"/>
              <w:jc w:val="center"/>
              <w:rPr>
                <w:lang w:val="ru-RU"/>
              </w:rPr>
            </w:pPr>
            <w:r>
              <w:rPr>
                <w:lang w:val="ru-RU"/>
              </w:rPr>
            </w:r>
          </w:p>
        </w:tc>
      </w:tr>
    </w:tbl>
    <w:p>
      <w:pPr>
        <w:pStyle w:val="Normal"/>
        <w:ind w:firstLine="709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</w:p>
    <w:p>
      <w:pPr>
        <w:pStyle w:val="Normal"/>
        <w:ind w:firstLine="709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2. Обоснование дополнительных характеристик КТРУ</w:t>
      </w:r>
    </w:p>
    <w:p>
      <w:pPr>
        <w:pStyle w:val="Normal"/>
        <w:ind w:firstLine="709"/>
        <w:jc w:val="both"/>
        <w:rPr>
          <w:sz w:val="24"/>
          <w:szCs w:val="24"/>
          <w:lang w:val="ru-RU"/>
        </w:rPr>
      </w:pPr>
      <w:bookmarkStart w:id="0" w:name="_Toc227564577"/>
      <w:bookmarkStart w:id="1" w:name="_Toc227564581"/>
      <w:bookmarkStart w:id="2" w:name="_Toc195503691"/>
      <w:r>
        <w:rPr>
          <w:sz w:val="24"/>
          <w:szCs w:val="24"/>
          <w:lang w:val="ru-RU"/>
        </w:rPr>
        <w:t>Дополнительные характеристики указанные со значком* являются необходимыми, для уточнения параметров функциональности.</w:t>
      </w:r>
      <w:bookmarkEnd w:id="0"/>
      <w:bookmarkEnd w:id="1"/>
      <w:bookmarkEnd w:id="2"/>
    </w:p>
    <w:p>
      <w:pPr>
        <w:pStyle w:val="Normal"/>
        <w:ind w:firstLine="709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 w:eastAsia="ru-RU"/>
        </w:rPr>
        <w:t xml:space="preserve">3. </w:t>
      </w:r>
      <w:r>
        <w:rPr>
          <w:b/>
          <w:sz w:val="24"/>
          <w:szCs w:val="24"/>
          <w:lang w:eastAsia="ru-RU"/>
        </w:rPr>
        <w:t>Место поставки Товара</w:t>
      </w:r>
      <w:r>
        <w:rPr>
          <w:sz w:val="24"/>
          <w:szCs w:val="24"/>
          <w:lang w:eastAsia="ru-RU"/>
        </w:rPr>
        <w:t>.</w:t>
      </w:r>
    </w:p>
    <w:p>
      <w:pPr>
        <w:pStyle w:val="Normal"/>
        <w:spacing w:lineRule="auto" w:line="228" w:before="0" w:after="0"/>
        <w:ind w:firstLine="709"/>
        <w:jc w:val="both"/>
        <w:rPr/>
      </w:pPr>
      <w:r>
        <w:rPr>
          <w:sz w:val="24"/>
          <w:szCs w:val="24"/>
          <w:lang w:eastAsia="ru-RU"/>
        </w:rPr>
        <w:t>По адресу Госзаказчика: 675004, Амурская область, город Благовещенск, улица Пионерская, дом № 47.</w:t>
      </w:r>
    </w:p>
    <w:p>
      <w:pPr>
        <w:pStyle w:val="Normal"/>
        <w:spacing w:lineRule="auto" w:line="228" w:before="0" w:after="0"/>
        <w:ind w:firstLine="709"/>
        <w:jc w:val="both"/>
        <w:rPr/>
      </w:pPr>
      <w:r>
        <w:rPr>
          <w:b/>
          <w:sz w:val="24"/>
          <w:szCs w:val="24"/>
          <w:lang w:eastAsia="ru-RU"/>
        </w:rPr>
        <w:t>4. Сроки поставки Товара:</w:t>
      </w:r>
      <w:r>
        <w:rPr>
          <w:sz w:val="24"/>
          <w:szCs w:val="24"/>
          <w:lang w:eastAsia="ru-RU"/>
        </w:rPr>
        <w:t xml:space="preserve"> </w:t>
      </w:r>
      <w:r>
        <w:rPr>
          <w:b w:val="false"/>
          <w:bCs w:val="false"/>
          <w:sz w:val="24"/>
          <w:szCs w:val="24"/>
          <w:lang w:eastAsia="ru-RU"/>
        </w:rPr>
        <w:t>3</w:t>
      </w:r>
      <w:r>
        <w:rPr>
          <w:b w:val="false"/>
          <w:bCs w:val="false"/>
          <w:color w:val="auto"/>
          <w:sz w:val="24"/>
          <w:szCs w:val="24"/>
          <w:lang w:eastAsia="ru-RU"/>
        </w:rPr>
        <w:t>0 (тридцать) календарных дней с даты заключения Государственного контракта.</w:t>
      </w:r>
    </w:p>
    <w:p>
      <w:pPr>
        <w:pStyle w:val="Normal"/>
        <w:spacing w:lineRule="auto" w:line="228" w:before="0" w:after="0"/>
        <w:ind w:firstLine="709"/>
        <w:jc w:val="both"/>
        <w:rPr/>
      </w:pPr>
      <w:r>
        <w:rPr>
          <w:b/>
          <w:bCs/>
          <w:color w:val="auto"/>
          <w:sz w:val="24"/>
          <w:szCs w:val="24"/>
          <w:lang w:eastAsia="ru-RU"/>
        </w:rPr>
        <w:t>5.</w:t>
      </w:r>
      <w:r>
        <w:rPr>
          <w:b w:val="false"/>
          <w:bCs w:val="false"/>
          <w:color w:val="auto"/>
          <w:sz w:val="24"/>
          <w:szCs w:val="24"/>
          <w:lang w:eastAsia="ru-RU"/>
        </w:rPr>
        <w:t xml:space="preserve"> </w:t>
      </w:r>
      <w:r>
        <w:rPr>
          <w:b/>
          <w:sz w:val="24"/>
          <w:szCs w:val="24"/>
          <w:lang w:eastAsia="ru-RU"/>
        </w:rPr>
        <w:t>Условия поставки Товара</w:t>
      </w:r>
      <w:r>
        <w:rPr>
          <w:sz w:val="24"/>
          <w:szCs w:val="24"/>
          <w:lang w:eastAsia="ru-RU"/>
        </w:rPr>
        <w:t>.</w:t>
      </w:r>
    </w:p>
    <w:p>
      <w:pPr>
        <w:pStyle w:val="Normal"/>
        <w:spacing w:lineRule="auto" w:line="228" w:before="0" w:after="0"/>
        <w:ind w:firstLine="709"/>
        <w:jc w:val="both"/>
        <w:rPr/>
      </w:pPr>
      <w:r>
        <w:rPr>
          <w:sz w:val="24"/>
          <w:szCs w:val="24"/>
          <w:lang w:eastAsia="ru-RU"/>
        </w:rPr>
        <w:t>Доставка Товара до склада Госзаказчика транспортом Поставщика в рабочее время заказчика, не позднее 17:00 (по местному времени), разгрузка силами и средствами Поставщика. Требуется предварительное извещение Госзаказчика о дате и времени осуществления поставки Товара.</w:t>
      </w:r>
    </w:p>
    <w:p>
      <w:pPr>
        <w:pStyle w:val="Normal"/>
        <w:spacing w:lineRule="auto" w:line="228" w:before="0" w:after="0"/>
        <w:ind w:firstLine="709"/>
        <w:jc w:val="both"/>
        <w:rPr/>
      </w:pPr>
      <w:r>
        <w:rPr>
          <w:b/>
          <w:sz w:val="24"/>
          <w:szCs w:val="24"/>
          <w:lang w:eastAsia="ru-RU"/>
        </w:rPr>
        <w:t xml:space="preserve">6. </w:t>
      </w:r>
      <w:r>
        <w:rPr>
          <w:b/>
          <w:sz w:val="24"/>
          <w:szCs w:val="24"/>
        </w:rPr>
        <w:t xml:space="preserve">Требования по передаче </w:t>
      </w:r>
      <w:r>
        <w:rPr>
          <w:b/>
          <w:sz w:val="24"/>
          <w:szCs w:val="24"/>
          <w:lang w:eastAsia="ru-RU"/>
        </w:rPr>
        <w:t>Госзаказчику</w:t>
      </w:r>
      <w:r>
        <w:rPr>
          <w:b/>
          <w:sz w:val="24"/>
          <w:szCs w:val="24"/>
        </w:rPr>
        <w:t xml:space="preserve"> технических и иных документов при поставке Товара</w:t>
      </w:r>
      <w:r>
        <w:rPr>
          <w:sz w:val="24"/>
          <w:szCs w:val="24"/>
        </w:rPr>
        <w:t>.</w:t>
      </w:r>
    </w:p>
    <w:p>
      <w:pPr>
        <w:pStyle w:val="Normal"/>
        <w:spacing w:lineRule="auto" w:line="228" w:before="0" w:after="0"/>
        <w:ind w:firstLine="709"/>
        <w:jc w:val="both"/>
        <w:rPr/>
      </w:pPr>
      <w:r>
        <w:rPr>
          <w:sz w:val="24"/>
          <w:szCs w:val="24"/>
        </w:rPr>
        <w:t xml:space="preserve">Вместе с переданным по Контракту Товаром Поставщик передает </w:t>
      </w:r>
      <w:r>
        <w:rPr>
          <w:sz w:val="24"/>
          <w:szCs w:val="24"/>
          <w:lang w:eastAsia="ru-RU"/>
        </w:rPr>
        <w:t>Госзаказчику</w:t>
      </w:r>
      <w:r>
        <w:rPr>
          <w:sz w:val="24"/>
          <w:szCs w:val="24"/>
        </w:rPr>
        <w:t xml:space="preserve"> следующие документы: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/>
      </w:pPr>
      <w:r>
        <w:rPr>
          <w:bCs/>
          <w:spacing w:val="-3"/>
          <w:sz w:val="24"/>
          <w:szCs w:val="24"/>
        </w:rPr>
        <w:t>- счет;</w:t>
      </w:r>
    </w:p>
    <w:p>
      <w:pPr>
        <w:pStyle w:val="Normal"/>
        <w:spacing w:lineRule="auto" w:line="228" w:before="0" w:after="0"/>
        <w:ind w:firstLine="709"/>
        <w:jc w:val="both"/>
        <w:rPr/>
      </w:pPr>
      <w:r>
        <w:rPr>
          <w:bCs/>
          <w:spacing w:val="-3"/>
          <w:sz w:val="24"/>
          <w:szCs w:val="24"/>
        </w:rPr>
        <w:t>- счёт-фактуру и (или) товарную накладную, или универсальный передаточный документ (УПД), подписанные уполномоченным лицом Поставщика;</w:t>
      </w:r>
    </w:p>
    <w:p>
      <w:pPr>
        <w:pStyle w:val="Normal"/>
        <w:spacing w:lineRule="auto" w:line="228" w:before="0" w:after="0"/>
        <w:ind w:firstLine="709"/>
        <w:jc w:val="both"/>
        <w:rPr/>
      </w:pPr>
      <w:r>
        <w:rPr>
          <w:sz w:val="24"/>
          <w:szCs w:val="24"/>
          <w:lang w:val="ru-RU"/>
        </w:rPr>
        <w:t>- сертификаты соответствия и/или иные документы подтверждения соответствия Товара, подлежащего обязательной сертификации либо иные формы подтверждения качества и соответствия Товара требованиям, установленным законодательством Российской Федерации, нормативными правовыми актами.</w:t>
      </w:r>
    </w:p>
    <w:p>
      <w:pPr>
        <w:pStyle w:val="Normal"/>
        <w:ind w:firstLine="709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7. Требования к поставляемому товару</w:t>
      </w:r>
    </w:p>
    <w:p>
      <w:pPr>
        <w:pStyle w:val="Normal"/>
        <w:ind w:firstLine="709"/>
        <w:jc w:val="both"/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>Устройство отвечает требованиям безопасности товара в соответствии с техническими регламентами Таможенного союза:</w:t>
      </w:r>
    </w:p>
    <w:p>
      <w:pPr>
        <w:pStyle w:val="Normal"/>
        <w:ind w:firstLine="709"/>
        <w:jc w:val="both"/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>- ТР ТС 004/2011 «О безопасности низковольтного оборудования»;</w:t>
      </w:r>
    </w:p>
    <w:p>
      <w:pPr>
        <w:pStyle w:val="Normal"/>
        <w:ind w:firstLine="709"/>
        <w:jc w:val="both"/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>- ТР ТС 020/2011 «Электромагнитная совместимость технических средств».</w:t>
      </w:r>
    </w:p>
    <w:p>
      <w:pPr>
        <w:pStyle w:val="Normal"/>
        <w:ind w:firstLine="709"/>
        <w:jc w:val="both"/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>Упаковка, маркировка, транспортирование и хранение устройств осуществляется с соблюдением требованием ГОСТ 28594-90 «Аппаратура радиоэлектронная бытовая. Упаковка, маркировка, транспортирование и хранение».</w:t>
      </w:r>
    </w:p>
    <w:p>
      <w:pPr>
        <w:pStyle w:val="Normal"/>
        <w:ind w:firstLine="709"/>
        <w:jc w:val="both"/>
        <w:rPr>
          <w:color w:val="000000"/>
          <w:sz w:val="24"/>
          <w:lang w:val="ru-RU"/>
        </w:rPr>
      </w:pPr>
      <w:r>
        <w:rPr>
          <w:color w:val="000000"/>
          <w:sz w:val="24"/>
          <w:lang w:val="ru-RU"/>
        </w:rPr>
        <w:t xml:space="preserve">Гарантийный срок на поставляемый товар устанавливается в стандартах и технических условиях завода-изготовителя, а если он не установлен - </w:t>
      </w:r>
      <w:r>
        <w:rPr>
          <w:i/>
          <w:sz w:val="24"/>
          <w:szCs w:val="24"/>
          <w:lang w:val="ru-RU"/>
        </w:rPr>
        <w:t xml:space="preserve"> </w:t>
      </w:r>
      <w:r>
        <w:rPr>
          <w:i w:val="false"/>
          <w:iCs w:val="false"/>
          <w:sz w:val="24"/>
          <w:szCs w:val="24"/>
          <w:lang w:val="ru-RU"/>
        </w:rPr>
        <w:t>12 мес.</w:t>
      </w:r>
      <w:r>
        <w:rPr>
          <w:color w:val="000000"/>
          <w:sz w:val="24"/>
          <w:lang w:val="ru-RU"/>
        </w:rPr>
        <w:t xml:space="preserve"> с даты подписания </w:t>
      </w:r>
      <w:r>
        <w:rPr>
          <w:sz w:val="24"/>
          <w:szCs w:val="24"/>
          <w:lang w:val="ru-RU"/>
        </w:rPr>
        <w:t>документов о приемке</w:t>
      </w:r>
      <w:r>
        <w:rPr>
          <w:color w:val="000000"/>
          <w:sz w:val="24"/>
          <w:lang w:val="ru-RU"/>
        </w:rPr>
        <w:t>.</w:t>
      </w:r>
    </w:p>
    <w:p>
      <w:pPr>
        <w:pStyle w:val="Normal"/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Поставляемый товар должен быть новым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 выпуска не ранее 2024 г. без каких-либо ограничений (залог, запрет, арест и т.п.) к свободному обращению на территории Российской Федерации.</w:t>
      </w:r>
    </w:p>
    <w:p>
      <w:pPr>
        <w:pStyle w:val="Normal"/>
        <w:ind w:firstLine="709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pacing w:val="1"/>
          <w:sz w:val="24"/>
          <w:szCs w:val="24"/>
          <w:lang w:val="ru-RU"/>
        </w:rPr>
        <w:t xml:space="preserve">Цена контракта включает в себя все возможные расходы Поставщика, связанные с исполнением условий контракта, в том числе </w:t>
      </w:r>
      <w:r>
        <w:rPr>
          <w:sz w:val="24"/>
          <w:szCs w:val="24"/>
          <w:lang w:val="ru-RU"/>
        </w:rPr>
        <w:t>доставку,</w:t>
      </w:r>
      <w:r>
        <w:rPr>
          <w:color w:val="000000"/>
          <w:spacing w:val="1"/>
          <w:sz w:val="24"/>
          <w:szCs w:val="24"/>
          <w:lang w:val="ru-RU"/>
        </w:rPr>
        <w:t xml:space="preserve"> п</w:t>
      </w:r>
      <w:r>
        <w:rPr>
          <w:sz w:val="24"/>
          <w:szCs w:val="24"/>
          <w:lang w:val="ru-RU"/>
        </w:rPr>
        <w:t>огрузочно-разгрузочные работы,</w:t>
      </w:r>
      <w:r>
        <w:rPr>
          <w:color w:val="000000"/>
          <w:spacing w:val="1"/>
          <w:sz w:val="24"/>
          <w:szCs w:val="24"/>
          <w:lang w:val="ru-RU"/>
        </w:rPr>
        <w:t xml:space="preserve"> а также оплату НДС и других обязательных платежей в соответствии с законодательством РФ.</w:t>
      </w:r>
    </w:p>
    <w:p>
      <w:pPr>
        <w:pStyle w:val="Normal"/>
        <w:ind w:firstLine="709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</w:r>
    </w:p>
    <w:p>
      <w:pPr>
        <w:pStyle w:val="Normal"/>
        <w:widowControl w:val="false"/>
        <w:ind w:firstLine="426" w:left="-4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 w:val="false"/>
        <w:ind w:firstLine="426" w:left="-4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 w:val="false"/>
        <w:ind w:firstLine="426" w:left="-4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Начальник управления информационных </w:t>
      </w:r>
    </w:p>
    <w:p>
      <w:pPr>
        <w:pStyle w:val="Normal"/>
        <w:widowControl w:val="false"/>
        <w:ind w:firstLine="426" w:left="-4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технологий и связи</w:t>
      </w:r>
    </w:p>
    <w:p>
      <w:pPr>
        <w:pStyle w:val="Normal"/>
        <w:widowControl w:val="false"/>
        <w:ind w:firstLine="426" w:left="-4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подполковник внутренней службы                                                                      М.В. Горьковский</w:t>
      </w:r>
    </w:p>
    <w:sectPr>
      <w:type w:val="nextPage"/>
      <w:pgSz w:w="11906" w:h="16838"/>
      <w:pgMar w:left="1701" w:right="567" w:gutter="0" w:header="0" w:top="993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/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/>
    </w:lvl>
    <w:lvl w:ilvl="2">
      <w:start w:val="1"/>
      <w:numFmt w:val="decimal"/>
      <w:lvlText w:val="%1.%2.%3"/>
      <w:lvlJc w:val="left"/>
      <w:pPr>
        <w:tabs>
          <w:tab w:val="num" w:pos="227"/>
        </w:tabs>
        <w:ind w:left="0" w:hanging="0"/>
      </w:pPr>
      <w:rPr/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/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/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/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/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 w:qFormat="1"/>
    <w:lsdException w:name="Body Text" w:uiPriority="0" w:qFormat="1"/>
    <w:lsdException w:name="Subtitle" w:uiPriority="11" w:semiHidden="0" w:unhideWhenUsed="0" w:qFormat="1"/>
    <w:lsdException w:name="Body Text Indent 2" w:qFormat="1"/>
    <w:lsdException w:name="Hyperlink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qFormat="1"/>
    <w:lsdException w:name="Balloon Text" w:qFormat="1"/>
    <w:lsdException w:name="Table Grid" w:uiPriority="59"/>
    <w:lsdException w:name="List Paragraph" w:uiPriority="34" w:semiHidden="0" w:unhideWhenUsed="0" w:qFormat="1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ru-RU" w:bidi="ar-SA"/>
    </w:rPr>
  </w:style>
  <w:style w:type="paragraph" w:styleId="Heading2">
    <w:name w:val="heading 2"/>
    <w:basedOn w:val="Normal"/>
    <w:next w:val="Normal"/>
    <w:link w:val="2"/>
    <w:uiPriority w:val="9"/>
    <w:qFormat/>
    <w:pPr>
      <w:spacing w:beforeAutospacing="1" w:afterAutospacing="1"/>
      <w:outlineLvl w:val="1"/>
    </w:pPr>
    <w:rPr>
      <w:b/>
      <w:bCs/>
      <w:sz w:val="36"/>
      <w:szCs w:val="36"/>
      <w:lang w:val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qFormat/>
    <w:rPr>
      <w:color w:val="0000FF"/>
      <w:u w:val="single"/>
    </w:rPr>
  </w:style>
  <w:style w:type="character" w:styleId="Style13" w:customStyle="1">
    <w:name w:val="Основной текст Знак"/>
    <w:basedOn w:val="DefaultParagraphFont"/>
    <w:semiHidden/>
    <w:qFormat/>
    <w:rPr>
      <w:rFonts w:ascii="Times New Roman" w:hAnsi="Times New Roman" w:eastAsia="Times New Roman" w:cs="Times New Roman"/>
      <w:sz w:val="20"/>
      <w:szCs w:val="20"/>
      <w:lang w:val="en-US" w:eastAsia="ru-RU"/>
    </w:rPr>
  </w:style>
  <w:style w:type="character" w:styleId="2" w:customStyle="1">
    <w:name w:val="Заголовок 2 Знак"/>
    <w:basedOn w:val="DefaultParagraphFont"/>
    <w:uiPriority w:val="9"/>
    <w:qFormat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uiPriority w:val="99"/>
    <w:semiHidden/>
    <w:qFormat/>
    <w:rPr>
      <w:rFonts w:ascii="Times New Roman" w:hAnsi="Times New Roman" w:eastAsia="Times New Roman" w:cs="Times New Roman"/>
      <w:sz w:val="20"/>
      <w:szCs w:val="20"/>
      <w:lang w:val="en-US" w:eastAsia="ru-RU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eastAsia="Times New Roman" w:cs="Tahoma"/>
      <w:sz w:val="16"/>
      <w:szCs w:val="16"/>
      <w:lang w:val="en-US" w:eastAsia="ru-RU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3"/>
    <w:semiHidden/>
    <w:unhideWhenUsed/>
    <w:qFormat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21"/>
    <w:uiPriority w:val="99"/>
    <w:semiHidden/>
    <w:unhideWhenUsed/>
    <w:qFormat/>
    <w:pPr>
      <w:spacing w:lineRule="auto" w:line="480" w:before="0" w:after="120"/>
      <w:ind w:left="283"/>
    </w:pPr>
    <w:rPr/>
  </w:style>
  <w:style w:type="paragraph" w:styleId="1" w:customStyle="1">
    <w:name w:val="Абзац списка1"/>
    <w:basedOn w:val="Normal"/>
    <w:qFormat/>
    <w:pPr>
      <w:spacing w:lineRule="auto" w:line="276" w:before="0" w:after="200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11" w:customStyle="1">
    <w:name w:val="Стиль1"/>
    <w:basedOn w:val="Normal"/>
    <w:qFormat/>
    <w:pPr>
      <w:keepNext w:val="true"/>
      <w:keepLines/>
      <w:widowControl w:val="false"/>
      <w:numPr>
        <w:ilvl w:val="0"/>
        <w:numId w:val="1"/>
      </w:numPr>
      <w:suppressLineNumbers/>
      <w:suppressAutoHyphens w:val="true"/>
      <w:spacing w:before="0" w:after="60"/>
      <w:jc w:val="both"/>
    </w:pPr>
    <w:rPr>
      <w:b/>
      <w:sz w:val="28"/>
      <w:szCs w:val="24"/>
      <w:lang w:val="ru-RU"/>
    </w:rPr>
  </w:style>
  <w:style w:type="paragraph" w:styleId="3" w:customStyle="1">
    <w:name w:val="Стиль3 Знак"/>
    <w:basedOn w:val="BodyTextIndent2"/>
    <w:qFormat/>
    <w:pPr>
      <w:widowControl w:val="false"/>
      <w:numPr>
        <w:ilvl w:val="2"/>
        <w:numId w:val="1"/>
      </w:numPr>
      <w:tabs>
        <w:tab w:val="clear" w:pos="708"/>
        <w:tab w:val="left" w:pos="2160" w:leader="none"/>
      </w:tabs>
      <w:spacing w:lineRule="auto" w:line="240" w:before="0" w:after="0"/>
      <w:ind w:hanging="360" w:left="2160"/>
      <w:jc w:val="both"/>
      <w:textAlignment w:val="baseline"/>
    </w:pPr>
    <w:rPr>
      <w:sz w:val="24"/>
      <w:lang w:val="ru-RU"/>
    </w:rPr>
  </w:style>
  <w:style w:type="paragraph" w:styleId="parametervalue" w:customStyle="1">
    <w:name w:val="parametervalue"/>
    <w:basedOn w:val="Normal"/>
    <w:qFormat/>
    <w:pPr>
      <w:spacing w:beforeAutospacing="1" w:afterAutospacing="1"/>
    </w:pPr>
    <w:rPr>
      <w:sz w:val="24"/>
      <w:szCs w:val="24"/>
      <w:lang w:val="ru-RU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Application>LibreOffice/24.8.4.2$Linux_X86_64 LibreOffice_project/480$Build-2</Application>
  <AppVersion>15.0000</AppVersion>
  <Pages>2</Pages>
  <Words>479</Words>
  <Characters>3435</Characters>
  <CharactersWithSpaces>3910</CharactersWithSpaces>
  <Paragraphs>81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2026-05-05T07:46:00Z</dcterms:created>
  <dc:creator>ЗиновьевАП</dc:creator>
  <dc:description/>
  <dc:language>ru-RU</dc:language>
  <cp:lastModifiedBy/>
  <cp:lastPrinted>2026-07-17T13:54:21Z</cp:lastPrinted>
  <dcterms:modified xsi:type="dcterms:W3CDTF">2026-07-17T15:51:21Z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