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0A" w:rsidRDefault="001D57B3" w:rsidP="00D25A0A">
      <w:pPr>
        <w:keepNext/>
        <w:spacing w:after="0"/>
        <w:jc w:val="center"/>
        <w:outlineLvl w:val="0"/>
        <w:rPr>
          <w:b/>
        </w:rPr>
      </w:pPr>
      <w:r>
        <w:rPr>
          <w:b/>
        </w:rPr>
        <w:t>Определение</w:t>
      </w:r>
      <w:r w:rsidR="00D25A0A" w:rsidRPr="00DF4B05">
        <w:rPr>
          <w:b/>
        </w:rPr>
        <w:t xml:space="preserve"> цены </w:t>
      </w:r>
      <w:r w:rsidR="00073BD8">
        <w:rPr>
          <w:b/>
        </w:rPr>
        <w:t>контракта</w:t>
      </w:r>
      <w:r w:rsidR="00D43582">
        <w:rPr>
          <w:b/>
        </w:rPr>
        <w:t xml:space="preserve"> </w:t>
      </w:r>
      <w:r w:rsidR="00201BD5">
        <w:rPr>
          <w:b/>
        </w:rPr>
        <w:t>с единственным поставщиком</w:t>
      </w:r>
    </w:p>
    <w:p w:rsidR="00915AB1" w:rsidRDefault="00E95557" w:rsidP="00523AE7">
      <w:pPr>
        <w:autoSpaceDE w:val="0"/>
        <w:autoSpaceDN w:val="0"/>
        <w:adjustRightInd w:val="0"/>
        <w:ind w:firstLine="540"/>
      </w:pPr>
      <w:r w:rsidRPr="00AD438E">
        <w:t xml:space="preserve">В соответствии с ч. </w:t>
      </w:r>
      <w:r w:rsidR="00523AE7">
        <w:t>4</w:t>
      </w:r>
      <w:r w:rsidRPr="00AD438E">
        <w:t xml:space="preserve"> ст. </w:t>
      </w:r>
      <w:r w:rsidR="00523AE7">
        <w:t>93</w:t>
      </w:r>
      <w:r w:rsidRPr="00AD438E">
        <w:t xml:space="preserve"> Федерального закона от 0</w:t>
      </w:r>
      <w:r w:rsidR="004F7520">
        <w:t xml:space="preserve">5.04.2013 №44-ФЗ </w:t>
      </w:r>
      <w:r w:rsidR="00523AE7" w:rsidRPr="00AD438E">
        <w:t>«О контрактной системе в сфере закупок товаров, работ, услуг для обеспечения госуда</w:t>
      </w:r>
      <w:r w:rsidR="00523AE7">
        <w:t>рственных и муниципальных нужд» (далее – 44-ФЗ), п</w:t>
      </w:r>
      <w:r w:rsidR="00523AE7" w:rsidRPr="00523AE7">
        <w:t>ри осуществлении закупки у единственного поставщика (подрядчика, исполнителя)</w:t>
      </w:r>
      <w:r w:rsidR="00523AE7">
        <w:t xml:space="preserve"> на основании п.4 ч.1 ст.93</w:t>
      </w:r>
      <w:r w:rsidR="00523AE7" w:rsidRPr="00523AE7">
        <w:t xml:space="preserve"> заказчик определяет цену контракта, заключаемого с единственным поставщик</w:t>
      </w:r>
      <w:r w:rsidR="00523AE7">
        <w:t>ом (подрядчиком, исполнителем).</w:t>
      </w:r>
    </w:p>
    <w:p w:rsidR="00523AE7" w:rsidRDefault="001D57B3" w:rsidP="00523AE7">
      <w:pPr>
        <w:autoSpaceDE w:val="0"/>
        <w:autoSpaceDN w:val="0"/>
        <w:adjustRightInd w:val="0"/>
        <w:ind w:firstLine="540"/>
      </w:pPr>
      <w:r w:rsidRPr="001D57B3">
        <w:t xml:space="preserve">Для </w:t>
      </w:r>
      <w:r>
        <w:t xml:space="preserve">определения цены контракта был проведен финансовый мониторинг коммерческих предложений, полученных </w:t>
      </w:r>
      <w:r w:rsidRPr="001D57B3">
        <w:t xml:space="preserve">в соответствии с п. 3.7.1. Методических рекомендаций </w:t>
      </w:r>
      <w:r w:rsidRPr="00AD438E"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</w:t>
      </w:r>
      <w:r>
        <w:t xml:space="preserve"> Федерации от 02.10.2013 </w:t>
      </w:r>
      <w:r w:rsidRPr="00AD438E">
        <w:t>№ 567</w:t>
      </w:r>
      <w:r>
        <w:t xml:space="preserve"> путем направления запросов</w:t>
      </w:r>
      <w:r w:rsidRPr="001D57B3">
        <w:t xml:space="preserve"> о предоставлении ценовой информации не менее пяти </w:t>
      </w:r>
      <w:r w:rsidR="00201BD5">
        <w:t>поставщикам</w:t>
      </w:r>
      <w:r w:rsidRPr="001D57B3">
        <w:t>, обладающим опытом</w:t>
      </w:r>
      <w:r w:rsidR="00201BD5">
        <w:t xml:space="preserve"> аналогичных поставок</w:t>
      </w:r>
      <w:r w:rsidRPr="001D57B3">
        <w:t xml:space="preserve">. </w:t>
      </w:r>
    </w:p>
    <w:p w:rsidR="006C625D" w:rsidRPr="006C625D" w:rsidRDefault="006C625D" w:rsidP="006C625D">
      <w:pPr>
        <w:autoSpaceDE w:val="0"/>
        <w:autoSpaceDN w:val="0"/>
        <w:adjustRightInd w:val="0"/>
        <w:ind w:firstLine="540"/>
      </w:pPr>
      <w:r>
        <w:t xml:space="preserve">Положения </w:t>
      </w:r>
      <w:proofErr w:type="spellStart"/>
      <w:r w:rsidRPr="006C625D">
        <w:t>пп</w:t>
      </w:r>
      <w:proofErr w:type="spellEnd"/>
      <w:r w:rsidRPr="006C625D">
        <w:t>. «в» п.7 Постановления Правительства Российской Федерации от 23.12.2024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t xml:space="preserve"> (далее – ПП 1875) для определения цены контракта, заключаемого с единственным поставщиком, не применялись на основании абзаца 5 </w:t>
      </w:r>
      <w:proofErr w:type="spellStart"/>
      <w:r>
        <w:t>пп</w:t>
      </w:r>
      <w:proofErr w:type="spellEnd"/>
      <w:r w:rsidR="0010301E">
        <w:t>.</w:t>
      </w:r>
      <w:r>
        <w:t xml:space="preserve"> «г» п.7 ПП 1875.</w:t>
      </w:r>
    </w:p>
    <w:p w:rsidR="001D57B3" w:rsidRDefault="00201BD5" w:rsidP="001D57B3">
      <w:pPr>
        <w:autoSpaceDE w:val="0"/>
        <w:autoSpaceDN w:val="0"/>
        <w:adjustRightInd w:val="0"/>
        <w:ind w:firstLine="540"/>
      </w:pPr>
      <w:r>
        <w:t>Товары</w:t>
      </w:r>
      <w:r w:rsidR="001D57B3">
        <w:t xml:space="preserve">, </w:t>
      </w:r>
      <w:r w:rsidR="00EB6FF5">
        <w:t>указанные в коммерческих предложениях</w:t>
      </w:r>
      <w:r w:rsidR="001D57B3">
        <w:t>, являются идентичными, так как имеют одинаковые характ</w:t>
      </w:r>
      <w:r w:rsidR="00AF102B">
        <w:t>ерные для них основные признаки.</w:t>
      </w:r>
    </w:p>
    <w:p w:rsidR="001D57B3" w:rsidRDefault="001D57B3" w:rsidP="001D57B3">
      <w:pPr>
        <w:autoSpaceDE w:val="0"/>
        <w:autoSpaceDN w:val="0"/>
        <w:adjustRightInd w:val="0"/>
        <w:ind w:firstLine="540"/>
      </w:pPr>
      <w:r>
        <w:t xml:space="preserve">Коммерческие и (или) финансовые условия </w:t>
      </w:r>
      <w:r w:rsidR="00EB6FF5">
        <w:t xml:space="preserve">поставки </w:t>
      </w:r>
      <w:r>
        <w:t>признаются сопоставимыми, т.к.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условий.</w:t>
      </w:r>
    </w:p>
    <w:p w:rsidR="00EB6FF5" w:rsidRDefault="00AF102B" w:rsidP="00AF102B">
      <w:pPr>
        <w:ind w:firstLine="567"/>
      </w:pPr>
      <w:r>
        <w:t xml:space="preserve">Цена контракта с единственным </w:t>
      </w:r>
      <w:r w:rsidR="00A26325">
        <w:t>поставщиком</w:t>
      </w:r>
      <w:r>
        <w:t xml:space="preserve"> определена на основании коммерческого предложения с наименьшей ценой.</w:t>
      </w:r>
    </w:p>
    <w:p w:rsidR="00E95557" w:rsidRDefault="004C0575" w:rsidP="007211C9">
      <w:r>
        <w:t xml:space="preserve">Предмет контракта: </w:t>
      </w:r>
      <w:r w:rsidR="007211C9">
        <w:tab/>
      </w:r>
      <w:bookmarkStart w:id="0" w:name="_GoBack"/>
      <w:bookmarkEnd w:id="0"/>
      <w:r w:rsidR="007211C9">
        <w:t>Поставка устройств для обеспечения эксплуатации АРМ ТО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745"/>
        <w:gridCol w:w="949"/>
        <w:gridCol w:w="630"/>
        <w:gridCol w:w="1943"/>
        <w:gridCol w:w="8"/>
        <w:gridCol w:w="1618"/>
        <w:gridCol w:w="8"/>
      </w:tblGrid>
      <w:tr w:rsidR="00AF102B" w:rsidRPr="00016AF8" w:rsidTr="00DB7EFD">
        <w:trPr>
          <w:gridAfter w:val="1"/>
          <w:wAfter w:w="4" w:type="pct"/>
          <w:trHeight w:val="377"/>
        </w:trPr>
        <w:tc>
          <w:tcPr>
            <w:tcW w:w="309" w:type="pct"/>
            <w:vMerge w:val="restart"/>
          </w:tcPr>
          <w:p w:rsidR="00016AF8" w:rsidRPr="00016AF8" w:rsidRDefault="00016AF8" w:rsidP="00016AF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 w:rsidRPr="00016AF8">
              <w:rPr>
                <w:rFonts w:eastAsia="Calibri"/>
                <w:bCs/>
                <w:lang w:eastAsia="en-US"/>
              </w:rPr>
              <w:t>№</w:t>
            </w:r>
          </w:p>
          <w:p w:rsidR="00016AF8" w:rsidRPr="00016AF8" w:rsidRDefault="00016AF8" w:rsidP="00016AF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 w:rsidRPr="00016AF8">
              <w:rPr>
                <w:rFonts w:eastAsia="Calibri"/>
                <w:bCs/>
                <w:lang w:eastAsia="en-US"/>
              </w:rPr>
              <w:t>п/п</w:t>
            </w:r>
          </w:p>
        </w:tc>
        <w:tc>
          <w:tcPr>
            <w:tcW w:w="1974" w:type="pct"/>
            <w:vMerge w:val="restart"/>
          </w:tcPr>
          <w:p w:rsidR="00AF102B" w:rsidRPr="00AF102B" w:rsidRDefault="00AF102B" w:rsidP="00AF102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 w:rsidRPr="00AF102B">
              <w:rPr>
                <w:rFonts w:eastAsia="Calibri"/>
                <w:bCs/>
                <w:lang w:eastAsia="en-US"/>
              </w:rPr>
              <w:t xml:space="preserve">Наименование </w:t>
            </w:r>
          </w:p>
          <w:p w:rsidR="00016AF8" w:rsidRPr="00016AF8" w:rsidRDefault="00A26325" w:rsidP="00AF102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товара</w:t>
            </w:r>
          </w:p>
        </w:tc>
        <w:tc>
          <w:tcPr>
            <w:tcW w:w="500" w:type="pct"/>
            <w:vMerge w:val="restart"/>
          </w:tcPr>
          <w:p w:rsidR="00016AF8" w:rsidRPr="00016AF8" w:rsidRDefault="00016AF8" w:rsidP="00016AF8">
            <w:pPr>
              <w:spacing w:after="0"/>
              <w:ind w:left="-108" w:right="-107"/>
              <w:jc w:val="center"/>
              <w:rPr>
                <w:bCs/>
              </w:rPr>
            </w:pPr>
            <w:r w:rsidRPr="00016AF8">
              <w:rPr>
                <w:bCs/>
              </w:rPr>
              <w:t>Ед. изм.</w:t>
            </w:r>
          </w:p>
        </w:tc>
        <w:tc>
          <w:tcPr>
            <w:tcW w:w="332" w:type="pct"/>
            <w:vMerge w:val="restart"/>
          </w:tcPr>
          <w:p w:rsidR="00016AF8" w:rsidRPr="00016AF8" w:rsidRDefault="00016AF8" w:rsidP="00016AF8">
            <w:pPr>
              <w:spacing w:after="0"/>
              <w:ind w:left="-108" w:right="-120"/>
              <w:jc w:val="center"/>
              <w:rPr>
                <w:bCs/>
              </w:rPr>
            </w:pPr>
            <w:r w:rsidRPr="00016AF8">
              <w:rPr>
                <w:bCs/>
              </w:rPr>
              <w:t>Кол-во</w:t>
            </w:r>
          </w:p>
        </w:tc>
        <w:tc>
          <w:tcPr>
            <w:tcW w:w="1024" w:type="pct"/>
            <w:vMerge w:val="restart"/>
          </w:tcPr>
          <w:p w:rsidR="00016AF8" w:rsidRDefault="00016AF8" w:rsidP="00016AF8">
            <w:pPr>
              <w:spacing w:after="0"/>
              <w:ind w:left="-108" w:right="-29"/>
              <w:jc w:val="center"/>
              <w:rPr>
                <w:bCs/>
              </w:rPr>
            </w:pPr>
            <w:r w:rsidRPr="00016AF8">
              <w:rPr>
                <w:bCs/>
              </w:rPr>
              <w:t>Цена предложения</w:t>
            </w:r>
          </w:p>
          <w:p w:rsidR="00016AF8" w:rsidRPr="00016AF8" w:rsidRDefault="00016AF8" w:rsidP="00016AF8">
            <w:pPr>
              <w:spacing w:after="0"/>
              <w:ind w:left="-108" w:right="-29"/>
              <w:jc w:val="center"/>
              <w:rPr>
                <w:bCs/>
              </w:rPr>
            </w:pPr>
            <w:r w:rsidRPr="00016AF8">
              <w:rPr>
                <w:bCs/>
              </w:rPr>
              <w:t xml:space="preserve">за ед., </w:t>
            </w:r>
            <w:proofErr w:type="spellStart"/>
            <w:r w:rsidRPr="00016AF8">
              <w:rPr>
                <w:bCs/>
              </w:rPr>
              <w:t>руб</w:t>
            </w:r>
            <w:proofErr w:type="spellEnd"/>
          </w:p>
        </w:tc>
        <w:tc>
          <w:tcPr>
            <w:tcW w:w="857" w:type="pct"/>
            <w:gridSpan w:val="2"/>
            <w:vMerge w:val="restart"/>
          </w:tcPr>
          <w:p w:rsidR="00016AF8" w:rsidRPr="00016AF8" w:rsidRDefault="00016AF8" w:rsidP="00016AF8">
            <w:pPr>
              <w:spacing w:after="0"/>
              <w:ind w:left="-108" w:right="-29"/>
              <w:jc w:val="center"/>
              <w:rPr>
                <w:bCs/>
              </w:rPr>
            </w:pPr>
            <w:r w:rsidRPr="00016AF8">
              <w:rPr>
                <w:bCs/>
              </w:rPr>
              <w:t>Цена контракта, руб.</w:t>
            </w:r>
          </w:p>
        </w:tc>
      </w:tr>
      <w:tr w:rsidR="00AF102B" w:rsidRPr="00016AF8" w:rsidTr="00DB7EFD">
        <w:trPr>
          <w:gridAfter w:val="1"/>
          <w:wAfter w:w="4" w:type="pct"/>
          <w:trHeight w:val="377"/>
        </w:trPr>
        <w:tc>
          <w:tcPr>
            <w:tcW w:w="309" w:type="pct"/>
            <w:vMerge/>
            <w:vAlign w:val="center"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74" w:type="pct"/>
            <w:vMerge/>
            <w:vAlign w:val="center"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0" w:type="pct"/>
            <w:vMerge/>
          </w:tcPr>
          <w:p w:rsidR="00016AF8" w:rsidRPr="00016AF8" w:rsidRDefault="00016AF8" w:rsidP="00C83E1D">
            <w:pPr>
              <w:jc w:val="center"/>
              <w:rPr>
                <w:bCs/>
              </w:rPr>
            </w:pPr>
          </w:p>
        </w:tc>
        <w:tc>
          <w:tcPr>
            <w:tcW w:w="332" w:type="pct"/>
            <w:vMerge/>
          </w:tcPr>
          <w:p w:rsidR="00016AF8" w:rsidRPr="00016AF8" w:rsidRDefault="00016AF8" w:rsidP="00190837">
            <w:pPr>
              <w:ind w:right="-164"/>
              <w:jc w:val="center"/>
              <w:rPr>
                <w:bCs/>
              </w:rPr>
            </w:pPr>
          </w:p>
        </w:tc>
        <w:tc>
          <w:tcPr>
            <w:tcW w:w="1024" w:type="pct"/>
            <w:vMerge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7" w:type="pct"/>
            <w:gridSpan w:val="2"/>
            <w:vMerge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DB7EFD" w:rsidRPr="00016AF8" w:rsidTr="00DB7EFD">
        <w:trPr>
          <w:gridAfter w:val="1"/>
          <w:wAfter w:w="4" w:type="pct"/>
        </w:trPr>
        <w:tc>
          <w:tcPr>
            <w:tcW w:w="309" w:type="pct"/>
          </w:tcPr>
          <w:p w:rsidR="00DB7EFD" w:rsidRDefault="00B9056E" w:rsidP="00DB7EFD">
            <w:pPr>
              <w:autoSpaceDE w:val="0"/>
              <w:autoSpaceDN w:val="0"/>
              <w:adjustRightInd w:val="0"/>
              <w:spacing w:after="0" w:line="276" w:lineRule="auto"/>
              <w:ind w:left="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DB7EFD" w:rsidRPr="007211C9" w:rsidRDefault="007211C9" w:rsidP="00DB7EFD">
            <w:pPr>
              <w:spacing w:before="100" w:beforeAutospacing="1" w:after="100" w:afterAutospacing="1"/>
              <w:jc w:val="center"/>
              <w:rPr>
                <w:color w:val="2C2D2E"/>
              </w:rPr>
            </w:pPr>
            <w:r>
              <w:rPr>
                <w:color w:val="2C2D2E"/>
                <w:lang w:val="en-US"/>
              </w:rPr>
              <w:t>USB-</w:t>
            </w:r>
            <w:r>
              <w:rPr>
                <w:color w:val="2C2D2E"/>
              </w:rPr>
              <w:t>разветвитель</w:t>
            </w:r>
          </w:p>
        </w:tc>
        <w:tc>
          <w:tcPr>
            <w:tcW w:w="500" w:type="pct"/>
          </w:tcPr>
          <w:p w:rsidR="00DB7EFD" w:rsidRDefault="00DB7EFD" w:rsidP="00DB7EFD">
            <w:pPr>
              <w:jc w:val="center"/>
            </w:pPr>
            <w:proofErr w:type="spellStart"/>
            <w:r w:rsidRPr="0055438C">
              <w:t>шт</w:t>
            </w:r>
            <w:proofErr w:type="spellEnd"/>
          </w:p>
        </w:tc>
        <w:tc>
          <w:tcPr>
            <w:tcW w:w="332" w:type="pct"/>
          </w:tcPr>
          <w:p w:rsidR="00DB7EFD" w:rsidRDefault="007211C9" w:rsidP="00DB7EFD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024" w:type="pct"/>
            <w:shd w:val="clear" w:color="auto" w:fill="FFFFFF"/>
          </w:tcPr>
          <w:p w:rsidR="00DB7EFD" w:rsidRDefault="007211C9" w:rsidP="00DB7EFD">
            <w:pPr>
              <w:spacing w:before="100" w:beforeAutospacing="1" w:after="100" w:afterAutospacing="1"/>
              <w:jc w:val="center"/>
              <w:rPr>
                <w:color w:val="2C2D2E"/>
              </w:rPr>
            </w:pPr>
            <w:r>
              <w:rPr>
                <w:color w:val="2C2D2E"/>
              </w:rPr>
              <w:t>1 564,68</w:t>
            </w:r>
          </w:p>
        </w:tc>
        <w:tc>
          <w:tcPr>
            <w:tcW w:w="857" w:type="pct"/>
            <w:gridSpan w:val="2"/>
            <w:shd w:val="clear" w:color="auto" w:fill="FFFFFF"/>
          </w:tcPr>
          <w:p w:rsidR="00DB7EFD" w:rsidRDefault="007211C9" w:rsidP="004C0575">
            <w:pPr>
              <w:spacing w:before="100" w:beforeAutospacing="1" w:after="100" w:afterAutospacing="1"/>
              <w:jc w:val="center"/>
              <w:rPr>
                <w:color w:val="2C2D2E"/>
              </w:rPr>
            </w:pPr>
            <w:r>
              <w:rPr>
                <w:color w:val="2C2D2E"/>
              </w:rPr>
              <w:t>3 129,36</w:t>
            </w:r>
          </w:p>
        </w:tc>
      </w:tr>
      <w:tr w:rsidR="00DB7EFD" w:rsidRPr="00016AF8" w:rsidTr="00DB7EFD">
        <w:tc>
          <w:tcPr>
            <w:tcW w:w="4143" w:type="pct"/>
            <w:gridSpan w:val="6"/>
          </w:tcPr>
          <w:p w:rsidR="00DB7EFD" w:rsidRPr="00570CEC" w:rsidRDefault="00DB7EFD" w:rsidP="00DB7EFD">
            <w:pPr>
              <w:spacing w:before="100" w:beforeAutospacing="1" w:after="100" w:afterAutospacing="1"/>
              <w:jc w:val="left"/>
              <w:rPr>
                <w:b/>
                <w:color w:val="2C2D2E"/>
              </w:rPr>
            </w:pPr>
            <w:r w:rsidRPr="00570CEC">
              <w:rPr>
                <w:b/>
                <w:color w:val="2C2D2E"/>
              </w:rPr>
              <w:t>ИТОГО:</w:t>
            </w:r>
          </w:p>
        </w:tc>
        <w:tc>
          <w:tcPr>
            <w:tcW w:w="857" w:type="pct"/>
            <w:gridSpan w:val="2"/>
            <w:shd w:val="clear" w:color="auto" w:fill="FFFFFF"/>
          </w:tcPr>
          <w:p w:rsidR="00DB7EFD" w:rsidRPr="00570CEC" w:rsidRDefault="007211C9" w:rsidP="007211C9">
            <w:pPr>
              <w:spacing w:before="100" w:beforeAutospacing="1" w:after="100" w:afterAutospacing="1"/>
              <w:jc w:val="center"/>
              <w:rPr>
                <w:b/>
                <w:color w:val="2C2D2E"/>
              </w:rPr>
            </w:pPr>
            <w:r>
              <w:rPr>
                <w:b/>
                <w:color w:val="2C2D2E"/>
              </w:rPr>
              <w:t>3 129</w:t>
            </w:r>
            <w:r w:rsidR="00DB7EFD">
              <w:rPr>
                <w:b/>
                <w:color w:val="2C2D2E"/>
              </w:rPr>
              <w:t>,</w:t>
            </w:r>
            <w:r>
              <w:rPr>
                <w:b/>
                <w:color w:val="2C2D2E"/>
              </w:rPr>
              <w:t>36</w:t>
            </w:r>
          </w:p>
        </w:tc>
      </w:tr>
    </w:tbl>
    <w:p w:rsidR="00D25A0A" w:rsidRPr="00F31DD5" w:rsidRDefault="00016AF8" w:rsidP="00D02B0A">
      <w:pPr>
        <w:keepNext/>
        <w:spacing w:before="240" w:after="0"/>
        <w:ind w:firstLine="567"/>
        <w:outlineLvl w:val="0"/>
      </w:pPr>
      <w:r>
        <w:t>Ц</w:t>
      </w:r>
      <w:r w:rsidR="00D25A0A" w:rsidRPr="00D02B0A">
        <w:t xml:space="preserve">ена </w:t>
      </w:r>
      <w:r w:rsidR="00D43582" w:rsidRPr="00D02B0A">
        <w:t>контракта</w:t>
      </w:r>
      <w:r>
        <w:t xml:space="preserve"> с единственным поставщиком составляет</w:t>
      </w:r>
      <w:r w:rsidR="005F206B" w:rsidRPr="00D02B0A">
        <w:t xml:space="preserve"> </w:t>
      </w:r>
      <w:r w:rsidR="007211C9">
        <w:t>3 129</w:t>
      </w:r>
      <w:r w:rsidR="00746B5C">
        <w:t xml:space="preserve"> </w:t>
      </w:r>
      <w:r w:rsidR="005F206B" w:rsidRPr="00D02B0A">
        <w:t>(</w:t>
      </w:r>
      <w:r w:rsidR="007211C9">
        <w:t>Три тысячи сто двадцать девять</w:t>
      </w:r>
      <w:r w:rsidR="00A26325">
        <w:t>)</w:t>
      </w:r>
      <w:r w:rsidR="008275EB" w:rsidRPr="00D02B0A">
        <w:t xml:space="preserve"> </w:t>
      </w:r>
      <w:r w:rsidR="00C625BA" w:rsidRPr="00D02B0A">
        <w:t>ру</w:t>
      </w:r>
      <w:r w:rsidR="005F206B" w:rsidRPr="00D02B0A">
        <w:t>б</w:t>
      </w:r>
      <w:r w:rsidR="00C625BA" w:rsidRPr="00D02B0A">
        <w:t>л</w:t>
      </w:r>
      <w:r w:rsidR="002A1677">
        <w:t>ей</w:t>
      </w:r>
      <w:r w:rsidR="0080390E" w:rsidRPr="00D02B0A">
        <w:t xml:space="preserve"> </w:t>
      </w:r>
      <w:r w:rsidR="007211C9">
        <w:t>36</w:t>
      </w:r>
      <w:r w:rsidR="00C625BA" w:rsidRPr="00D02B0A">
        <w:t xml:space="preserve"> копе</w:t>
      </w:r>
      <w:r w:rsidR="00E40562">
        <w:t>ек</w:t>
      </w:r>
      <w:r w:rsidR="00D25A0A" w:rsidRPr="00D02B0A">
        <w:t>.</w:t>
      </w:r>
    </w:p>
    <w:p w:rsidR="00AC40AB" w:rsidRDefault="00AC40AB" w:rsidP="000A4337">
      <w:pPr>
        <w:spacing w:after="0"/>
      </w:pPr>
    </w:p>
    <w:p w:rsidR="00016AF8" w:rsidRDefault="00016AF8" w:rsidP="000A4337">
      <w:pPr>
        <w:spacing w:after="0"/>
      </w:pPr>
    </w:p>
    <w:p w:rsidR="005F206B" w:rsidRDefault="00AC40AB" w:rsidP="000A4337">
      <w:pPr>
        <w:spacing w:after="0"/>
      </w:pPr>
      <w:r>
        <w:t>Ведущий специалист-эксперт</w:t>
      </w:r>
    </w:p>
    <w:p w:rsidR="00AC40AB" w:rsidRDefault="00AC40AB" w:rsidP="000A4337">
      <w:pPr>
        <w:spacing w:after="0"/>
      </w:pPr>
      <w:r>
        <w:t xml:space="preserve">отдела обеспечения деятельности                                      </w:t>
      </w:r>
      <w:r w:rsidR="00016AF8">
        <w:t xml:space="preserve">                  </w:t>
      </w:r>
      <w:r w:rsidR="00EB431E">
        <w:t xml:space="preserve">           </w:t>
      </w:r>
      <w:r w:rsidR="00F7191E">
        <w:t xml:space="preserve">           </w:t>
      </w:r>
      <w:r>
        <w:t xml:space="preserve">Е.В. </w:t>
      </w:r>
      <w:proofErr w:type="spellStart"/>
      <w:r>
        <w:t>Цитцер</w:t>
      </w:r>
      <w:proofErr w:type="spellEnd"/>
    </w:p>
    <w:sectPr w:rsidR="00AC40AB" w:rsidSect="00016AF8">
      <w:headerReference w:type="default" r:id="rId8"/>
      <w:pgSz w:w="11906" w:h="16838"/>
      <w:pgMar w:top="1134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9E2" w:rsidRDefault="008539E2" w:rsidP="00D2190D">
      <w:pPr>
        <w:spacing w:after="0"/>
      </w:pPr>
      <w:r>
        <w:separator/>
      </w:r>
    </w:p>
  </w:endnote>
  <w:endnote w:type="continuationSeparator" w:id="0">
    <w:p w:rsidR="008539E2" w:rsidRDefault="008539E2" w:rsidP="00D219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9E2" w:rsidRDefault="008539E2" w:rsidP="00D2190D">
      <w:pPr>
        <w:spacing w:after="0"/>
      </w:pPr>
      <w:r>
        <w:separator/>
      </w:r>
    </w:p>
  </w:footnote>
  <w:footnote w:type="continuationSeparator" w:id="0">
    <w:p w:rsidR="008539E2" w:rsidRDefault="008539E2" w:rsidP="00D219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BE1" w:rsidRDefault="004B7BE1">
    <w:pPr>
      <w:pStyle w:val="a6"/>
      <w:jc w:val="center"/>
    </w:pPr>
  </w:p>
  <w:p w:rsidR="004B7BE1" w:rsidRDefault="004B7B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>
        <v:imagedata r:id="rId1" o:title=""/>
      </v:shape>
    </w:pict>
  </w:numPicBullet>
  <w:abstractNum w:abstractNumId="0" w15:restartNumberingAfterBreak="0">
    <w:nsid w:val="0F335341"/>
    <w:multiLevelType w:val="hybridMultilevel"/>
    <w:tmpl w:val="1A8490C8"/>
    <w:lvl w:ilvl="0" w:tplc="CD9C79E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87662"/>
    <w:multiLevelType w:val="hybridMultilevel"/>
    <w:tmpl w:val="DAA8E4C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618E55C1"/>
    <w:multiLevelType w:val="hybridMultilevel"/>
    <w:tmpl w:val="1A8490C8"/>
    <w:lvl w:ilvl="0" w:tplc="CD9C79EE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705E15D3"/>
    <w:multiLevelType w:val="hybridMultilevel"/>
    <w:tmpl w:val="EBFCBA90"/>
    <w:lvl w:ilvl="0" w:tplc="D7AEDC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307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B82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3EF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44C7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04CA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7E9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7C0C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0EE5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71"/>
    <w:rsid w:val="00016AF8"/>
    <w:rsid w:val="00053653"/>
    <w:rsid w:val="00067FB2"/>
    <w:rsid w:val="00073BD8"/>
    <w:rsid w:val="0009353E"/>
    <w:rsid w:val="000A4337"/>
    <w:rsid w:val="000E1A06"/>
    <w:rsid w:val="0010301E"/>
    <w:rsid w:val="00112C17"/>
    <w:rsid w:val="001369B8"/>
    <w:rsid w:val="001378D2"/>
    <w:rsid w:val="001469AE"/>
    <w:rsid w:val="00156576"/>
    <w:rsid w:val="00171E64"/>
    <w:rsid w:val="0017598F"/>
    <w:rsid w:val="00190837"/>
    <w:rsid w:val="001D57B3"/>
    <w:rsid w:val="001E09A6"/>
    <w:rsid w:val="00201BD5"/>
    <w:rsid w:val="00264429"/>
    <w:rsid w:val="002A1677"/>
    <w:rsid w:val="002A6196"/>
    <w:rsid w:val="002A61AB"/>
    <w:rsid w:val="002D2BC5"/>
    <w:rsid w:val="003014E8"/>
    <w:rsid w:val="0032525E"/>
    <w:rsid w:val="00347D3C"/>
    <w:rsid w:val="00363F99"/>
    <w:rsid w:val="003A10B8"/>
    <w:rsid w:val="003F5A24"/>
    <w:rsid w:val="00434D48"/>
    <w:rsid w:val="004A3830"/>
    <w:rsid w:val="004B3146"/>
    <w:rsid w:val="004B65D2"/>
    <w:rsid w:val="004B7BE1"/>
    <w:rsid w:val="004C0575"/>
    <w:rsid w:val="004D4DEF"/>
    <w:rsid w:val="004E0A1F"/>
    <w:rsid w:val="004E4CC9"/>
    <w:rsid w:val="004F5FF1"/>
    <w:rsid w:val="004F7520"/>
    <w:rsid w:val="00512C5A"/>
    <w:rsid w:val="00523AE7"/>
    <w:rsid w:val="005326A3"/>
    <w:rsid w:val="00562563"/>
    <w:rsid w:val="00564B02"/>
    <w:rsid w:val="00570CEC"/>
    <w:rsid w:val="005C36B8"/>
    <w:rsid w:val="005C4844"/>
    <w:rsid w:val="005F206B"/>
    <w:rsid w:val="00643BB6"/>
    <w:rsid w:val="00645241"/>
    <w:rsid w:val="00651EFB"/>
    <w:rsid w:val="006B6EB6"/>
    <w:rsid w:val="006C18B9"/>
    <w:rsid w:val="006C625D"/>
    <w:rsid w:val="006E0791"/>
    <w:rsid w:val="006E5D06"/>
    <w:rsid w:val="006F1D4B"/>
    <w:rsid w:val="006F4AAD"/>
    <w:rsid w:val="006F4EA2"/>
    <w:rsid w:val="0070046B"/>
    <w:rsid w:val="007017B2"/>
    <w:rsid w:val="00714E58"/>
    <w:rsid w:val="007211C9"/>
    <w:rsid w:val="0072633D"/>
    <w:rsid w:val="00737ED7"/>
    <w:rsid w:val="00746B5C"/>
    <w:rsid w:val="00753CBB"/>
    <w:rsid w:val="0077388A"/>
    <w:rsid w:val="0079203F"/>
    <w:rsid w:val="007B0DE7"/>
    <w:rsid w:val="007D6676"/>
    <w:rsid w:val="007F56C4"/>
    <w:rsid w:val="007F758A"/>
    <w:rsid w:val="0080390E"/>
    <w:rsid w:val="00803BFB"/>
    <w:rsid w:val="00814D49"/>
    <w:rsid w:val="00817C79"/>
    <w:rsid w:val="008255ED"/>
    <w:rsid w:val="008275EB"/>
    <w:rsid w:val="00831DC3"/>
    <w:rsid w:val="00843DE7"/>
    <w:rsid w:val="008539E2"/>
    <w:rsid w:val="00856324"/>
    <w:rsid w:val="00875C73"/>
    <w:rsid w:val="00886429"/>
    <w:rsid w:val="008B750F"/>
    <w:rsid w:val="008D5145"/>
    <w:rsid w:val="008F0FF9"/>
    <w:rsid w:val="009139CF"/>
    <w:rsid w:val="00915AB1"/>
    <w:rsid w:val="009329ED"/>
    <w:rsid w:val="00935785"/>
    <w:rsid w:val="00935AC5"/>
    <w:rsid w:val="009558CB"/>
    <w:rsid w:val="00963D94"/>
    <w:rsid w:val="009D1A29"/>
    <w:rsid w:val="00A13EB5"/>
    <w:rsid w:val="00A26325"/>
    <w:rsid w:val="00A72527"/>
    <w:rsid w:val="00AA1F15"/>
    <w:rsid w:val="00AA492F"/>
    <w:rsid w:val="00AC40AB"/>
    <w:rsid w:val="00AD0937"/>
    <w:rsid w:val="00AF102B"/>
    <w:rsid w:val="00B01537"/>
    <w:rsid w:val="00B46384"/>
    <w:rsid w:val="00B51669"/>
    <w:rsid w:val="00B54663"/>
    <w:rsid w:val="00B712B7"/>
    <w:rsid w:val="00B9056E"/>
    <w:rsid w:val="00B94D63"/>
    <w:rsid w:val="00BB1B9F"/>
    <w:rsid w:val="00BB48DC"/>
    <w:rsid w:val="00BD5DDA"/>
    <w:rsid w:val="00C625BA"/>
    <w:rsid w:val="00C83E1D"/>
    <w:rsid w:val="00C86F71"/>
    <w:rsid w:val="00CA3CCB"/>
    <w:rsid w:val="00CB12D9"/>
    <w:rsid w:val="00CC0881"/>
    <w:rsid w:val="00D02B0A"/>
    <w:rsid w:val="00D11DF1"/>
    <w:rsid w:val="00D2190D"/>
    <w:rsid w:val="00D237E1"/>
    <w:rsid w:val="00D24BA4"/>
    <w:rsid w:val="00D25A0A"/>
    <w:rsid w:val="00D43582"/>
    <w:rsid w:val="00D73EE9"/>
    <w:rsid w:val="00DB7EFD"/>
    <w:rsid w:val="00DD4A99"/>
    <w:rsid w:val="00DF2A91"/>
    <w:rsid w:val="00E40562"/>
    <w:rsid w:val="00E62B73"/>
    <w:rsid w:val="00E95557"/>
    <w:rsid w:val="00EA298A"/>
    <w:rsid w:val="00EB431E"/>
    <w:rsid w:val="00EB6FF5"/>
    <w:rsid w:val="00ED6DDD"/>
    <w:rsid w:val="00F11E68"/>
    <w:rsid w:val="00F22892"/>
    <w:rsid w:val="00F61B73"/>
    <w:rsid w:val="00F633A9"/>
    <w:rsid w:val="00F7191E"/>
    <w:rsid w:val="00F73A4A"/>
    <w:rsid w:val="00F96395"/>
    <w:rsid w:val="00FC3FA8"/>
    <w:rsid w:val="00FF1658"/>
    <w:rsid w:val="00FF7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F989"/>
  <w15:docId w15:val="{CFF363FC-901B-4309-938B-33F9EAB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A0A"/>
    <w:pPr>
      <w:spacing w:after="60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3FA8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FC3FA8"/>
    <w:pPr>
      <w:keepNext/>
      <w:outlineLvl w:val="1"/>
    </w:pPr>
    <w:rPr>
      <w:b/>
      <w:color w:val="0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3">
    <w:name w:val="heading 3"/>
    <w:basedOn w:val="a"/>
    <w:next w:val="a"/>
    <w:link w:val="30"/>
    <w:qFormat/>
    <w:rsid w:val="00FC3FA8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rsid w:val="00FC3FA8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FA8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FC3FA8"/>
    <w:rPr>
      <w:b/>
      <w:color w:val="000000"/>
      <w:sz w:val="24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30">
    <w:name w:val="Заголовок 3 Знак"/>
    <w:basedOn w:val="a0"/>
    <w:link w:val="3"/>
    <w:rsid w:val="00FC3FA8"/>
    <w:rPr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rsid w:val="00FC3FA8"/>
    <w:rPr>
      <w:vanish/>
      <w:sz w:val="28"/>
      <w:lang w:eastAsia="ru-RU"/>
    </w:rPr>
  </w:style>
  <w:style w:type="character" w:styleId="a3">
    <w:name w:val="Strong"/>
    <w:uiPriority w:val="22"/>
    <w:qFormat/>
    <w:rsid w:val="00D25A0A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unhideWhenUsed/>
    <w:rsid w:val="00D25A0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A0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2190D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D2190D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2190D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D2190D"/>
    <w:rPr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E5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7DE97-6EEB-41D7-94EE-BE070488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Дужик Елена Вячеславовна</dc:creator>
  <cp:lastModifiedBy>МЮ РФ</cp:lastModifiedBy>
  <cp:revision>3</cp:revision>
  <cp:lastPrinted>2026-05-12T11:38:00Z</cp:lastPrinted>
  <dcterms:created xsi:type="dcterms:W3CDTF">2026-06-02T12:15:00Z</dcterms:created>
  <dcterms:modified xsi:type="dcterms:W3CDTF">2026-06-02T13:19:00Z</dcterms:modified>
</cp:coreProperties>
</file>