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ГОСУДАРСТВЕННЫЙ КОНТРАКТ № </w:t>
      </w:r>
      <w:r>
        <w:rPr>
          <w:rFonts w:ascii="PT Astra Serif" w:hAnsi="PT Astra Serif" w:eastAsia="PT Astra Serif" w:cs="PT Astra Serif"/>
          <w:b/>
          <w:bCs/>
          <w:color w:val="000000"/>
          <w:spacing w:val="-1"/>
          <w:sz w:val="22"/>
          <w:szCs w:val="22"/>
        </w:rPr>
        <w:t xml:space="preserve">_________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861"/>
        <w:jc w:val="center"/>
        <w:rPr>
          <w:rFonts w:ascii="PT Astra Serif" w:hAnsi="PT Astra Serif" w:cs="PT Astra Serif"/>
          <w:b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на поставку </w:t>
      </w: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уничтожителя бумаги (шредер) повышенного уровня секретности (классов Р6-Р7)</w:t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</w:p>
    <w:p>
      <w:pPr>
        <w:pStyle w:val="861"/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861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г. Иркутск</w:t>
        <w:tab/>
        <w:tab/>
        <w:tab/>
        <w:tab/>
        <w:tab/>
        <w:tab/>
        <w:t xml:space="preserve">           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       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«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»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20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26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ind w:firstLine="709"/>
        <w:jc w:val="both"/>
        <w:spacing w:after="60"/>
        <w:widowControl/>
        <w:rPr>
          <w:rFonts w:ascii="PT Astra Serif" w:hAnsi="PT Astra Serif" w:cs="PT Astra Serif"/>
          <w:b/>
          <w:bCs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Управление Федеральной службы государственной регистрации, кадастра и картографии  по Иркутской области (Управление Росреестра по Иркутской области)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от имени Российской Федерации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 целях обеспечения государственных нужд,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именуемое в дальнейшем 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«Заказчик»,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 лице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______________________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действующего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(ей)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на основании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___________________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с одной стороны, и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 ______________________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именуем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в дальнейшем 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«Поставщик»,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в лице ________________, действующего (ей)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на основании _________________,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с другой стороны, совместно именуемые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«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Стороны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»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руководствуясь п.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4 ч. 1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ст.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93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Федерального Закона от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05.04.2013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№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4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4-ФЗ «О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контрактной системе в сфере закупок товаров, работ, услуг для обеспечения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государственных и муниципальных нужд», заключили настоящий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государственный контракт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(далее –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Контракт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) о нижеследующем:</w:t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sz w:val="22"/>
          <w:szCs w:val="22"/>
          <w:highlight w:val="none"/>
        </w:rPr>
      </w:r>
    </w:p>
    <w:p>
      <w:pPr>
        <w:pStyle w:val="861"/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1.  ПРЕДМЕТ КОНТРАКТА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1.1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 настоящему Контракту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Поставщик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обязуется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поставить уничтожитель бумаги (шредер) повышенного уровня секретности (классов Р6-Р7)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(далее - Товар)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, а З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аказчик обя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зуется принять и оплатить Товар в порядке и на условиях, предусмотренных Контрактом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pStyle w:val="861"/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1.2.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Наименование, количество и иные характеристики поставляемого Товара указаны в специфика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ции (приложение № 1 к Контракту)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, являющейся неотъемлемой частью Контракта.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ind w:firstLine="715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1.3.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Место поставки Товара: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г. Иркутск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, ул. Академическая, д.70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, кабинет 114.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pStyle w:val="861"/>
        <w:ind w:firstLine="709"/>
        <w:jc w:val="both"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1.4.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Срок поставки Товара: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не более 10 (десяти) рабочих дней с даты заключения Контракта.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firstLine="709"/>
        <w:jc w:val="both"/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pPr>
      <w:r>
        <w:rPr>
          <w:rFonts w:ascii="PT Astra Serif" w:hAnsi="PT Astra Serif" w:cs="PT Astra Serif"/>
          <w:sz w:val="22"/>
          <w:szCs w:val="22"/>
          <w:highlight w:val="none"/>
        </w:rPr>
        <w:t xml:space="preserve">1.5.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П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о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с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та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в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л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я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е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м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ы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й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Т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о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в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а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р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д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о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л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ж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е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н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п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р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о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й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т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и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с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п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е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ц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и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а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л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ь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н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у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ю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п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р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о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в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е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р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к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у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в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с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о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о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т</w:t>
      </w:r>
      <w:r>
        <w:rPr>
          <w:rFonts w:ascii="PT Astra Serif" w:hAnsi="PT Astra Serif" w:cs="PT Astra Serif"/>
          <w:sz w:val="22"/>
          <w:szCs w:val="22"/>
          <w:highlight w:val="white"/>
        </w:rPr>
        <w:t xml:space="preserve">ветствии с требованиями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руководящих документов ФСТЭК России и ФСБ России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 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По результатам проведенной специальной проверки Поставщик обязан передать Заказчику заключение о результатах специальной проверки Товара.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709"/>
        <w:jc w:val="both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pStyle w:val="861"/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2</w:t>
      </w: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  <w:t xml:space="preserve">ЦЕНА КОНТРАКТА И ПОРЯДОК РАСЧЕТОВ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861"/>
        <w:ind w:firstLine="709"/>
        <w:jc w:val="both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2.1. Цена Контракта составляет: __________ руб. ___ копеек, в том числе НДС ___% ___ руб. ___ копеек </w:t>
      </w:r>
      <w:r>
        <w:rPr>
          <w:rFonts w:ascii="PT Astra Serif" w:hAnsi="PT Astra Serif" w:eastAsia="PT Astra Serif" w:cs="PT Astra Serif"/>
          <w:i/>
          <w:sz w:val="22"/>
          <w:szCs w:val="22"/>
        </w:rPr>
        <w:t xml:space="preserve">(заполняется при условии наличия у Поставщика обязанности по уплате НДС в соответствии с законодательством Российской Федерации о налогах </w:t>
      </w:r>
      <w:r>
        <w:rPr>
          <w:rFonts w:ascii="PT Astra Serif" w:hAnsi="PT Astra Serif" w:eastAsia="PT Astra Serif" w:cs="PT Astra Serif"/>
          <w:i/>
          <w:sz w:val="22"/>
          <w:szCs w:val="22"/>
        </w:rPr>
        <w:t xml:space="preserve">и сборах. В случае если у Поставщика в соответствии с законодательством Российской Федерации о налогах и сборах отсутствует обязанность по уплате налога на добавленную стоимость в настоящем пункте указывается «НДС не предусмотрено» с указанием основания).</w:t>
      </w:r>
      <w:r>
        <w:rPr>
          <w:rFonts w:ascii="PT Astra Serif" w:hAnsi="PT Astra Serif" w:cs="PT Astra Serif"/>
          <w:i/>
          <w:sz w:val="22"/>
          <w:szCs w:val="22"/>
        </w:rPr>
      </w:r>
      <w:r>
        <w:rPr>
          <w:rFonts w:ascii="PT Astra Serif" w:hAnsi="PT Astra Serif" w:cs="PT Astra Serif"/>
          <w:i/>
          <w:sz w:val="22"/>
          <w:szCs w:val="22"/>
        </w:rPr>
      </w:r>
    </w:p>
    <w:p>
      <w:pPr>
        <w:pStyle w:val="861"/>
        <w:ind w:firstLine="709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2.2.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Расчеты по Контракту будут производиться безналичным перечислением в срок, не более 10 (десяти) рабочих дней с даты подписания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Заказчиком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 документов о приемке (Товарная накладная или УПД).</w:t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pStyle w:val="861"/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2.3.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Цена Контракта включает в себя все затраты Поставщика, связанные с исполнением Контракта: стоимость Товара, затраты на поставку Товара, погрузку, разгрузку, размещением в местах хранения Заказчика, стоимость упаковки (тары) маркировки,  стр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ахование, а также расходы на уплату налогов, сборов, таможенных пошлин и других обязательных платежей, установленных действующим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2.4. Сумма, подлежащая оплате Заказчиком, уменьшается на размер обязательных платежей в бюджеты бюджетной системы Российской Федерации (вкл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ючая налоги, сборы),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ind w:firstLine="709"/>
        <w:jc w:val="both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2.5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. Цена Контракта являе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тся твердой и не может быть изменена, определяется на весь срок исполнения Контракта. Цена Контракта может изменяться только в случаях, порядке и на условиях, установленных законодательством Российской Федерации о контрактной системе в сфере закупок для об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еспечения государственных нужд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и государственным контрактом.</w:t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pStyle w:val="861"/>
        <w:ind w:firstLine="709"/>
        <w:jc w:val="both"/>
        <w:shd w:val="clear" w:color="auto" w:fill="ffffff"/>
        <w:tabs>
          <w:tab w:val="left" w:pos="0" w:leader="none"/>
        </w:tabs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2.6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. Источник финансирования: федеральный бюджет.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</w:p>
    <w:p>
      <w:pPr>
        <w:ind w:firstLine="709"/>
        <w:jc w:val="both"/>
        <w:shd w:val="clear" w:color="auto" w:fill="ffffff"/>
        <w:tabs>
          <w:tab w:val="left" w:pos="0" w:leader="none"/>
        </w:tabs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2.7.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Сверка расчетов по настоящему Контракту проводится между Поставщиком и Заказчиком по инициативе одной из Сторон путем составления и подписания Сторонами соответствующего акта. Сторона, инициирующая проведение сверки расчетов по настоящему Контракту, состав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л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яет и направляет в адрес другой Стороны акт сверки расчетов любым доступным способом, позволяющим подтвердить получение такого уведомления адресатом. В таком случае подписание акта сверки расчетов осуществляется в течение 3 (трёх) рабочих дней со дня его п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олучения. В случае неполучения ответа в течение более 10 (десяти) рабочих дней после направления Стороне акт сверки расчетов считается признанным (согласованным) обеими Сторонами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.</w:t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pStyle w:val="861"/>
        <w:jc w:val="center"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left="0" w:right="0" w:firstLine="0"/>
        <w:jc w:val="center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3. </w:t>
      </w: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lang w:eastAsia="ru-RU"/>
        </w:rPr>
        <w:t xml:space="preserve">Порядок, сроки и условия поставки и приемки Товара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3.1.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П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оставщик самостоятельно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доставляет Товар Заказчику по адресу: г. Иркутск, ул. Академическая,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 д. 70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, кабинет 114 в течение 10 (десяти) рабочих дней с даты заключения Контракта. 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line="240" w:lineRule="auto"/>
        <w:tabs>
          <w:tab w:val="left" w:pos="7980" w:leader="none"/>
        </w:tabs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Режим работы Заказчика: понедельник - четверг с 08-00 до 17-00, пятница с 08-00 до 16-00, перерыв на обед с 12-00 до 12-48.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firstLine="709"/>
        <w:jc w:val="both"/>
        <w:spacing w:after="0" w:line="240" w:lineRule="auto"/>
        <w:tabs>
          <w:tab w:val="left" w:pos="7980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14:ligatures w14:val="none"/>
        </w:rPr>
        <w:t xml:space="preserve">Поставка, отгрузка товара осуществляется силами и за счет средств Поставщика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14:ligatures w14:val="none"/>
        </w:rPr>
        <w:t xml:space="preserve">.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right="-1" w:firstLine="567"/>
        <w:jc w:val="both"/>
        <w:spacing w:after="0" w:afterAutospacing="0" w:line="17" w:lineRule="atLeast"/>
        <w:rPr>
          <w:rFonts w:ascii="PT Astra Serif" w:hAnsi="PT Astra Serif" w:cs="PT Astra Serif"/>
          <w:b w:val="0"/>
          <w:bCs w:val="0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2"/>
          <w:szCs w:val="22"/>
          <w:lang w:eastAsia="ru-RU"/>
        </w:rPr>
        <w:t xml:space="preserve">3.2. Заказчик проводит проверку соответствия наименования, количества и иных характеристик поставляемого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2"/>
          <w:szCs w:val="22"/>
          <w:lang w:eastAsia="ru-RU"/>
        </w:rPr>
        <w:t xml:space="preserve">Товара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2"/>
          <w:szCs w:val="22"/>
          <w:lang w:eastAsia="ru-RU"/>
        </w:rPr>
        <w:t xml:space="preserve">требованиям настоящего Контракта.</w:t>
      </w:r>
      <w:r>
        <w:rPr>
          <w:rFonts w:ascii="PT Astra Serif" w:hAnsi="PT Astra Serif" w:cs="PT Astra Serif"/>
          <w:b w:val="0"/>
          <w:bCs w:val="0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2"/>
          <w:szCs w:val="22"/>
          <w:highlight w:val="none"/>
        </w:rPr>
      </w:r>
    </w:p>
    <w:p>
      <w:pPr>
        <w:ind w:right="-1" w:firstLine="567"/>
        <w:jc w:val="both"/>
        <w:spacing w:after="0" w:afterAutospacing="0" w:line="17" w:lineRule="atLeast"/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3.3.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Обязательным для обеих Сторон условием исполнения настоящего Контракта является проведение экспертизы поставленного Товара в порядке, предусмотренном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Законом № 44-ФЗ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. 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17" w:lineRule="atLeast"/>
        <w:shd w:val="clear" w:color="auto" w:fill="ffffff"/>
        <w:widowControl/>
        <w:rPr>
          <w:rFonts w:ascii="PT Astra Serif" w:hAnsi="PT Astra Serif" w:cs="PT Astra Serif"/>
          <w:color w:val="000000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Экспертиза результатов, предусмотренных Контрактом, может проводит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ься Заказчиком своими силами или к ее проведению могут привлекаться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u w:val="none"/>
        </w:rPr>
        <w:t xml:space="preserve">эксперты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, экспертные организации на основании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контрактов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, заключенных в соответствии с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Законом № 44-ФЗ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Экспертиза осуществляется  в срок, не превышающий срок приемки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Товара.</w:t>
      </w:r>
      <w:r>
        <w:rPr>
          <w:rFonts w:ascii="PT Astra Serif" w:hAnsi="PT Astra Serif" w:cs="PT Astra Serif"/>
          <w:color w:val="000000"/>
          <w:sz w:val="22"/>
          <w:szCs w:val="22"/>
          <w:highlight w:val="white"/>
        </w:rPr>
      </w:r>
      <w:r>
        <w:rPr>
          <w:rFonts w:ascii="PT Astra Serif" w:hAnsi="PT Astra Serif" w:cs="PT Astra Serif"/>
          <w:color w:val="000000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afterAutospacing="0" w:line="17" w:lineRule="atLeast"/>
        <w:shd w:val="clear" w:color="auto" w:fill="ffffff"/>
        <w:widowControl/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3.4.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По факту поставки Товара Поставщик в течение 5 (пяти) рабочих дней предоставляет Заказчику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документы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о приемке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поставленного Товара (товарная накладная или УПД)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в двух экземплярах.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17" w:lineRule="atLeast"/>
        <w:shd w:val="clear" w:color="auto" w:fill="ffffff"/>
        <w:widowControl/>
        <w:rPr>
          <w:rFonts w:ascii="PT Astra Serif" w:hAnsi="PT Astra Serif" w:cs="PT Astra Serif"/>
          <w:color w:val="000000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3.5.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none"/>
        </w:rPr>
        <w:t xml:space="preserve">З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аказчик осуществляет приемку поставленного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Товара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, предусмотрен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н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ого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настоящим Контрактом, в части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его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соответствия условиям Контракта, включая проведение  экспертизы соответствия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поставленного Товара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условиям Контракта, в течение 5 (пяти) рабочих дней с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даты получения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документов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о приемке поставленного Товара (товарная накладн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ая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или УПД)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от Поставщика.</w:t>
      </w:r>
      <w:r>
        <w:rPr>
          <w:rFonts w:ascii="PT Astra Serif" w:hAnsi="PT Astra Serif" w:cs="PT Astra Serif"/>
          <w:color w:val="000000"/>
          <w:sz w:val="22"/>
          <w:szCs w:val="22"/>
          <w:highlight w:val="white"/>
        </w:rPr>
      </w:r>
      <w:r>
        <w:rPr>
          <w:rFonts w:ascii="PT Astra Serif" w:hAnsi="PT Astra Serif" w:cs="PT Astra Serif"/>
          <w:color w:val="000000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afterAutospacing="0" w:line="17" w:lineRule="atLeast"/>
        <w:shd w:val="clear" w:color="auto" w:fill="ffffff"/>
        <w:widowControl/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  <w:t xml:space="preserve">3.6.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случае соответствия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поставленного Товара условиям Контракта Заказчик в срок, указанный в п. 3.5 Контракта, подписывает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документы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о приемке поставленного Товара (товарная накладная или УПД)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и направляет Поставщику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один экземпляр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. При выявленных недостатках Заказчик направляет Поставщику мотивированный отказ от приемки Товара и подписания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д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окументов о приемке поставленного Товара (товарная накладная или УПД)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с перечнем выявленных недостатков.</w:t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17" w:lineRule="atLeast"/>
        <w:shd w:val="clear" w:color="auto" w:fill="ffffff"/>
        <w:widowControl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  <w:t xml:space="preserve">3.7.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 случае мотивированного отказа Заказчика от приемки поставленного Товара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Поставщик обязан устранить данные недостатки в течение 5 (пяти) рабочих дней с даты направления мотивированного отказа Заказчика.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pStyle w:val="861"/>
        <w:spacing w:after="60"/>
        <w:widowControl/>
        <w:rPr>
          <w:rFonts w:ascii="PT Astra Serif" w:hAnsi="PT Astra Serif" w:cs="PT Astra Serif"/>
          <w:b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b/>
          <w:color w:val="000000"/>
          <w:sz w:val="22"/>
          <w:szCs w:val="22"/>
        </w:rPr>
      </w:r>
    </w:p>
    <w:p>
      <w:pPr>
        <w:ind w:left="0" w:right="-1" w:firstLine="0"/>
        <w:jc w:val="center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  <w:t xml:space="preserve">4. </w:t>
      </w: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lang w:eastAsia="ru-RU"/>
        </w:rPr>
        <w:t xml:space="preserve">Взаимодействие сторон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cs="PT Astra Serif"/>
          <w:b/>
          <w:color w:val="000000" w:themeColor="text1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highlight w:val="white"/>
          <w:lang w:eastAsia="ru-RU"/>
        </w:rPr>
        <w:t xml:space="preserve">4.1. Поставщик обязан:</w:t>
      </w:r>
      <w:r>
        <w:rPr>
          <w:rFonts w:ascii="PT Astra Serif" w:hAnsi="PT Astra Serif" w:cs="PT Astra Serif"/>
          <w:b/>
          <w:color w:val="000000" w:themeColor="text1"/>
          <w:sz w:val="22"/>
          <w:szCs w:val="22"/>
          <w:highlight w:val="white"/>
        </w:rPr>
      </w:r>
      <w:r>
        <w:rPr>
          <w:rFonts w:ascii="PT Astra Serif" w:hAnsi="PT Astra Serif" w:cs="PT Astra Serif"/>
          <w:b/>
          <w:color w:val="000000" w:themeColor="text1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white"/>
          <w:lang w:eastAsia="ru-RU"/>
        </w:rPr>
        <w:t xml:space="preserve">4.1.1.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поставить Товар надлежащего качества, ассортимента, комплектности в порядке, количестве, в срок и на условиях, предусмотренных Контрактом и спецификацией (Приложение № 1 к Контракту)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;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whit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4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.1.2. п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ост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авить товар без каких-либо ограничений (залог, запрет, арест и т.п.) к свободному обращению на территории Российской Федерации, Товар должен иметь в установленных законодательством случаях сертификат соответствия или иной документ, подтверждающий качество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и безопасную эксплу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атацию Товара, передаваемый в соответствии с законодательством Российской Федерации вместе с Товаром.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ам, государственным стандартам и т.п.), установленным законодательством Российской Федерации.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;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.1.4.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ракта;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4.1.5. п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оставляемый Товар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должен быть новым (не бывшим в эксплуатации, не переделанным, не поврежденным, не восстановленным). Техническая и эксплуатационная документация должна быть на русском язы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ке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;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  <w14:ligatures w14:val="none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4.1.6. поставить т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овар в упаковке обеспечивающей сохранность Товара при транспортировке. Упаковка должна быть с отсутствием следов механических повреждений;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  <w14:ligatures w14:val="none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eastAsia="PT Astra Serif" w:cs="PT Astra Serif"/>
          <w:color w:val="000000" w:themeColor="text1"/>
          <w:highlight w:val="none"/>
          <w:lang w:eastAsia="ru-RU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4.1.7.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 п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оставщик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 обязан передать Заказчику всю техническую документацию на Товар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 (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паспорт, инструкция по эксплуатации и гарантийный талон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), которая должна быть на русском языке.</w:t>
      </w:r>
      <w:r>
        <w:rPr>
          <w:rFonts w:ascii="PT Astra Serif" w:hAnsi="PT Astra Serif" w:eastAsia="PT Astra Serif" w:cs="PT Astra Serif"/>
          <w:color w:val="000000" w:themeColor="text1"/>
          <w:highlight w:val="none"/>
          <w:lang w:eastAsia="ru-RU"/>
          <w14:ligatures w14:val="none"/>
        </w:rPr>
      </w:r>
      <w:r>
        <w:rPr>
          <w:rFonts w:ascii="PT Astra Serif" w:hAnsi="PT Astra Serif" w:eastAsia="PT Astra Serif" w:cs="PT Astra Serif"/>
          <w:color w:val="000000" w:themeColor="text1"/>
          <w:highlight w:val="none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eastAsia="PT Astra Serif" w:cs="PT Astra Serif"/>
          <w:color w:val="000000" w:themeColor="text1"/>
          <w:highlight w:val="none"/>
          <w:lang w:eastAsia="ru-RU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4.1.8. провести спецпроверку в соответствии с требованиями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по технической защите информации, содержащей, сведения составляющие государственную тайну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. Проверка осуществляется Поставщиком на основании Лицензии на осуществление мероприятий и (или) оказание услуг в области защиты государственной тайны (в части касающейся обеспечения безопасности информации), выданные ФСТЭК России и ФСБ России.</w:t>
      </w:r>
      <w:r>
        <w:rPr>
          <w:rFonts w:ascii="PT Astra Serif" w:hAnsi="PT Astra Serif" w:eastAsia="PT Astra Serif" w:cs="PT Astra Serif"/>
          <w:color w:val="000000" w:themeColor="text1"/>
          <w:highlight w:val="none"/>
          <w:lang w:eastAsia="ru-RU"/>
          <w14:ligatures w14:val="none"/>
        </w:rPr>
      </w:r>
      <w:r>
        <w:rPr>
          <w:rFonts w:ascii="PT Astra Serif" w:hAnsi="PT Astra Serif" w:eastAsia="PT Astra Serif" w:cs="PT Astra Serif"/>
          <w:color w:val="000000" w:themeColor="text1"/>
          <w:highlight w:val="none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eastAsia="PT Astra Serif" w:cs="PT Astra Serif"/>
          <w:color w:val="000000" w:themeColor="text1"/>
          <w:sz w:val="25"/>
          <w:szCs w:val="25"/>
          <w:highlight w:val="none"/>
          <w:lang w:eastAsia="ru-RU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По результатам поставки Товара Поставщик также предоставляет Заказчику отчетные документы:</w:t>
      </w:r>
      <w:r>
        <w:rPr>
          <w:rFonts w:ascii="PT Astra Serif" w:hAnsi="PT Astra Serif" w:eastAsia="PT Astra Serif" w:cs="PT Astra Serif"/>
          <w:color w:val="000000" w:themeColor="text1"/>
          <w:sz w:val="25"/>
          <w:szCs w:val="25"/>
          <w:highlight w:val="none"/>
          <w:lang w:eastAsia="ru-RU"/>
          <w14:ligatures w14:val="none"/>
        </w:rPr>
      </w:r>
      <w:r>
        <w:rPr>
          <w:rFonts w:ascii="PT Astra Serif" w:hAnsi="PT Astra Serif" w:eastAsia="PT Astra Serif" w:cs="PT Astra Serif"/>
          <w:color w:val="000000" w:themeColor="text1"/>
          <w:sz w:val="25"/>
          <w:szCs w:val="25"/>
          <w:highlight w:val="none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284" w:leader="none"/>
          <w:tab w:val="left" w:pos="426" w:leader="none"/>
        </w:tabs>
        <w:rPr>
          <w:rFonts w:ascii="PT Astra Serif" w:hAnsi="PT Astra Serif" w:eastAsia="PT Astra Serif" w:cs="PT Astra Serif"/>
          <w:color w:val="000000" w:themeColor="text1"/>
          <w:sz w:val="25"/>
          <w:szCs w:val="25"/>
          <w:highlight w:val="none"/>
          <w:lang w:eastAsia="ru-RU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- Заключение по результатам специальной проверки.</w:t>
      </w:r>
      <w:r>
        <w:rPr>
          <w:rFonts w:ascii="PT Astra Serif" w:hAnsi="PT Astra Serif" w:eastAsia="PT Astra Serif" w:cs="PT Astra Serif"/>
          <w:color w:val="000000" w:themeColor="text1"/>
          <w:sz w:val="25"/>
          <w:szCs w:val="25"/>
          <w:highlight w:val="none"/>
          <w:lang w:eastAsia="ru-RU"/>
          <w14:ligatures w14:val="none"/>
        </w:rPr>
      </w:r>
      <w:r>
        <w:rPr>
          <w:rFonts w:ascii="PT Astra Serif" w:hAnsi="PT Astra Serif" w:eastAsia="PT Astra Serif" w:cs="PT Astra Serif"/>
          <w:color w:val="000000" w:themeColor="text1"/>
          <w:sz w:val="25"/>
          <w:szCs w:val="25"/>
          <w:highlight w:val="none"/>
          <w:lang w:eastAsia="ru-RU"/>
          <w14:ligatures w14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lang w:eastAsia="ru-RU"/>
        </w:rPr>
        <w:t xml:space="preserve">4.2. Поставщик вправе: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4.2.1. требовать от Заказчика произвести приемку Товара в порядке и в сроки, предусмотренные Контрактом;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  <w:lang w:eastAsia="ru-RU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4.2.4. требовать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уплаты неустоек (штрафов, пеней) в соответствии с разделом 6 Контракта;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  <w:lang w:eastAsia="ru-RU"/>
        </w:rPr>
        <w:t xml:space="preserve">4.3. Заказчик обязуется: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4.3.2. требовать уплаты неустоек (штрафов, пеней) в соответствии с разделом 6 Контракта;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4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.3.3. провести экспертизу поставленного Товара для проверки его соответствия условиям Контракта в соответствии с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white"/>
          <w:lang w:eastAsia="ru-RU"/>
        </w:rPr>
        <w:t xml:space="preserve">Законом № 44-ФЗ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  <w:lang w:eastAsia="ru-RU"/>
        </w:rPr>
        <w:t xml:space="preserve">4.4. Заказчик вправе: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4.4.1. требовать от Поставщика надлежащего исполнения обязательств по Контракту;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4.4.2. требовать от Поставщика своевременного устранения недостатков, выявленных в ходе приемки Товара;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4.4.3. проверять ход и качество выполнения Поставщиком условий Контракта без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вмешательства в оперативно-хозяйственную деятельность Поставщика;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4.4.4.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требовать возмещения убытков в соответствии с разделом 6 Контракта, причиненных по вине Поставщика;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4.4.5. отказаться от приемки и оплаты Товара, не соответствующего условиям Контракта;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4.4.6. принять решение об одностороннем отказе от исполнения Контракта в соответствии с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гражданским законодательством;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0" w:leader="none"/>
          <w:tab w:val="left" w:pos="142" w:leader="none"/>
          <w:tab w:val="left" w:pos="567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  <w:lang w:eastAsia="ru-RU"/>
        </w:rPr>
        <w:t xml:space="preserve">4.4.7. д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о принятия решения об одностороннем отказе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от исполнения Контракта провести экспертизу поставленного Товара с привлечением экспертов, экспертных организаций.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ind w:firstLine="567"/>
        <w:jc w:val="both"/>
        <w:shd w:val="clear" w:color="auto" w:fill="ffffff"/>
        <w:widowControl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ind w:left="0" w:right="0" w:firstLine="0"/>
        <w:jc w:val="center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5. </w:t>
      </w: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lang w:eastAsia="ru-RU"/>
        </w:rPr>
        <w:t xml:space="preserve">Качество Товара  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5.1. Поставщик гарантирует, что поставляемый Товар соответствует требованиям, установленным Контрактом.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Товар должен соответствовать требованиям безопасности, установленным законодательством Российской Федерации для данного вида продукции.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Товар не должен содержать и выделять при хранении и эксплуатации токсичных и агрессивных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веществ.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5.3. Товар должен быть упакован и замаркирован в соответствии с действующими стандартами.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Поставщик поставляет Товар в у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Тара, упаковка и упаковочные материалы должны быть разрешены к применению и соответствовать требованиям нормативных документов (технических регламентов, ГОСТ, СаНПиН), действующих на территории Российской Федерации, и обеспечивать сохранность и качество пр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одукции при транспортировки и хранении. </w:t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На транспортировочну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ю упаковку информация наносится типографским способом или при помощи наклеек и должна содержать следующие данные: товарный знак изготовителя/ продавца, транспортная маркировка и манипуляционные знаки, код/наименование и количество това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ра.</w:t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  <w:r>
        <w:rPr>
          <w:rFonts w:ascii="PT Astra Serif" w:hAnsi="PT Astra Serif" w:cs="PT Astra Serif"/>
          <w:sz w:val="22"/>
          <w:szCs w:val="22"/>
          <w:highlight w:val="white"/>
          <w14:ligatures w14:val="none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5.4.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 Товар должен быть новы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м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(не бывшим в употреблении, в ремонте, не восстановлен, без замены составных частей)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, не долже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н иметь дефектов, связанных с конструкцией,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материалами или работой по его изготовлению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 Товар должен быть пригоден для целей, для которых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Товар</w:t>
      </w:r>
      <w:r>
        <w:rPr>
          <w:rStyle w:val="993"/>
          <w:rFonts w:ascii="PT Astra Serif" w:hAnsi="PT Astra Serif" w:eastAsia="PT Astra Serif" w:cs="PT Astra Serif"/>
          <w:sz w:val="22"/>
          <w:szCs w:val="22"/>
          <w:highlight w:val="white"/>
        </w:rPr>
        <w:t xml:space="preserve"> такого рода обычно используется, и соответствовать установленным техническим характеристикам.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709"/>
        <w:jc w:val="both"/>
        <w:spacing w:after="0" w:afterAutospacing="0" w:line="240" w:lineRule="auto"/>
        <w:tabs>
          <w:tab w:val="left" w:pos="7980" w:leader="none"/>
        </w:tabs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5.5. Требования к гарантии качества Товара, к гарантийному сроку и (или) объему предоставления гарантий его качества, к гарантийному обслу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живанию Товара,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указаны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в разделе 8 Контракта и 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спецификации (приложение № 1 к Контракту). 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pStyle w:val="861"/>
        <w:ind w:firstLine="709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left="0" w:right="0" w:hanging="142"/>
        <w:jc w:val="center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  <w:t xml:space="preserve">6</w:t>
      </w: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lang w:eastAsia="ru-RU"/>
        </w:rPr>
        <w:t xml:space="preserve">Ответственность Сторон 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6.1.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6.2.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6.3. В случае неисполнения или ненадлежащего исполнен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ия обязательств, установленных К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онтрактом, Поставщик  уплачивает Заказчику неустойку (пени, штрафы). 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PT Astra Serif" w:hAnsi="PT Astra Serif" w:cs="PT Astra Serif"/>
          <w:sz w:val="22"/>
          <w:szCs w:val="22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6.4. 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тся Контрактом 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white"/>
        </w:rPr>
        <w:t xml:space="preserve">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6.5. Штрафы начисляются за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неисполнение или ненадлежащее исполнение Поставщиком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6.6.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Размер штрафа устанавливается Контрактом в соответствии с Правилами определения размера штрафа, начисляемого в случае ненадлежащего исполнения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заказчиком, неисполнения или ненадлежащего исполнения поставщиком (подрядчиком, исполнителем) обязательств,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 предусмотренных контрактом (за исключением просрочки исполнения обязательств заказчиком, поставщиком (подряд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чиком, исполнителем), утвержденными постановлением Правительства Российской Федерации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от 30.08.2017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 № 1042 (далее - Правила) и составляет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 – 10 (десять) процентов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цены Контракта.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За каждый факт неисполнения или ненадлежащего исполнения Поставщиком  обязательства, предусмотренного Контрактом, которое не имеет стоимостного выражения, размер штрафа у устанавливается в размере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1000 рублей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6.7.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язательств, предусмотренн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ых Контрактом, Поставщик вправе потребовать уплаты неустоек (штрафов, пеней). 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PT Astra Serif" w:hAnsi="PT Astra Serif" w:cs="PT Astra Serif"/>
          <w:color w:val="000000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6.8. 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1/300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 действующей на дату уплаты пеней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u w:val="none"/>
        </w:rPr>
        <w:t xml:space="preserve">ключевой ставки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Ц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ентрального банка Российской Федерации от не уплаченной в срок суммы. </w:t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6.9. Штрафы начисляются за н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Правилами.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6.10. За каждый факт неисполнени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я Заказчиком обязательств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составляет 1000 рублей.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6.11. Применение неустойки (штрафа, пени) не освобождает Стороны от исполнения обязательств по Контракту.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240" w:lineRule="auto"/>
        <w:widowControl w:val="off"/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6.15.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В случае расторжения Контракта в связи с односторонним отказом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14:ligatures w14:val="none"/>
        </w:rPr>
      </w:r>
    </w:p>
    <w:p>
      <w:pPr>
        <w:jc w:val="center"/>
        <w:shd w:val="clear" w:color="auto" w:fill="ffffff"/>
        <w:widowControl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/>
          <w:color w:val="000000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center"/>
        <w:spacing w:after="0" w:afterAutospacing="0" w:line="17" w:lineRule="atLeast"/>
        <w:shd w:val="clear" w:color="auto" w:fill="ffffff"/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7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. </w:t>
      </w: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highlight w:val="white"/>
          <w:lang w:eastAsia="ru-RU"/>
        </w:rPr>
        <w:t xml:space="preserve">Обстоятельства непреодолимой силы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whit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bCs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7.1. Стороны освобождаются от ответственности за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частичное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или полное неисполнение обязательств по настоящему Контракту, если оно явилось следствием природных явлений, военных действий и прочих обстоятельств непреодолимой силы и если эти обстоятельства непосредственно повлияли на исполнение настоящего Контракта.</w:t>
      </w: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bCs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7.2.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7.3.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В случае если надлежащее исполнение Стороной предусмотренных Контрактом обязательств оказалось невозможным вследствие об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стоятельств непреодолимой силы, такая Сторона без промедления, но не позднее 10 (десяти) календарных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bCs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7.3.1. Извещение должно содержа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ть данные о наступлении и о характере обстоятельств  и возможных последствиях. Сторона также без промедления, должна письменно известить другую Сторону о прекращении этих обстоятельств, однако не позднее 10 (десяти) дней с момента прекращения их действия. </w:t>
      </w: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Cs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7.3.2. Неизвещение или несвоевременн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ое извещение другой Стороны Стороной, для которой создалась невозможность исполнения обязательств по Контракту, о наступлении обстоятельств, освобождающих её от ответственности, влечет за собой утрату права для этой Стороны ссылаться на эти обстоятельства.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contextualSpacing/>
        <w:ind w:left="0" w:right="0" w:firstLine="567"/>
        <w:jc w:val="both"/>
        <w:spacing w:after="0" w:afterAutospacing="0" w:line="17" w:lineRule="atLeast"/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</w:rPr>
        <w:t xml:space="preserve">7.3.3.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</w:rPr>
        <w:t xml:space="preserve">7.3.4.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709"/>
        <w:jc w:val="center"/>
        <w:spacing w:after="0" w:afterAutospacing="0" w:line="240" w:lineRule="auto"/>
        <w:rPr>
          <w:rFonts w:ascii="PT Astra Serif" w:hAnsi="PT Astra Serif" w:cs="PT Astra Serif"/>
          <w:b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8</w:t>
      </w: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. </w:t>
      </w: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Гарантийные обязательств</w:t>
      </w: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а</w:t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8.1. Поставщик гарантирует качество и безопасность поставляемого Товара в соответствии с Контрактом, в объеме, указанном в спецификации (Приложение № 1 к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Контракту), а также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8.2. В течение гарантийного с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рока Поставщик обязан за свой счет устранить недостатки,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производственные дефекты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выявленные в Товаре или комплектующих к нему (при наличии), или заменить Товар или комплектующие к нему, если не докажет, что недостатки возникли в результате нарушения Заказчиком правил эксплуатации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Товара. Устранение недостатков Товара или замена комплектующих к нему производится в срок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не более 10 (десяти) календарных дней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 с даты письменного уведомления Поставщика о выявлении таких недостатков, если иной срок не установлен в таком уведомлении.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8.3. В случае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устранения недостатков в Товаре в период гарантийного срока эксплуатации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 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8.4.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Обеспечение гарантийных обязательств не устанавливается.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center"/>
        <w:spacing w:after="0" w:afterAutospacing="0" w:line="240" w:lineRule="auto"/>
        <w:rPr>
          <w:rFonts w:ascii="PT Astra Serif" w:hAnsi="PT Astra Serif" w:cs="PT Astra Serif"/>
          <w:b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9</w:t>
      </w: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. </w:t>
      </w:r>
      <w:r>
        <w:rPr>
          <w:rFonts w:ascii="PT Astra Serif" w:hAnsi="PT Astra Serif" w:eastAsia="PT Astra Serif" w:cs="PT Astra Serif"/>
          <w:b/>
          <w:sz w:val="22"/>
          <w:szCs w:val="22"/>
          <w:highlight w:val="white"/>
        </w:rPr>
        <w:t xml:space="preserve">Гарантии и заверения</w:t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  <w:r>
        <w:rPr>
          <w:rFonts w:ascii="PT Astra Serif" w:hAnsi="PT Astra Serif" w:cs="PT Astra Serif"/>
          <w:b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  <w:highlight w:val="white"/>
        </w:rPr>
      </w:pP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9.1.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Поставщик гарантирует, что поставленный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</w:t>
      </w:r>
      <w:r>
        <w:rPr>
          <w:rFonts w:ascii="PT Astra Serif" w:hAnsi="PT Astra Serif" w:eastAsia="PT Astra Serif" w:cs="PT Astra Serif"/>
          <w:sz w:val="22"/>
          <w:szCs w:val="22"/>
          <w:highlight w:val="white"/>
        </w:rPr>
        <w:t xml:space="preserve">применены меры материальной ответственности по искам третьих лиц в отношении нарушения исключительных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  <w:r>
        <w:rPr>
          <w:rFonts w:ascii="PT Astra Serif" w:hAnsi="PT Astra Serif" w:cs="PT Astra Serif"/>
          <w:sz w:val="22"/>
          <w:szCs w:val="22"/>
          <w:highlight w:val="white"/>
        </w:rPr>
      </w:r>
      <w:r>
        <w:rPr>
          <w:rFonts w:ascii="PT Astra Serif" w:hAnsi="PT Astra Serif" w:cs="PT Astra Serif"/>
          <w:sz w:val="22"/>
          <w:szCs w:val="22"/>
          <w:highlight w:val="white"/>
        </w:rPr>
      </w:r>
    </w:p>
    <w:p>
      <w:pPr>
        <w:ind w:firstLine="567"/>
        <w:jc w:val="both"/>
        <w:spacing w:after="0" w:afterAutospacing="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9.2. Все убытки, понесенные Заказчиком в случае нарушения исключительных прав третьих лиц на результаты интеллектуа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center"/>
        <w:spacing w:after="0" w:afterAutospacing="0" w:line="17" w:lineRule="atLeast"/>
        <w:tabs>
          <w:tab w:val="left" w:pos="0" w:leader="none"/>
        </w:tabs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center"/>
        <w:spacing w:after="0" w:afterAutospacing="0" w:line="17" w:lineRule="atLeast"/>
        <w:tabs>
          <w:tab w:val="left" w:pos="0" w:leader="none"/>
        </w:tabs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lang w:eastAsia="ru-RU"/>
        </w:rPr>
        <w:t xml:space="preserve">10. Рассмотрение и разрешение споров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10.1. Все споры или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10.2. Претензия в письменной форме направляется Стороне, допустившей нарушение условий Контракта.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10.3. Срок рассмотрения писем, уведомлений или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 претензий не может превышать 7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 (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семи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) календарных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 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10.4. При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неурегулировании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 Сторонами спора в досудебном порядке, спор разрешается в судебном порядке в Арбитражном суде Иркутской области.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0"/>
        <w:jc w:val="left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  <w:outlineLvl w:val="5"/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center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  <w:outlineLvl w:val="5"/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  <w:t xml:space="preserve">11. Конфиденциальность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11.1. Каждая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Сторона отдает себе отчет в том, что ей может потребоваться, в целях надлежащего выполнения Контракта, передавать другой Стороне свою конфиденциальную информацию. Конфиденциальная информация должна всегда оставаться собственностью передавшей Стороны и без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ее предварительного письменного разрешения не может копироваться или иным образом воспроизводиться получившей Стороной. На всех разрешенных копиях конфиденциальной информации всегда должны быть те же указания на их конфиденциальность, что и на оригиналах.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11.2. Каждая Сторона, если она получит от другой Стороны конфиденциальную информацию, обязуется: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11.2.1. Сохранять конфиденциальность этой информации и принимать все необходимые меры для ее защиты.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11.2.2. Использовать эту информацию только в целях должного выполнения своих контрактных обязательств и никогда не использовать ее в каких-либо иных целях без предварительного письменного разрешения передавшей Стороны.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11.2.3. Не передавать эту информацию третьей стороне без предварительного письменного разрешения передавшей Стороны, за исключением случаев, предусмотренных действующим законодательством РФ.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b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11.3. Обязате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льства, оговоренные в раздел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е  11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,</w:t>
      </w:r>
      <w:r>
        <w:rPr>
          <w:rFonts w:ascii="PT Astra Serif" w:hAnsi="PT Astra Serif" w:eastAsia="PT Astra Serif" w:cs="PT Astra Serif"/>
          <w:sz w:val="22"/>
          <w:szCs w:val="22"/>
          <w:highlight w:val="white"/>
          <w:lang w:eastAsia="ru-RU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будут оставаться в силе бессрочно вне зависимости от прекращения действия Контракта.</w:t>
      </w:r>
      <w:r>
        <w:rPr>
          <w:rFonts w:ascii="PT Astra Serif" w:hAnsi="PT Astra Serif" w:cs="PT Astra Serif"/>
          <w:b/>
          <w:sz w:val="22"/>
          <w:szCs w:val="22"/>
          <w14:ligatures w14:val="none"/>
        </w:rPr>
      </w:r>
      <w:r>
        <w:rPr>
          <w:rFonts w:ascii="PT Astra Serif" w:hAnsi="PT Astra Serif" w:cs="PT Astra Serif"/>
          <w:b/>
          <w:sz w:val="22"/>
          <w:szCs w:val="22"/>
          <w14:ligatures w14:val="none"/>
        </w:rPr>
      </w:r>
    </w:p>
    <w:p>
      <w:pPr>
        <w:ind w:firstLine="0"/>
        <w:jc w:val="left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  <w:outlineLvl w:val="5"/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center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  <w:outlineLvl w:val="5"/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  <w:lang w:eastAsia="ru-RU"/>
        </w:rPr>
        <w:t xml:space="preserve">12.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  <w:t xml:space="preserve">Срок действия и порядок расторжения Контракта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709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12.1.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Контракт вступает в силу с момента его подписания обеими Сторонами и действует по __________. Окончание срока действия Контракта не влечет прекращения неисполненных обязательств Сторон по Контракту. 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709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12.2.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порядке, установленном ст. 95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Закона № 44-ФЗ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  <w:lang w:eastAsia="ru-RU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</w:p>
    <w:p>
      <w:pPr>
        <w:ind w:left="0" w:right="0" w:firstLine="0"/>
        <w:jc w:val="center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  <w:lang w:eastAsia="ru-RU"/>
        </w:rPr>
        <w:t xml:space="preserve">13. Прочие положения</w:t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13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.1. Во всем, что не предусмотрено Контрактом, Стороны руководствуются действующим законодательством Российской Федерации.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widowControl w:val="off"/>
        <w:tabs>
          <w:tab w:val="left" w:pos="709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13.2.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Любые изменения и дополнения к настоящему Контракту возможны только в случаях, прямо предусмотренных законом и имеют силу только при условии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их оформления в письменном виде и подписания Сторонами в случаях, предусмотренных ст. 34 и 95 Закона № 44-ФЗ.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1418" w:leader="none"/>
        </w:tabs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13.3. Любая корреспонденция, которую одна Сторона направляет другой Стороне в соответствии с Контрактом, направля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законом от 06.04.2011 № 63-ФЗ «Об электронной подписи».</w:t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  <w:highlight w:val="none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13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.4. В соответствии с п. 1 ст. 6 Федерального закона от 06.04.2011 № 63-ФЗ «Об электронной подписи» и ст. 160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Гражданского кодекса Российской Федерации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Контракт,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дополнительные соглашения, соглашения о расторжении и иные документы по Контракту, могут быть подписаны квалифицированной электронной подписью в форме электронного документа в системе «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Контур.Диадок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» (при наличии).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13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.5.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Заказчик устанавливает к Поставщику единые требования, установленные ч. 1, 1.1. ст. 31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Закона № 44-ФЗ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, а Поставщик подтверждает свое соответствие указанным требованиям в полном объеме.</w:t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i w:val="0"/>
          <w:iCs w:val="0"/>
          <w:color w:val="000000" w:themeColor="text1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13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lang w:eastAsia="ru-RU"/>
        </w:rPr>
        <w:t xml:space="preserve">.6. Настоящий Контракт составлен в двух экземплярах, имеющих одинаковую юридическую силу, по одному экземпляру для каждой из </w:t>
      </w: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2"/>
          <w:szCs w:val="22"/>
          <w:lang w:eastAsia="ru-RU"/>
        </w:rPr>
        <w:t xml:space="preserve">Сторон </w:t>
      </w:r>
      <w:r>
        <w:rPr>
          <w:rFonts w:ascii="PT Astra Serif" w:hAnsi="PT Astra Serif" w:eastAsia="PT Astra Serif" w:cs="PT Astra Serif"/>
          <w:i w:val="0"/>
          <w:iCs w:val="0"/>
          <w:color w:val="000000" w:themeColor="text1"/>
          <w:sz w:val="22"/>
          <w:szCs w:val="22"/>
          <w:lang w:eastAsia="ru-RU"/>
        </w:rPr>
        <w:t xml:space="preserve">либо в форме электронного документа, подписанного усиленными электронными подписями Сторон.</w:t>
      </w:r>
      <w:r>
        <w:rPr>
          <w:rFonts w:ascii="PT Astra Serif" w:hAnsi="PT Astra Serif" w:cs="PT Astra Serif"/>
          <w:i w:val="0"/>
          <w:iCs w:val="0"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i w:val="0"/>
          <w:iCs w:val="0"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tabs>
          <w:tab w:val="left" w:pos="9072" w:leader="none"/>
        </w:tabs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13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.7. При исполнении настоящего Контракта возможность привлечения третьих лиц к исполнению Контракта без уведомления Заказчика не допускается, не допускается перемена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Поставщика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за исключением случая, если новый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Поставщик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является правопреемником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Поставщика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по настоящему Контракту вследствие реорганизации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Поставщика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</w:rPr>
        <w:t xml:space="preserve">в форме преобразования, слияния или присоединения.</w:t>
      </w:r>
      <w:r>
        <w:rPr>
          <w:rFonts w:ascii="PT Astra Serif" w:hAnsi="PT Astra Serif" w:eastAsia="PT Astra Serif" w:cs="PT Astra Serif"/>
          <w:sz w:val="22"/>
          <w:szCs w:val="22"/>
          <w:lang w:eastAsia="ru-RU"/>
        </w:rPr>
        <w:t xml:space="preserve">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567"/>
        <w:jc w:val="both"/>
        <w:spacing w:after="0" w:afterAutospacing="0" w:line="17" w:lineRule="atLeast"/>
        <w:rPr>
          <w:rFonts w:ascii="PT Astra Serif" w:hAnsi="PT Astra Serif" w:cs="PT Astra Serif"/>
          <w:color w:val="000000" w:themeColor="text1"/>
          <w:spacing w:val="3"/>
          <w:sz w:val="22"/>
          <w:szCs w:val="22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13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.8. </w:t>
      </w:r>
      <w:r>
        <w:rPr>
          <w:rFonts w:ascii="PT Astra Serif" w:hAnsi="PT Astra Serif" w:eastAsia="PT Astra Serif" w:cs="PT Astra Serif"/>
          <w:color w:val="000000" w:themeColor="text1"/>
          <w:spacing w:val="3"/>
          <w:sz w:val="22"/>
          <w:szCs w:val="22"/>
          <w:lang w:eastAsia="ru-RU"/>
        </w:rPr>
        <w:t xml:space="preserve"> Все приложения к настоящему Контракту являются его неотъемлемой частью:</w:t>
      </w:r>
      <w:r>
        <w:rPr>
          <w:rFonts w:ascii="PT Astra Serif" w:hAnsi="PT Astra Serif" w:cs="PT Astra Serif"/>
          <w:color w:val="000000" w:themeColor="text1"/>
          <w:spacing w:val="3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pacing w:val="3"/>
          <w:sz w:val="22"/>
          <w:szCs w:val="22"/>
        </w:rPr>
      </w:r>
    </w:p>
    <w:p>
      <w:pPr>
        <w:ind w:firstLine="567"/>
        <w:jc w:val="both"/>
        <w:spacing w:after="0" w:afterAutospacing="0" w:line="17" w:lineRule="atLeast"/>
        <w:rPr>
          <w:rFonts w:ascii="PT Astra Serif" w:hAnsi="PT Astra Serif" w:cs="PT Astra Serif"/>
          <w:color w:val="000000" w:themeColor="text1"/>
          <w:spacing w:val="3"/>
          <w:sz w:val="22"/>
          <w:szCs w:val="22"/>
        </w:rPr>
      </w:pPr>
      <w:r>
        <w:rPr>
          <w:rFonts w:ascii="PT Astra Serif" w:hAnsi="PT Astra Serif" w:eastAsia="PT Astra Serif" w:cs="PT Astra Serif"/>
          <w:color w:val="000000" w:themeColor="text1"/>
          <w:spacing w:val="3"/>
          <w:sz w:val="22"/>
          <w:szCs w:val="22"/>
          <w:lang w:eastAsia="ru-RU"/>
        </w:rPr>
        <w:t xml:space="preserve">Приложение № 1 – Спецификация.</w:t>
      </w:r>
      <w:r>
        <w:rPr>
          <w:rFonts w:ascii="PT Astra Serif" w:hAnsi="PT Astra Serif" w:cs="PT Astra Serif"/>
          <w:color w:val="000000" w:themeColor="text1"/>
          <w:spacing w:val="3"/>
          <w:sz w:val="22"/>
          <w:szCs w:val="22"/>
        </w:rPr>
      </w:r>
      <w:r>
        <w:rPr>
          <w:rFonts w:ascii="PT Astra Serif" w:hAnsi="PT Astra Serif" w:cs="PT Astra Serif"/>
          <w:color w:val="000000" w:themeColor="text1"/>
          <w:spacing w:val="3"/>
          <w:sz w:val="22"/>
          <w:szCs w:val="22"/>
        </w:rPr>
      </w:r>
    </w:p>
    <w:p>
      <w:pPr>
        <w:ind w:firstLine="0"/>
        <w:jc w:val="left"/>
        <w:spacing w:after="0" w:afterAutospacing="0" w:line="17" w:lineRule="atLeast"/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2"/>
          <w:szCs w:val="22"/>
          <w:highlight w:val="none"/>
        </w:rPr>
      </w:r>
    </w:p>
    <w:p>
      <w:pPr>
        <w:pStyle w:val="861"/>
        <w:ind w:firstLine="0"/>
        <w:jc w:val="both"/>
        <w:tabs>
          <w:tab w:val="left" w:pos="709" w:leader="none"/>
        </w:tabs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pStyle w:val="896"/>
        <w:ind w:right="0" w:firstLine="0"/>
        <w:jc w:val="center"/>
        <w:widowControl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14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.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АДРЕСА, РЕКВИЗИТЫ И ПОДПИСИ СТОРОН</w:t>
      </w:r>
      <w:r>
        <w:rPr>
          <w:rFonts w:ascii="PT Astra Serif" w:hAnsi="PT Astra Serif" w:eastAsia="PT Astra Serif" w:cs="PT Astra Serif"/>
          <w:b/>
          <w:sz w:val="22"/>
          <w:szCs w:val="22"/>
        </w:rPr>
        <w:t xml:space="preserve"> 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896"/>
        <w:ind w:right="0" w:firstLine="0"/>
        <w:widowControl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ab/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32"/>
        <w:gridCol w:w="473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2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b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2"/>
                <w:szCs w:val="22"/>
              </w:rPr>
              <w:t xml:space="preserve">Поставщик:</w:t>
            </w:r>
            <w:r>
              <w:rPr>
                <w:rFonts w:ascii="PT Astra Serif" w:hAnsi="PT Astra Serif" w:cs="PT Astra Serif"/>
                <w:b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2" w:type="dxa"/>
            <w:vAlign w:val="top"/>
            <w:textDirection w:val="lrTb"/>
            <w:noWrap w:val="false"/>
          </w:tcPr>
          <w:p>
            <w:pPr>
              <w:pStyle w:val="861"/>
              <w:ind w:left="35" w:hanging="35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2"/>
                <w:szCs w:val="22"/>
              </w:rPr>
              <w:t xml:space="preserve">ЗАКАЗЧИК: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2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___________________/_____________/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32" w:type="dxa"/>
            <w:vAlign w:val="top"/>
            <w:textDirection w:val="lrTb"/>
            <w:noWrap w:val="false"/>
          </w:tcPr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b/>
                <w:color w:val="000000"/>
              </w:rPr>
              <w:t xml:space="preserve">Управление Федеральной службы государственной регистрации, кадастра и картографии по Иркутской области (Управление Росреестра по Иркутской области)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664056, Иркутская область, г. Иркутск,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ул. Академическая, 70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Тел. 8 (3952) 450-100, 450-200;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эл. по</w:t>
            </w: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чта: 38_upr@rosreestr.ru,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ИНН 3808114653, КПП 381201001,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ОГРН 1043801066760, ОКТМО 25701000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Получатель - УФК по Приморскому краю (УПРАВЛЕНИЕ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РОСРЕЕСТРА ПО ИРКУТСКОЙ ОБЛАСТИ, 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л/с 03341А39050) 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Казначейский счет 03211643000000012010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Единый казначейский счет 40102810545370000012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ОКЦ № 1 ДАЛЬНЕВОСТОЧНОГО ГУ БАНКА РОССИИ// УФК по Приморскому краю, г. Владивосток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БИК ТОФК 010507002</w:t>
            </w:r>
            <w:r/>
          </w:p>
          <w:p>
            <w:pPr>
              <w:ind w:left="12"/>
              <w:jc w:val="both"/>
              <w:spacing w:after="0" w:line="240" w:lineRule="auto"/>
            </w:pPr>
            <w:r/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Казначейский счет (доходный) </w:t>
            </w:r>
            <w:r/>
          </w:p>
          <w:p>
            <w:pPr>
              <w:ind w:left="12"/>
              <w:jc w:val="both"/>
              <w:spacing w:after="0" w:line="240" w:lineRule="auto"/>
              <w:rPr>
                <w:rFonts w:ascii="Tinos" w:hAnsi="Tinos" w:eastAsia="Tinos" w:cs="Tinos"/>
                <w:color w:val="000000" w:themeColor="text1"/>
                <w:lang w:eastAsia="ru-RU"/>
              </w:rPr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03100643000000013400</w:t>
            </w:r>
            <w:r>
              <w:rPr>
                <w:rFonts w:ascii="Tinos" w:hAnsi="Tinos" w:eastAsia="Tinos" w:cs="Tinos"/>
                <w:color w:val="000000" w:themeColor="text1"/>
                <w:lang w:eastAsia="ru-RU"/>
              </w:rPr>
            </w:r>
            <w:r>
              <w:rPr>
                <w:rFonts w:ascii="Tinos" w:hAnsi="Tinos" w:eastAsia="Tinos" w:cs="Tinos"/>
                <w:color w:val="000000" w:themeColor="text1"/>
                <w:lang w:eastAsia="ru-RU"/>
              </w:rPr>
            </w:r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Единый казначейский счет 40102810145370000026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Лицевой счет (доходный) 04341А39050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Получатель – УФК по Иркутской области УПРАВЛЕНИЕ ФЕДЕРАЛЬНОЙ СЛУЖБЫ ГОСУДАРСТВЕННОЙ РЕГИСТРАЦИИ, КАДАСТРА И КАРТОГРАФИИ ПО ИРКУТСКОЙ ОБЛАСТИ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Код по Сводному реестру 001А3905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ОКЦ № 4 Сибирского ГУ Банка России//УФК по Иркутской области г. Иркутск</w:t>
            </w:r>
            <w:r/>
          </w:p>
          <w:p>
            <w:pPr>
              <w:ind w:left="12"/>
              <w:jc w:val="both"/>
              <w:spacing w:after="0" w:line="240" w:lineRule="auto"/>
            </w:pPr>
            <w:r>
              <w:rPr>
                <w:rFonts w:ascii="Tinos" w:hAnsi="Tinos" w:eastAsia="Tinos" w:cs="Tinos"/>
                <w:color w:val="000000" w:themeColor="text1"/>
                <w:lang w:eastAsia="ru-RU"/>
              </w:rPr>
              <w:t xml:space="preserve">БИК ТОФК 012520101</w:t>
            </w:r>
            <w:r/>
          </w:p>
          <w:p>
            <w:pPr>
              <w:ind w:left="12"/>
              <w:jc w:val="both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nos" w:hAnsi="Tinos" w:eastAsia="Tinos" w:cs="Tinos"/>
                <w:color w:val="000000" w:themeColor="text1"/>
                <w:sz w:val="20"/>
                <w:szCs w:val="20"/>
                <w:lang w:eastAsia="ru-RU"/>
              </w:rPr>
              <w:t xml:space="preserve">КБК 321 116 07010 01 9000 140 -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</w:t>
            </w:r>
            <w:r>
              <w:rPr>
                <w:rFonts w:ascii="Tinos" w:hAnsi="Tinos" w:eastAsia="Tinos" w:cs="Tinos"/>
                <w:color w:val="000000" w:themeColor="text1"/>
                <w:sz w:val="20"/>
                <w:szCs w:val="20"/>
                <w:lang w:eastAsia="ru-RU"/>
              </w:rPr>
              <w:t xml:space="preserve">льным государственным органом, федеральным казенным учреждением, государственной корпорацией (иные штрафы).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left="0" w:right="0" w:firstLine="0"/>
              <w:jc w:val="both"/>
              <w:spacing w:after="0" w:afterAutospacing="0" w:line="240" w:lineRule="auto"/>
              <w:rPr>
                <w:rFonts w:ascii="Tinos" w:hAnsi="Tinos" w:cs="Tinos"/>
                <w:sz w:val="18"/>
                <w:szCs w:val="18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0"/>
                <w:szCs w:val="20"/>
                <w:lang w:eastAsia="ru-RU"/>
              </w:rPr>
              <w:t xml:space="preserve">КБК 321 116 07090 01 9000 140 - иные штрафы, неустойки, пени, уплаченные в соответствии с законом или договором в случае неисполнения или ненадлежащ</w:t>
            </w:r>
            <w:r>
              <w:rPr>
                <w:rFonts w:ascii="Tinos" w:hAnsi="Tinos" w:eastAsia="Tinos" w:cs="Tinos"/>
                <w:color w:val="000000" w:themeColor="text1"/>
                <w:sz w:val="20"/>
                <w:szCs w:val="20"/>
                <w:lang w:eastAsia="ru-RU"/>
              </w:rPr>
              <w:t xml:space="preserve">его исполнения обязательств перед федеральным государственным органом, федеральным казенным учреждением, Центральным банком Российской Федерации, государственной корпорацией (иные штрафы).</w:t>
            </w:r>
            <w:r>
              <w:rPr>
                <w:rFonts w:ascii="Tinos" w:hAnsi="Tinos" w:cs="Tinos"/>
                <w:sz w:val="18"/>
                <w:szCs w:val="18"/>
                <w:highlight w:val="white"/>
              </w:rPr>
            </w:r>
            <w:r>
              <w:rPr>
                <w:rFonts w:ascii="Tinos" w:hAnsi="Tinos" w:cs="Tinos"/>
                <w:sz w:val="18"/>
                <w:szCs w:val="18"/>
                <w:highlight w:val="white"/>
              </w:rPr>
            </w:r>
          </w:p>
          <w:p>
            <w:pPr>
              <w:rPr>
                <w:rFonts w:ascii="PT Astra Serif" w:hAnsi="PT Astra Serif" w:cs="PT Astra Serif"/>
                <w:sz w:val="22"/>
                <w:szCs w:val="22"/>
                <w14:ligatures w14:val="none"/>
              </w:rPr>
            </w:pPr>
            <w:r>
              <w:rPr>
                <w:rFonts w:ascii="PT Astra Serif" w:hAnsi="PT Astra Serif" w:cs="PT Astra Serif"/>
                <w:sz w:val="22"/>
                <w:szCs w:val="22"/>
                <w14:ligatures w14:val="none"/>
              </w:rPr>
            </w:r>
            <w:r>
              <w:rPr>
                <w:rFonts w:ascii="PT Astra Serif" w:hAnsi="PT Astra Serif" w:cs="PT Astra Serif"/>
                <w:sz w:val="22"/>
                <w:szCs w:val="22"/>
                <w14:ligatures w14:val="none"/>
              </w:rPr>
            </w:r>
            <w:r>
              <w:rPr>
                <w:rFonts w:ascii="PT Astra Serif" w:hAnsi="PT Astra Serif" w:cs="PT Astra Serif"/>
                <w:sz w:val="22"/>
                <w:szCs w:val="22"/>
                <w14:ligatures w14:val="none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  <w:highlight w:val="none"/>
              </w:rPr>
            </w:r>
          </w:p>
          <w:p>
            <w:pPr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  <w:highlight w:val="none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_________________________ /_____________/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</w:tc>
      </w:tr>
    </w:tbl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Приложение № 1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 государственному контракту №___________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right"/>
        <w:widowControl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от «__» ______________ 2026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г.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center"/>
        <w:widowControl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861"/>
        <w:jc w:val="center"/>
        <w:widowControl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  <w:t xml:space="preserve">СПЕЦИФИКАЦИЯ</w:t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861"/>
        <w:jc w:val="center"/>
        <w:widowControl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p>
      <w:pPr>
        <w:pStyle w:val="861"/>
        <w:jc w:val="center"/>
        <w:widowControl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tbl>
      <w:tblPr>
        <w:tblW w:w="10168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553"/>
        <w:gridCol w:w="2618"/>
        <w:gridCol w:w="1100"/>
        <w:gridCol w:w="1085"/>
        <w:gridCol w:w="1771"/>
        <w:gridCol w:w="1771"/>
        <w:gridCol w:w="12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83"/>
        </w:trPr>
        <w:tc>
          <w:tcPr>
            <w:tcW w:w="603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№ п/п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2853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Cs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szCs w:val="22"/>
                <w:lang w:eastAsia="ru-RU"/>
              </w:rPr>
              <w:t xml:space="preserve">Наименование товара и характеристики</w:t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</w:r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2"/>
                <w:szCs w:val="22"/>
              </w:rPr>
              <w:t xml:space="preserve">Ед. изм.</w:t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color w:val="000000"/>
                <w:sz w:val="22"/>
                <w:szCs w:val="22"/>
              </w:rPr>
            </w:r>
          </w:p>
        </w:tc>
        <w:tc>
          <w:tcPr>
            <w:tcW w:w="1183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bCs/>
                <w:color w:val="000000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sz w:val="22"/>
                <w:szCs w:val="22"/>
              </w:rPr>
              <w:t xml:space="preserve">Кол-во.</w:t>
            </w:r>
            <w:r>
              <w:rPr>
                <w:rFonts w:ascii="PT Astra Serif" w:hAnsi="PT Astra Serif" w:cs="PT Astra Serif"/>
                <w:bCs/>
                <w:color w:val="000000"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color w:val="000000"/>
                <w:sz w:val="22"/>
                <w:szCs w:val="22"/>
              </w:rPr>
            </w:r>
          </w:p>
        </w:tc>
        <w:tc>
          <w:tcPr>
            <w:tcW w:w="1930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Страна происхождения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1930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Cs/>
                <w:sz w:val="22"/>
                <w:szCs w:val="22"/>
              </w:rPr>
              <w:t xml:space="preserve">Цена за единицу услуги, руб. </w:t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</w:r>
          </w:p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Cs/>
                <w:sz w:val="22"/>
                <w:szCs w:val="22"/>
              </w:rPr>
              <w:t xml:space="preserve">(с НДС/без НДС)</w:t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Cs/>
                <w:sz w:val="22"/>
                <w:szCs w:val="22"/>
              </w:rPr>
              <w:t xml:space="preserve">Цена итого, руб.</w:t>
            </w:r>
            <w:r>
              <w:rPr>
                <w:rFonts w:ascii="PT Astra Serif" w:hAnsi="PT Astra Serif" w:eastAsia="PT Astra Serif" w:cs="PT Astra Serif"/>
                <w:bCs/>
                <w:sz w:val="22"/>
                <w:szCs w:val="22"/>
              </w:rPr>
              <w:t xml:space="preserve"> (с НДС/без НДС)</w:t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211"/>
        </w:trPr>
        <w:tc>
          <w:tcPr>
            <w:tcW w:w="603" w:type="dxa"/>
            <w:vAlign w:val="center"/>
            <w:textDirection w:val="lrTb"/>
            <w:noWrap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1</w:t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2853" w:type="dxa"/>
            <w:vAlign w:val="top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11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1183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1930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1930" w:type="dxa"/>
            <w:vAlign w:val="center"/>
            <w:textDirection w:val="lrTb"/>
            <w:noWrap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  <w:tc>
          <w:tcPr>
            <w:tcW w:w="1384" w:type="dxa"/>
            <w:vAlign w:val="center"/>
            <w:textDirection w:val="lrTb"/>
            <w:noWrap w:val="false"/>
          </w:tcPr>
          <w:p>
            <w:pPr>
              <w:pStyle w:val="861"/>
              <w:jc w:val="center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  <w:r>
              <w:rPr>
                <w:rFonts w:ascii="PT Astra Serif" w:hAnsi="PT Astra Serif" w:cs="PT Astra Serif"/>
                <w:sz w:val="22"/>
                <w:szCs w:val="22"/>
              </w:rPr>
            </w:r>
          </w:p>
        </w:tc>
      </w:tr>
    </w:tbl>
    <w:p>
      <w:pPr>
        <w:pStyle w:val="861"/>
        <w:jc w:val="both"/>
        <w:widowControl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  <w:lang w:eastAsia="ar-SA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426"/>
        <w:jc w:val="both"/>
        <w:spacing w:after="60" w:line="240" w:lineRule="auto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Г</w:t>
      </w:r>
      <w:r>
        <w:rPr>
          <w:rFonts w:ascii="PT Astra Serif" w:hAnsi="PT Astra Serif" w:cs="PT Astra Serif"/>
          <w:sz w:val="22"/>
          <w:szCs w:val="22"/>
        </w:rPr>
        <w:t xml:space="preserve">а</w:t>
      </w:r>
      <w:r>
        <w:rPr>
          <w:rFonts w:ascii="PT Astra Serif" w:hAnsi="PT Astra Serif" w:cs="PT Astra Serif"/>
          <w:sz w:val="22"/>
          <w:szCs w:val="22"/>
        </w:rPr>
        <w:t xml:space="preserve">рантийный </w:t>
      </w:r>
      <w:r>
        <w:rPr>
          <w:rFonts w:ascii="PT Astra Serif" w:hAnsi="PT Astra Serif" w:cs="PT Astra Serif"/>
          <w:sz w:val="22"/>
          <w:szCs w:val="22"/>
        </w:rPr>
        <w:t xml:space="preserve">срок Товара должен быть не менее 12 месяцев со дня подписания Заказчиком документа о приемке. Если в течение гарантийного периода обнаружатся производственные дефекты в товаре, то Поставщик обязан устранить неисправности, либо заменить некачественный товар</w:t>
      </w:r>
      <w:r>
        <w:rPr>
          <w:rFonts w:ascii="PT Astra Serif" w:hAnsi="PT Astra Serif" w:cs="PT Astra Serif"/>
          <w:sz w:val="22"/>
          <w:szCs w:val="22"/>
        </w:rPr>
        <w:t xml:space="preserve"> в течение 10 календарных дней после обнаружения Заказчиком производственных дефектов.</w:t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ind w:firstLine="426"/>
        <w:jc w:val="both"/>
        <w:spacing w:after="60" w:line="240" w:lineRule="auto"/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cs="PT Astra Serif"/>
          <w:sz w:val="22"/>
          <w:szCs w:val="22"/>
          <w:lang w:eastAsia="ar-SA"/>
        </w:rPr>
      </w:r>
      <w:r>
        <w:rPr>
          <w:rFonts w:ascii="PT Astra Serif" w:hAnsi="PT Astra Serif" w:cs="PT Astra Serif"/>
          <w:sz w:val="22"/>
          <w:szCs w:val="22"/>
        </w:rPr>
        <w:t xml:space="preserve">Требование к Поставщику: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pStyle w:val="920"/>
        <w:numPr>
          <w:ilvl w:val="0"/>
          <w:numId w:val="15"/>
        </w:numPr>
        <w:jc w:val="both"/>
        <w:spacing w:after="60" w:line="240" w:lineRule="auto"/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cs="PT Astra Serif"/>
          <w:sz w:val="22"/>
          <w:szCs w:val="22"/>
        </w:rPr>
        <w:t xml:space="preserve">Наличие лицензии на осуществление мероприятий и (или) оказание услуг в области защиты государственной тайны (в части касающейся обеспечения безопасности информации), выданные ФСТЭК России и ФСБ России.</w:t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ind w:firstLine="426"/>
        <w:jc w:val="both"/>
        <w:spacing w:after="60" w:line="240" w:lineRule="auto"/>
      </w:pPr>
      <w:r>
        <w:rPr>
          <w:rFonts w:ascii="PT Astra Serif" w:hAnsi="PT Astra Serif" w:cs="PT Astra Serif"/>
          <w:sz w:val="22"/>
          <w:szCs w:val="22"/>
        </w:rPr>
        <w:t xml:space="preserve">Спецпроверка проводится Поставщиком в соответствии с действующими </w:t>
      </w:r>
      <w:r>
        <w:rPr>
          <w:rFonts w:ascii="PT Astra Serif" w:hAnsi="PT Astra Serif" w:cs="PT Astra Serif"/>
          <w:sz w:val="22"/>
          <w:szCs w:val="22"/>
        </w:rPr>
        <w:t xml:space="preserve">лицензиями ФСТЭК России и ФСБ России (в части касающейся обеспечения</w:t>
      </w:r>
      <w:r>
        <w:rPr>
          <w:rFonts w:ascii="PT Astra Serif" w:hAnsi="PT Astra Serif" w:cs="PT Astra Serif"/>
          <w:sz w:val="22"/>
          <w:szCs w:val="22"/>
        </w:rPr>
        <w:t xml:space="preserve"> </w:t>
      </w:r>
      <w:r>
        <w:rPr>
          <w:rFonts w:ascii="PT Astra Serif" w:hAnsi="PT Astra Serif" w:cs="PT Astra Serif"/>
          <w:sz w:val="22"/>
          <w:szCs w:val="22"/>
        </w:rPr>
        <w:t xml:space="preserve">безопасности информации), а также в соответствии с требованиями нормативно-правовых документов Российской Федерации в области защиты государственной</w:t>
      </w:r>
      <w:r>
        <w:rPr>
          <w:rFonts w:ascii="PT Astra Serif" w:hAnsi="PT Astra Serif" w:cs="PT Astra Serif"/>
          <w:sz w:val="22"/>
          <w:szCs w:val="22"/>
        </w:rPr>
        <w:t xml:space="preserve"> </w:t>
      </w:r>
      <w:r>
        <w:rPr>
          <w:rFonts w:ascii="PT Astra Serif" w:hAnsi="PT Astra Serif" w:cs="PT Astra Serif"/>
          <w:sz w:val="22"/>
          <w:szCs w:val="22"/>
        </w:rPr>
        <w:t xml:space="preserve">тайны - «Требования по технической защите информации, содержащей, сведения</w:t>
      </w:r>
      <w:r>
        <w:rPr>
          <w:rFonts w:ascii="PT Astra Serif" w:hAnsi="PT Astra Serif" w:cs="PT Astra Serif"/>
          <w:sz w:val="22"/>
          <w:szCs w:val="22"/>
        </w:rPr>
        <w:t xml:space="preserve"> </w:t>
      </w:r>
      <w:r>
        <w:rPr>
          <w:rFonts w:ascii="PT Astra Serif" w:hAnsi="PT Astra Serif" w:cs="PT Astra Serif"/>
          <w:sz w:val="22"/>
          <w:szCs w:val="22"/>
        </w:rPr>
        <w:t xml:space="preserve">составляющие государственную тайну», приказ ФСТЭК России № 025 от 20.10.2016</w:t>
      </w:r>
      <w:r>
        <w:rPr>
          <w:rFonts w:ascii="PT Astra Serif" w:hAnsi="PT Astra Serif" w:cs="PT Astra Serif"/>
          <w:sz w:val="22"/>
          <w:szCs w:val="22"/>
        </w:rPr>
        <w:t xml:space="preserve"> </w:t>
      </w:r>
      <w:r>
        <w:rPr>
          <w:rFonts w:ascii="PT Astra Serif" w:hAnsi="PT Astra Serif" w:cs="PT Astra Serif"/>
          <w:sz w:val="22"/>
          <w:szCs w:val="22"/>
        </w:rPr>
        <w:t xml:space="preserve">с учетом изменений, утвержденных приказом ФСТЭК России № 02 от 27.02.2020.</w:t>
      </w:r>
      <w:r>
        <w:rPr>
          <w:rFonts w:ascii="PT Astra Serif" w:hAnsi="PT Astra Serif" w:cs="PT Astra Serif"/>
          <w:sz w:val="22"/>
          <w:szCs w:val="22"/>
        </w:rPr>
      </w:r>
      <w:r/>
    </w:p>
    <w:p>
      <w:pPr>
        <w:jc w:val="both"/>
        <w:spacing w:after="60" w:line="240" w:lineRule="auto"/>
        <w:rPr>
          <w:rFonts w:ascii="PT Astra Serif" w:hAnsi="PT Astra Serif" w:cs="PT Astra Serif"/>
          <w:sz w:val="22"/>
          <w:szCs w:val="22"/>
          <w14:ligatures w14:val="none"/>
        </w:rPr>
      </w:pP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  <w:r>
        <w:rPr>
          <w:rFonts w:ascii="PT Astra Serif" w:hAnsi="PT Astra Serif" w:cs="PT Astra Serif"/>
          <w:sz w:val="22"/>
          <w:szCs w:val="22"/>
          <w14:ligatures w14:val="none"/>
        </w:rPr>
      </w:r>
    </w:p>
    <w:p>
      <w:pPr>
        <w:pStyle w:val="861"/>
        <w:jc w:val="both"/>
        <w:widowControl/>
        <w:rPr>
          <w:rFonts w:ascii="PT Astra Serif" w:hAnsi="PT Astra Serif" w:cs="PT Astra Serif"/>
          <w:b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</w:r>
      <w:r>
        <w:rPr>
          <w:rFonts w:ascii="PT Astra Serif" w:hAnsi="PT Astra Serif" w:cs="PT Astra Serif"/>
          <w:b/>
          <w:sz w:val="22"/>
          <w:szCs w:val="22"/>
        </w:rPr>
      </w:r>
      <w:r>
        <w:rPr>
          <w:rFonts w:ascii="PT Astra Serif" w:hAnsi="PT Astra Serif" w:cs="PT Astra Serif"/>
          <w:b/>
          <w:sz w:val="22"/>
          <w:szCs w:val="22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94"/>
        <w:gridCol w:w="5002"/>
      </w:tblGrid>
      <w:tr>
        <w:tblPrEx/>
        <w:trPr>
          <w:trHeight w:val="8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6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Поставщик</w:t>
            </w: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: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_____________________ / </w:t>
            </w: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__________/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1" w:type="dxa"/>
            <w:vAlign w:val="top"/>
            <w:textDirection w:val="lrTb"/>
            <w:noWrap w:val="false"/>
          </w:tcPr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ЗАКАЗЧИК</w:t>
            </w: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: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  <w:p>
            <w:pPr>
              <w:pStyle w:val="861"/>
              <w:jc w:val="both"/>
              <w:widowControl/>
              <w:rPr>
                <w:rFonts w:ascii="PT Astra Serif" w:hAnsi="PT Astra Serif" w:cs="PT Astra Serif"/>
                <w:b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______________________ / </w:t>
            </w:r>
            <w:r>
              <w:rPr>
                <w:rFonts w:ascii="PT Astra Serif" w:hAnsi="PT Astra Serif" w:eastAsia="PT Astra Serif" w:cs="PT Astra Serif"/>
                <w:b/>
                <w:sz w:val="22"/>
                <w:szCs w:val="22"/>
                <w:lang w:eastAsia="ar-SA"/>
              </w:rPr>
              <w:t xml:space="preserve">____________/</w:t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  <w:r>
              <w:rPr>
                <w:rFonts w:ascii="PT Astra Serif" w:hAnsi="PT Astra Serif" w:cs="PT Astra Serif"/>
                <w:b/>
                <w:sz w:val="22"/>
                <w:szCs w:val="22"/>
              </w:rPr>
            </w:r>
          </w:p>
        </w:tc>
      </w:tr>
    </w:tbl>
    <w:p>
      <w:pPr>
        <w:pStyle w:val="861"/>
        <w:jc w:val="both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right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right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right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right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jc w:val="right"/>
        <w:tabs>
          <w:tab w:val="left" w:pos="709" w:leader="none"/>
        </w:tabs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jc w:val="righ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jc w:val="left"/>
        <w:shd w:val="clear" w:color="auto" w:fill="ffffff"/>
        <w:tabs>
          <w:tab w:val="left" w:pos="1195" w:leader="none"/>
        </w:tabs>
        <w:rPr>
          <w:rFonts w:ascii="PT Astra Serif" w:hAnsi="PT Astra Serif" w:cs="PT Astra Serif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  <w:r>
        <w:rPr>
          <w:rFonts w:ascii="PT Astra Serif" w:hAnsi="PT Astra Serif" w:cs="PT Astra Serif"/>
          <w:sz w:val="22"/>
          <w:szCs w:val="22"/>
          <w:highlight w:val="none"/>
        </w:rPr>
      </w:r>
    </w:p>
    <w:p>
      <w:pPr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  <w:r>
        <w:rPr>
          <w:rFonts w:ascii="PT Astra Serif" w:hAnsi="PT Astra Serif" w:cs="PT Astra Serif"/>
          <w:sz w:val="22"/>
          <w:szCs w:val="22"/>
        </w:rPr>
      </w:r>
    </w:p>
    <w:p>
      <w:pPr>
        <w:pStyle w:val="861"/>
        <w:widowControl/>
        <w:rPr>
          <w:rFonts w:ascii="PT Astra Serif" w:hAnsi="PT Astra Serif" w:cs="PT Astra Serif"/>
          <w:b/>
          <w:bCs/>
          <w:sz w:val="22"/>
          <w:szCs w:val="22"/>
        </w:rPr>
      </w:pPr>
      <w:r>
        <w:rPr>
          <w:rFonts w:ascii="PT Astra Serif" w:hAnsi="PT Astra Serif" w:eastAsia="PT Astra Serif" w:cs="PT Astra Serif"/>
          <w:b/>
          <w:sz w:val="22"/>
          <w:szCs w:val="22"/>
          <w:lang w:eastAsia="ar-SA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  <w:r>
        <w:rPr>
          <w:rFonts w:ascii="PT Astra Serif" w:hAnsi="PT Astra Serif" w:cs="PT Astra Serif"/>
          <w:b/>
          <w:bCs/>
          <w:sz w:val="22"/>
          <w:szCs w:val="22"/>
        </w:rPr>
      </w:r>
    </w:p>
    <w:sectPr>
      <w:footnotePr/>
      <w:endnotePr/>
      <w:type w:val="nextPage"/>
      <w:pgSz w:w="11906" w:h="16838" w:orient="portrait"/>
      <w:pgMar w:top="993" w:right="850" w:bottom="1134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Century Schoolbook">
    <w:panose1 w:val="02060606050605020204"/>
  </w:font>
  <w:font w:name="MS Sans Serif">
    <w:panose1 w:val="02000603000000000000"/>
  </w:font>
  <w:font w:name="Calibri Light">
    <w:panose1 w:val="020F0502020204030204"/>
  </w:font>
  <w:font w:name="Mangal">
    <w:panose1 w:val="02040503050306020203"/>
  </w:font>
  <w:font w:name="Courier New">
    <w:panose1 w:val="02070409020205020404"/>
  </w:font>
  <w:font w:name="Lucida Sans Unicode">
    <w:panose1 w:val="020B0502040504020204"/>
  </w:font>
  <w:font w:name="Verdana">
    <w:panose1 w:val="020B060403050404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8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76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96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16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936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656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376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096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16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536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28" w:hanging="4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2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788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08" w:hanging="180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5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5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5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5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5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5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1"/>
    <w:next w:val="861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basedOn w:val="913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1"/>
    <w:next w:val="861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basedOn w:val="913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1"/>
    <w:next w:val="861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basedOn w:val="913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1"/>
    <w:next w:val="861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basedOn w:val="913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1"/>
    <w:next w:val="861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basedOn w:val="913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1"/>
    <w:next w:val="861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basedOn w:val="913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1"/>
    <w:next w:val="861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basedOn w:val="913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1"/>
    <w:next w:val="861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basedOn w:val="913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1"/>
    <w:next w:val="861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basedOn w:val="913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61"/>
    <w:next w:val="861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basedOn w:val="913"/>
    <w:link w:val="703"/>
    <w:uiPriority w:val="10"/>
    <w:rPr>
      <w:sz w:val="48"/>
      <w:szCs w:val="48"/>
    </w:rPr>
  </w:style>
  <w:style w:type="paragraph" w:styleId="705">
    <w:name w:val="Subtitle"/>
    <w:basedOn w:val="861"/>
    <w:next w:val="861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basedOn w:val="913"/>
    <w:link w:val="705"/>
    <w:uiPriority w:val="11"/>
    <w:rPr>
      <w:sz w:val="24"/>
      <w:szCs w:val="24"/>
    </w:rPr>
  </w:style>
  <w:style w:type="paragraph" w:styleId="707">
    <w:name w:val="Quote"/>
    <w:basedOn w:val="861"/>
    <w:next w:val="861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1"/>
    <w:next w:val="861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1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basedOn w:val="913"/>
    <w:link w:val="711"/>
    <w:uiPriority w:val="99"/>
  </w:style>
  <w:style w:type="paragraph" w:styleId="713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basedOn w:val="913"/>
    <w:link w:val="713"/>
    <w:uiPriority w:val="99"/>
  </w:style>
  <w:style w:type="paragraph" w:styleId="715">
    <w:name w:val="Caption"/>
    <w:basedOn w:val="861"/>
    <w:next w:val="861"/>
    <w:link w:val="7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913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913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next w:val="861"/>
    <w:link w:val="861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paragraph" w:styleId="862">
    <w:name w:val="Заголовок 1"/>
    <w:basedOn w:val="861"/>
    <w:next w:val="861"/>
    <w:link w:val="907"/>
    <w:qFormat/>
    <w:pPr>
      <w:keepNext/>
      <w:widowControl/>
      <w:outlineLvl w:val="0"/>
    </w:pPr>
    <w:rPr>
      <w:sz w:val="24"/>
    </w:rPr>
  </w:style>
  <w:style w:type="paragraph" w:styleId="863">
    <w:name w:val="Заголовок 2"/>
    <w:basedOn w:val="861"/>
    <w:next w:val="861"/>
    <w:link w:val="908"/>
    <w:uiPriority w:val="9"/>
    <w:qFormat/>
    <w:pPr>
      <w:keepNext/>
      <w:widowControl/>
      <w:outlineLvl w:val="1"/>
    </w:pPr>
    <w:rPr>
      <w:bCs/>
      <w:sz w:val="24"/>
      <w:u w:val="single"/>
    </w:rPr>
  </w:style>
  <w:style w:type="paragraph" w:styleId="864">
    <w:name w:val="Заголовок 3"/>
    <w:basedOn w:val="861"/>
    <w:next w:val="861"/>
    <w:link w:val="909"/>
    <w:qFormat/>
    <w:pPr>
      <w:keepNext/>
      <w:widowControl/>
      <w:outlineLvl w:val="2"/>
    </w:pPr>
    <w:rPr>
      <w:b/>
      <w:bCs/>
      <w:sz w:val="24"/>
    </w:rPr>
  </w:style>
  <w:style w:type="paragraph" w:styleId="865">
    <w:name w:val="Заголовок 4"/>
    <w:basedOn w:val="861"/>
    <w:next w:val="861"/>
    <w:link w:val="910"/>
    <w:qFormat/>
    <w:pPr>
      <w:ind w:right="-567"/>
      <w:jc w:val="center"/>
      <w:keepNext/>
      <w:widowControl/>
      <w:outlineLvl w:val="3"/>
    </w:pPr>
    <w:rPr>
      <w:sz w:val="26"/>
    </w:rPr>
  </w:style>
  <w:style w:type="paragraph" w:styleId="866">
    <w:name w:val="Заголовок 5"/>
    <w:basedOn w:val="861"/>
    <w:next w:val="861"/>
    <w:link w:val="911"/>
    <w:qFormat/>
    <w:pPr>
      <w:ind w:right="275"/>
      <w:jc w:val="right"/>
      <w:keepNext/>
      <w:outlineLvl w:val="4"/>
    </w:pPr>
    <w:rPr>
      <w:b/>
      <w:sz w:val="22"/>
      <w:u w:val="single"/>
    </w:rPr>
  </w:style>
  <w:style w:type="paragraph" w:styleId="867">
    <w:name w:val="Заголовок 9"/>
    <w:basedOn w:val="861"/>
    <w:next w:val="861"/>
    <w:link w:val="912"/>
    <w:qFormat/>
    <w:pPr>
      <w:keepNext/>
      <w:outlineLvl w:val="8"/>
    </w:pPr>
    <w:rPr>
      <w:sz w:val="24"/>
    </w:rPr>
  </w:style>
  <w:style w:type="character" w:styleId="868">
    <w:name w:val="Основной шрифт абзаца"/>
    <w:next w:val="868"/>
    <w:link w:val="861"/>
    <w:uiPriority w:val="1"/>
    <w:unhideWhenUsed/>
  </w:style>
  <w:style w:type="table" w:styleId="869">
    <w:name w:val="Обычная таблица"/>
    <w:next w:val="869"/>
    <w:link w:val="861"/>
    <w:uiPriority w:val="99"/>
    <w:semiHidden/>
    <w:unhideWhenUsed/>
    <w:qFormat/>
    <w:tblPr/>
  </w:style>
  <w:style w:type="numbering" w:styleId="870">
    <w:name w:val="Нет списка"/>
    <w:next w:val="870"/>
    <w:link w:val="861"/>
    <w:uiPriority w:val="99"/>
    <w:semiHidden/>
    <w:unhideWhenUsed/>
  </w:style>
  <w:style w:type="paragraph" w:styleId="871">
    <w:name w:val="Основной текст 2"/>
    <w:basedOn w:val="861"/>
    <w:next w:val="871"/>
    <w:link w:val="872"/>
    <w:unhideWhenUsed/>
    <w:pPr>
      <w:jc w:val="both"/>
      <w:widowControl/>
    </w:pPr>
    <w:rPr>
      <w:sz w:val="24"/>
      <w:szCs w:val="24"/>
      <w:lang w:val="en-US"/>
    </w:rPr>
  </w:style>
  <w:style w:type="character" w:styleId="872">
    <w:name w:val="Основной текст 2 Знак"/>
    <w:next w:val="872"/>
    <w:link w:val="87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3">
    <w:name w:val="Основной текст с отступом 3"/>
    <w:basedOn w:val="861"/>
    <w:next w:val="873"/>
    <w:link w:val="874"/>
    <w:unhideWhenUsed/>
    <w:pPr>
      <w:ind w:left="283"/>
      <w:spacing w:after="120"/>
      <w:widowControl/>
    </w:pPr>
    <w:rPr>
      <w:sz w:val="16"/>
      <w:szCs w:val="16"/>
      <w:lang w:val="en-US"/>
    </w:rPr>
  </w:style>
  <w:style w:type="character" w:styleId="874">
    <w:name w:val="Основной текст с отступом 3 Знак"/>
    <w:next w:val="874"/>
    <w:link w:val="873"/>
    <w:rPr>
      <w:rFonts w:ascii="Times New Roman" w:hAnsi="Times New Roman" w:eastAsia="Times New Roman" w:cs="Times New Roman"/>
      <w:sz w:val="16"/>
      <w:szCs w:val="16"/>
      <w:lang w:eastAsia="ru-RU"/>
    </w:rPr>
  </w:style>
  <w:style w:type="table" w:styleId="875">
    <w:name w:val="Сетка таблицы"/>
    <w:basedOn w:val="869"/>
    <w:next w:val="875"/>
    <w:link w:val="861"/>
    <w:uiPriority w:val="59"/>
    <w:tblPr/>
  </w:style>
  <w:style w:type="paragraph" w:styleId="876">
    <w:name w:val="Основной текст с отступом"/>
    <w:basedOn w:val="861"/>
    <w:next w:val="876"/>
    <w:link w:val="877"/>
    <w:pPr>
      <w:ind w:left="283"/>
      <w:spacing w:after="120"/>
      <w:widowControl/>
    </w:pPr>
    <w:rPr>
      <w:sz w:val="24"/>
      <w:szCs w:val="24"/>
      <w:lang w:val="en-US" w:eastAsia="en-US"/>
    </w:rPr>
  </w:style>
  <w:style w:type="character" w:styleId="877">
    <w:name w:val="Основной текст с отступом Знак"/>
    <w:next w:val="877"/>
    <w:link w:val="876"/>
    <w:rPr>
      <w:rFonts w:ascii="Times New Roman" w:hAnsi="Times New Roman" w:eastAsia="Times New Roman"/>
      <w:sz w:val="24"/>
      <w:szCs w:val="24"/>
    </w:rPr>
  </w:style>
  <w:style w:type="character" w:styleId="878">
    <w:name w:val="Гиперссылка"/>
    <w:next w:val="878"/>
    <w:link w:val="861"/>
    <w:uiPriority w:val="99"/>
    <w:rPr>
      <w:color w:val="0000ff"/>
      <w:u w:val="single"/>
    </w:rPr>
  </w:style>
  <w:style w:type="paragraph" w:styleId="879">
    <w:name w:val="Текст выноски"/>
    <w:basedOn w:val="861"/>
    <w:next w:val="879"/>
    <w:link w:val="880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80">
    <w:name w:val="Текст выноски Знак"/>
    <w:next w:val="880"/>
    <w:link w:val="879"/>
    <w:uiPriority w:val="99"/>
    <w:rPr>
      <w:rFonts w:ascii="Tahoma" w:hAnsi="Tahoma" w:eastAsia="Times New Roman" w:cs="Tahoma"/>
      <w:sz w:val="16"/>
      <w:szCs w:val="16"/>
    </w:rPr>
  </w:style>
  <w:style w:type="paragraph" w:styleId="881">
    <w:name w:val="Основной текст с отступом 2"/>
    <w:basedOn w:val="861"/>
    <w:next w:val="881"/>
    <w:link w:val="882"/>
    <w:uiPriority w:val="99"/>
    <w:unhideWhenUsed/>
    <w:pPr>
      <w:ind w:left="283"/>
      <w:spacing w:after="120" w:line="480" w:lineRule="auto"/>
    </w:pPr>
    <w:rPr>
      <w:lang w:val="en-US" w:eastAsia="en-US"/>
    </w:rPr>
  </w:style>
  <w:style w:type="character" w:styleId="882">
    <w:name w:val="Основной текст с отступом 2 Знак"/>
    <w:next w:val="882"/>
    <w:link w:val="881"/>
    <w:uiPriority w:val="99"/>
    <w:rPr>
      <w:rFonts w:ascii="Times New Roman" w:hAnsi="Times New Roman" w:eastAsia="Times New Roman"/>
    </w:rPr>
  </w:style>
  <w:style w:type="paragraph" w:styleId="883">
    <w:name w:val="Верхний колонтитул"/>
    <w:basedOn w:val="861"/>
    <w:next w:val="883"/>
    <w:link w:val="884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4">
    <w:name w:val="Верхний колонтитул Знак"/>
    <w:next w:val="884"/>
    <w:link w:val="883"/>
    <w:uiPriority w:val="99"/>
    <w:rPr>
      <w:rFonts w:ascii="Times New Roman" w:hAnsi="Times New Roman" w:eastAsia="Times New Roman"/>
    </w:rPr>
  </w:style>
  <w:style w:type="paragraph" w:styleId="885">
    <w:name w:val="Нижний колонтитул"/>
    <w:basedOn w:val="861"/>
    <w:next w:val="885"/>
    <w:link w:val="886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86">
    <w:name w:val="Нижний колонтитул Знак"/>
    <w:next w:val="886"/>
    <w:link w:val="885"/>
    <w:uiPriority w:val="99"/>
    <w:rPr>
      <w:rFonts w:ascii="Times New Roman" w:hAnsi="Times New Roman" w:eastAsia="Times New Roman"/>
    </w:rPr>
  </w:style>
  <w:style w:type="paragraph" w:styleId="887">
    <w:name w:val=" Знак Знак Знак Знак Знак Знак Знак"/>
    <w:basedOn w:val="861"/>
    <w:next w:val="887"/>
    <w:link w:val="861"/>
    <w:pPr>
      <w:jc w:val="both"/>
      <w:spacing w:after="160" w:line="240" w:lineRule="exact"/>
      <w:widowControl/>
    </w:pPr>
    <w:rPr>
      <w:rFonts w:ascii="Verdana" w:hAnsi="Verdana"/>
      <w:sz w:val="22"/>
      <w:lang w:val="en-US" w:eastAsia="en-US"/>
    </w:rPr>
  </w:style>
  <w:style w:type="paragraph" w:styleId="888">
    <w:name w:val="Текст"/>
    <w:basedOn w:val="861"/>
    <w:next w:val="888"/>
    <w:link w:val="889"/>
    <w:pPr>
      <w:widowControl/>
    </w:pPr>
    <w:rPr>
      <w:rFonts w:ascii="Courier New" w:hAnsi="Courier New"/>
      <w:lang w:val="en-US" w:eastAsia="en-US"/>
    </w:rPr>
  </w:style>
  <w:style w:type="character" w:styleId="889">
    <w:name w:val="Текст Знак"/>
    <w:next w:val="889"/>
    <w:link w:val="888"/>
    <w:rPr>
      <w:rFonts w:ascii="Courier New" w:hAnsi="Courier New" w:eastAsia="Times New Roman" w:cs="Tahoma"/>
    </w:rPr>
  </w:style>
  <w:style w:type="paragraph" w:styleId="890">
    <w:name w:val="Абзац списка"/>
    <w:basedOn w:val="861"/>
    <w:next w:val="890"/>
    <w:link w:val="861"/>
    <w:uiPriority w:val="34"/>
    <w:qFormat/>
    <w:pPr>
      <w:contextualSpacing/>
      <w:ind w:left="720"/>
      <w:spacing w:after="200" w:line="276" w:lineRule="auto"/>
      <w:widowControl/>
    </w:pPr>
    <w:rPr>
      <w:rFonts w:ascii="Calibri" w:hAnsi="Calibri" w:eastAsia="Calibri"/>
      <w:sz w:val="22"/>
      <w:szCs w:val="22"/>
      <w:lang w:eastAsia="en-US"/>
    </w:rPr>
  </w:style>
  <w:style w:type="paragraph" w:styleId="891">
    <w:name w:val="ConsPlusNonformat"/>
    <w:next w:val="891"/>
    <w:link w:val="861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92">
    <w:name w:val="ConsPlusCell"/>
    <w:next w:val="892"/>
    <w:link w:val="861"/>
    <w:uiPriority w:val="99"/>
    <w:pPr>
      <w:widowControl w:val="off"/>
    </w:pPr>
    <w:rPr>
      <w:rFonts w:eastAsia="Times New Roman" w:cs="Calibri"/>
      <w:sz w:val="22"/>
      <w:szCs w:val="22"/>
      <w:lang w:val="ru-RU" w:eastAsia="ru-RU" w:bidi="ar-SA"/>
    </w:rPr>
  </w:style>
  <w:style w:type="paragraph" w:styleId="893">
    <w:name w:val="Стандартный HTML"/>
    <w:basedOn w:val="861"/>
    <w:next w:val="893"/>
    <w:link w:val="894"/>
    <w:uiPriority w:val="99"/>
    <w:unhideWhenUsed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lang w:val="en-US" w:eastAsia="en-US"/>
    </w:rPr>
  </w:style>
  <w:style w:type="character" w:styleId="894">
    <w:name w:val="Стандартный HTML Знак"/>
    <w:next w:val="894"/>
    <w:link w:val="893"/>
    <w:uiPriority w:val="99"/>
    <w:rPr>
      <w:rFonts w:ascii="Courier New" w:hAnsi="Courier New" w:eastAsia="Times New Roman" w:cs="Courier New"/>
    </w:rPr>
  </w:style>
  <w:style w:type="paragraph" w:styleId="895">
    <w:name w:val="Без интервала"/>
    <w:next w:val="895"/>
    <w:link w:val="923"/>
    <w:uiPriority w:val="99"/>
    <w:qFormat/>
    <w:rPr>
      <w:sz w:val="22"/>
      <w:szCs w:val="22"/>
      <w:lang w:val="ru-RU" w:eastAsia="en-US" w:bidi="ar-SA"/>
    </w:rPr>
  </w:style>
  <w:style w:type="paragraph" w:styleId="896">
    <w:name w:val="ConsNormal"/>
    <w:next w:val="896"/>
    <w:link w:val="861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897">
    <w:name w:val="Normal1"/>
    <w:next w:val="897"/>
    <w:link w:val="898"/>
    <w:pPr>
      <w:jc w:val="both"/>
    </w:pPr>
    <w:rPr>
      <w:rFonts w:ascii="Arial" w:hAnsi="Arial" w:eastAsia="Times New Roman"/>
      <w:sz w:val="28"/>
      <w:lang w:val="ru-RU" w:eastAsia="ru-RU" w:bidi="ar-SA"/>
    </w:rPr>
  </w:style>
  <w:style w:type="character" w:styleId="898">
    <w:name w:val="Normal Знак"/>
    <w:next w:val="898"/>
    <w:link w:val="897"/>
    <w:rPr>
      <w:rFonts w:ascii="Arial" w:hAnsi="Arial" w:eastAsia="Times New Roman"/>
      <w:sz w:val="28"/>
      <w:lang w:bidi="ar-SA"/>
    </w:rPr>
  </w:style>
  <w:style w:type="paragraph" w:styleId="899">
    <w:name w:val="Основной текст,Основной текст Знак Знак,Знак"/>
    <w:basedOn w:val="861"/>
    <w:next w:val="899"/>
    <w:link w:val="900"/>
    <w:pPr>
      <w:jc w:val="both"/>
      <w:spacing w:after="120"/>
      <w:widowControl/>
    </w:pPr>
    <w:rPr>
      <w:sz w:val="24"/>
      <w:szCs w:val="24"/>
      <w:lang w:val="en-US" w:eastAsia="en-US"/>
    </w:rPr>
  </w:style>
  <w:style w:type="character" w:styleId="900">
    <w:name w:val="Основной текст Знак,Основной текст Знак Знак Знак,Знак Знак"/>
    <w:next w:val="900"/>
    <w:link w:val="899"/>
    <w:rPr>
      <w:rFonts w:ascii="Times New Roman" w:hAnsi="Times New Roman" w:eastAsia="Times New Roman"/>
      <w:sz w:val="24"/>
      <w:szCs w:val="24"/>
    </w:rPr>
  </w:style>
  <w:style w:type="paragraph" w:styleId="901">
    <w:name w:val="Обычный1"/>
    <w:next w:val="901"/>
    <w:link w:val="861"/>
    <w:pPr>
      <w:ind w:firstLine="720"/>
      <w:jc w:val="both"/>
      <w:spacing w:line="300" w:lineRule="auto"/>
      <w:widowControl w:val="off"/>
    </w:pPr>
    <w:rPr>
      <w:rFonts w:ascii="Times New Roman" w:hAnsi="Times New Roman"/>
      <w:sz w:val="24"/>
      <w:lang w:val="ru-RU" w:eastAsia="ru-RU" w:bidi="ar-SA"/>
    </w:rPr>
  </w:style>
  <w:style w:type="paragraph" w:styleId="902">
    <w:name w:val="formattext"/>
    <w:basedOn w:val="861"/>
    <w:next w:val="902"/>
    <w:link w:val="861"/>
    <w:pPr>
      <w:spacing w:before="100" w:beforeAutospacing="1" w:after="100" w:afterAutospacing="1"/>
      <w:widowControl/>
    </w:pPr>
    <w:rPr>
      <w:sz w:val="24"/>
      <w:szCs w:val="24"/>
    </w:rPr>
  </w:style>
  <w:style w:type="table" w:styleId="903">
    <w:name w:val="Сетка таблицы1"/>
    <w:basedOn w:val="869"/>
    <w:next w:val="875"/>
    <w:link w:val="861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04">
    <w:name w:val="Текст сноски"/>
    <w:basedOn w:val="861"/>
    <w:next w:val="904"/>
    <w:link w:val="905"/>
    <w:uiPriority w:val="99"/>
    <w:semiHidden/>
    <w:unhideWhenUsed/>
    <w:pPr>
      <w:widowControl/>
    </w:pPr>
    <w:rPr>
      <w:rFonts w:ascii="Calibri" w:hAnsi="Calibri" w:eastAsia="Calibri" w:cs="Times New Roman"/>
      <w:lang w:eastAsia="en-US"/>
    </w:rPr>
  </w:style>
  <w:style w:type="character" w:styleId="905">
    <w:name w:val="Текст сноски Знак"/>
    <w:next w:val="905"/>
    <w:link w:val="904"/>
    <w:uiPriority w:val="99"/>
    <w:semiHidden/>
    <w:rPr>
      <w:lang w:eastAsia="en-US"/>
    </w:rPr>
  </w:style>
  <w:style w:type="character" w:styleId="906">
    <w:name w:val="Знак сноски"/>
    <w:next w:val="906"/>
    <w:link w:val="861"/>
    <w:rPr>
      <w:vertAlign w:val="superscript"/>
    </w:rPr>
  </w:style>
  <w:style w:type="character" w:styleId="907">
    <w:name w:val="Заголовок 1 Знак"/>
    <w:next w:val="907"/>
    <w:link w:val="862"/>
    <w:rPr>
      <w:rFonts w:ascii="Times New Roman" w:hAnsi="Times New Roman" w:eastAsia="Times New Roman"/>
      <w:sz w:val="24"/>
    </w:rPr>
  </w:style>
  <w:style w:type="character" w:styleId="908">
    <w:name w:val="Заголовок 2 Знак"/>
    <w:next w:val="908"/>
    <w:link w:val="863"/>
    <w:uiPriority w:val="9"/>
    <w:rPr>
      <w:rFonts w:ascii="Times New Roman" w:hAnsi="Times New Roman" w:eastAsia="Times New Roman"/>
      <w:bCs/>
      <w:sz w:val="24"/>
      <w:u w:val="single"/>
    </w:rPr>
  </w:style>
  <w:style w:type="character" w:styleId="909">
    <w:name w:val="Заголовок 3 Знак"/>
    <w:next w:val="909"/>
    <w:link w:val="864"/>
    <w:rPr>
      <w:rFonts w:ascii="Times New Roman" w:hAnsi="Times New Roman" w:eastAsia="Times New Roman"/>
      <w:b/>
      <w:bCs/>
      <w:sz w:val="24"/>
    </w:rPr>
  </w:style>
  <w:style w:type="character" w:styleId="910">
    <w:name w:val="Заголовок 4 Знак"/>
    <w:next w:val="910"/>
    <w:link w:val="865"/>
    <w:rPr>
      <w:rFonts w:ascii="Times New Roman" w:hAnsi="Times New Roman" w:eastAsia="Times New Roman"/>
      <w:sz w:val="26"/>
    </w:rPr>
  </w:style>
  <w:style w:type="character" w:styleId="911">
    <w:name w:val="Заголовок 5 Знак"/>
    <w:next w:val="911"/>
    <w:link w:val="866"/>
    <w:rPr>
      <w:rFonts w:ascii="Times New Roman" w:hAnsi="Times New Roman" w:eastAsia="Times New Roman"/>
      <w:b/>
      <w:sz w:val="22"/>
      <w:u w:val="single"/>
    </w:rPr>
  </w:style>
  <w:style w:type="character" w:styleId="912">
    <w:name w:val="Заголовок 9 Знак"/>
    <w:next w:val="912"/>
    <w:link w:val="867"/>
    <w:rPr>
      <w:rFonts w:ascii="Times New Roman" w:hAnsi="Times New Roman" w:eastAsia="Times New Roman"/>
      <w:sz w:val="24"/>
    </w:rPr>
  </w:style>
  <w:style w:type="character" w:styleId="913" w:default="1">
    <w:name w:val="Default Paragraph Font"/>
    <w:next w:val="913"/>
    <w:link w:val="861"/>
  </w:style>
  <w:style w:type="paragraph" w:styleId="914">
    <w:name w:val="Заголовок"/>
    <w:basedOn w:val="861"/>
    <w:next w:val="899"/>
    <w:link w:val="929"/>
    <w:qFormat/>
    <w:pPr>
      <w:keepNext/>
      <w:spacing w:before="240" w:after="120"/>
      <w:widowControl/>
    </w:pPr>
    <w:rPr>
      <w:rFonts w:ascii="Arial" w:hAnsi="Arial" w:eastAsia="Lucida Sans Unicode" w:cs="Mangal"/>
      <w:sz w:val="28"/>
      <w:szCs w:val="28"/>
      <w:lang w:eastAsia="ar-SA"/>
    </w:rPr>
  </w:style>
  <w:style w:type="character" w:styleId="915">
    <w:name w:val="Заголовок Знак"/>
    <w:next w:val="915"/>
    <w:link w:val="861"/>
    <w:uiPriority w:val="10"/>
    <w:rPr>
      <w:rFonts w:ascii="Calibri Light" w:hAnsi="Calibri Light" w:eastAsia="Times New Roman" w:cs="Times New Roman"/>
      <w:b/>
      <w:bCs/>
      <w:sz w:val="32"/>
      <w:szCs w:val="32"/>
    </w:rPr>
  </w:style>
  <w:style w:type="paragraph" w:styleId="916">
    <w:name w:val="Список"/>
    <w:basedOn w:val="899"/>
    <w:next w:val="916"/>
    <w:link w:val="861"/>
    <w:pPr>
      <w:jc w:val="left"/>
    </w:pPr>
    <w:rPr>
      <w:rFonts w:cs="Mangal"/>
      <w:lang w:val="ru-RU" w:eastAsia="ar-SA"/>
    </w:rPr>
  </w:style>
  <w:style w:type="paragraph" w:styleId="917">
    <w:name w:val="Название1"/>
    <w:basedOn w:val="861"/>
    <w:next w:val="917"/>
    <w:link w:val="861"/>
    <w:pPr>
      <w:spacing w:before="120" w:after="120"/>
      <w:widowControl/>
      <w:suppressLineNumbers/>
    </w:pPr>
    <w:rPr>
      <w:rFonts w:cs="Mangal"/>
      <w:i/>
      <w:iCs/>
      <w:sz w:val="24"/>
      <w:szCs w:val="24"/>
      <w:lang w:eastAsia="ar-SA"/>
    </w:rPr>
  </w:style>
  <w:style w:type="paragraph" w:styleId="918">
    <w:name w:val="Указатель1"/>
    <w:basedOn w:val="861"/>
    <w:next w:val="918"/>
    <w:link w:val="861"/>
    <w:pPr>
      <w:widowControl/>
      <w:suppressLineNumbers/>
    </w:pPr>
    <w:rPr>
      <w:rFonts w:cs="Mangal"/>
      <w:sz w:val="24"/>
      <w:szCs w:val="24"/>
      <w:lang w:eastAsia="ar-SA"/>
    </w:rPr>
  </w:style>
  <w:style w:type="paragraph" w:styleId="919">
    <w:name w:val="Balloon Text"/>
    <w:basedOn w:val="861"/>
    <w:next w:val="919"/>
    <w:link w:val="861"/>
    <w:pPr>
      <w:widowControl/>
    </w:pPr>
    <w:rPr>
      <w:rFonts w:ascii="Tahoma" w:hAnsi="Tahoma" w:cs="Tahoma"/>
      <w:sz w:val="16"/>
      <w:szCs w:val="16"/>
      <w:lang w:eastAsia="ar-SA"/>
    </w:rPr>
  </w:style>
  <w:style w:type="paragraph" w:styleId="920">
    <w:name w:val="List Paragraph"/>
    <w:basedOn w:val="861"/>
    <w:next w:val="920"/>
    <w:link w:val="861"/>
    <w:pPr>
      <w:ind w:left="720"/>
      <w:widowControl/>
    </w:pPr>
    <w:rPr>
      <w:sz w:val="24"/>
      <w:szCs w:val="24"/>
      <w:lang w:eastAsia="ar-SA"/>
    </w:rPr>
  </w:style>
  <w:style w:type="character" w:styleId="921">
    <w:name w:val="Текст выноски Знак1"/>
    <w:next w:val="921"/>
    <w:link w:val="861"/>
    <w:uiPriority w:val="99"/>
    <w:semiHidden/>
    <w:rPr>
      <w:rFonts w:ascii="Tahoma" w:hAnsi="Tahoma" w:cs="Tahoma"/>
      <w:sz w:val="16"/>
      <w:szCs w:val="16"/>
      <w:lang w:eastAsia="ar-SA"/>
    </w:rPr>
  </w:style>
  <w:style w:type="paragraph" w:styleId="922">
    <w:name w:val="Содержимое таблицы"/>
    <w:basedOn w:val="861"/>
    <w:next w:val="922"/>
    <w:link w:val="861"/>
    <w:pPr>
      <w:suppressLineNumbers/>
    </w:pPr>
    <w:rPr>
      <w:rFonts w:ascii="Arial" w:hAnsi="Arial" w:eastAsia="Lucida Sans Unicode"/>
      <w:szCs w:val="24"/>
    </w:rPr>
  </w:style>
  <w:style w:type="character" w:styleId="923">
    <w:name w:val="Без интервала Знак"/>
    <w:next w:val="923"/>
    <w:link w:val="895"/>
    <w:uiPriority w:val="99"/>
    <w:rPr>
      <w:sz w:val="22"/>
      <w:szCs w:val="22"/>
      <w:lang w:eastAsia="en-US"/>
    </w:rPr>
  </w:style>
  <w:style w:type="paragraph" w:styleId="924">
    <w:name w:val="Основной текст с отступом 32"/>
    <w:basedOn w:val="861"/>
    <w:next w:val="924"/>
    <w:link w:val="861"/>
    <w:pPr>
      <w:ind w:left="283"/>
      <w:spacing w:after="120"/>
      <w:widowControl/>
    </w:pPr>
    <w:rPr>
      <w:sz w:val="16"/>
      <w:szCs w:val="16"/>
      <w:lang w:eastAsia="ar-SA"/>
    </w:rPr>
  </w:style>
  <w:style w:type="numbering" w:styleId="925">
    <w:name w:val="Нет списка1"/>
    <w:next w:val="870"/>
    <w:link w:val="861"/>
    <w:uiPriority w:val="99"/>
    <w:semiHidden/>
    <w:unhideWhenUsed/>
  </w:style>
  <w:style w:type="paragraph" w:styleId="926">
    <w:name w:val="Обычный (веб)"/>
    <w:basedOn w:val="861"/>
    <w:next w:val="926"/>
    <w:link w:val="861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numbering" w:styleId="927">
    <w:name w:val="Нет списка11"/>
    <w:next w:val="870"/>
    <w:link w:val="861"/>
    <w:uiPriority w:val="99"/>
    <w:semiHidden/>
    <w:unhideWhenUsed/>
  </w:style>
  <w:style w:type="paragraph" w:styleId="928">
    <w:name w:val="Definition Term"/>
    <w:basedOn w:val="861"/>
    <w:next w:val="861"/>
    <w:link w:val="861"/>
    <w:pPr>
      <w:jc w:val="both"/>
      <w:spacing w:before="120" w:after="60"/>
    </w:pPr>
    <w:rPr>
      <w:sz w:val="24"/>
    </w:rPr>
  </w:style>
  <w:style w:type="character" w:styleId="929">
    <w:name w:val="Название Знак"/>
    <w:next w:val="929"/>
    <w:link w:val="914"/>
    <w:rPr>
      <w:rFonts w:ascii="Arial" w:hAnsi="Arial" w:eastAsia="Lucida Sans Unicode" w:cs="Mangal"/>
      <w:sz w:val="28"/>
      <w:szCs w:val="28"/>
      <w:lang w:eastAsia="ar-SA"/>
    </w:rPr>
  </w:style>
  <w:style w:type="character" w:styleId="930">
    <w:name w:val="tendersubject1"/>
    <w:next w:val="930"/>
    <w:link w:val="861"/>
    <w:rPr>
      <w:b/>
      <w:sz w:val="20"/>
    </w:rPr>
  </w:style>
  <w:style w:type="paragraph" w:styleId="931">
    <w:name w:val="Список 2"/>
    <w:basedOn w:val="861"/>
    <w:next w:val="931"/>
    <w:link w:val="861"/>
    <w:pPr>
      <w:ind w:left="566" w:hanging="283"/>
      <w:widowControl/>
    </w:pPr>
    <w:rPr>
      <w:rFonts w:ascii="MS Sans Serif" w:hAnsi="MS Sans Serif"/>
      <w:lang w:val="en-US"/>
    </w:rPr>
  </w:style>
  <w:style w:type="paragraph" w:styleId="932">
    <w:name w:val="Основной текст 21"/>
    <w:basedOn w:val="861"/>
    <w:next w:val="932"/>
    <w:link w:val="861"/>
    <w:rPr>
      <w:rFonts w:ascii="Century Schoolbook" w:hAnsi="Century Schoolbook"/>
      <w:sz w:val="24"/>
    </w:rPr>
  </w:style>
  <w:style w:type="table" w:styleId="933">
    <w:name w:val="Сетка таблицы2"/>
    <w:basedOn w:val="869"/>
    <w:next w:val="875"/>
    <w:link w:val="861"/>
    <w:uiPriority w:val="59"/>
    <w:rPr>
      <w:rFonts w:ascii="Times New Roman" w:hAnsi="Times New Roman" w:eastAsia="Times New Roman"/>
    </w:rPr>
    <w:tblPr/>
  </w:style>
  <w:style w:type="numbering" w:styleId="934">
    <w:name w:val="Нет списка111"/>
    <w:next w:val="870"/>
    <w:link w:val="861"/>
    <w:uiPriority w:val="99"/>
    <w:semiHidden/>
    <w:unhideWhenUsed/>
  </w:style>
  <w:style w:type="table" w:styleId="935">
    <w:name w:val="Сетка таблицы11"/>
    <w:basedOn w:val="869"/>
    <w:next w:val="875"/>
    <w:link w:val="861"/>
    <w:uiPriority w:val="39"/>
    <w:rPr>
      <w:sz w:val="22"/>
      <w:szCs w:val="22"/>
      <w:lang w:eastAsia="en-US"/>
    </w:rPr>
    <w:tblPr/>
  </w:style>
  <w:style w:type="character" w:styleId="936">
    <w:name w:val="Просмотренная гиперссылка"/>
    <w:next w:val="936"/>
    <w:link w:val="861"/>
    <w:uiPriority w:val="99"/>
    <w:unhideWhenUsed/>
    <w:rPr>
      <w:color w:val="954f72"/>
      <w:u w:val="single"/>
    </w:rPr>
  </w:style>
  <w:style w:type="paragraph" w:styleId="937">
    <w:name w:val="msonormal"/>
    <w:basedOn w:val="861"/>
    <w:next w:val="937"/>
    <w:link w:val="861"/>
    <w:pPr>
      <w:spacing w:before="100" w:beforeAutospacing="1" w:after="100" w:afterAutospacing="1"/>
      <w:widowControl/>
    </w:pPr>
    <w:rPr>
      <w:sz w:val="24"/>
      <w:szCs w:val="24"/>
    </w:rPr>
  </w:style>
  <w:style w:type="paragraph" w:styleId="938">
    <w:name w:val="xl65"/>
    <w:basedOn w:val="861"/>
    <w:next w:val="938"/>
    <w:link w:val="861"/>
    <w:pPr>
      <w:jc w:val="center"/>
      <w:spacing w:before="100" w:beforeAutospacing="1" w:after="100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>
    <w:name w:val="xl66"/>
    <w:basedOn w:val="861"/>
    <w:next w:val="939"/>
    <w:link w:val="861"/>
    <w:pPr>
      <w:jc w:val="center"/>
      <w:spacing w:before="100" w:beforeAutospacing="1" w:after="100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>
    <w:name w:val="xl67"/>
    <w:basedOn w:val="861"/>
    <w:next w:val="940"/>
    <w:link w:val="861"/>
    <w:pPr>
      <w:spacing w:before="100" w:beforeAutospacing="1" w:after="100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>
    <w:name w:val="xl68"/>
    <w:basedOn w:val="861"/>
    <w:next w:val="941"/>
    <w:link w:val="861"/>
    <w:pPr>
      <w:jc w:val="right"/>
      <w:spacing w:before="100" w:beforeAutospacing="1" w:after="100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>
    <w:name w:val="xl69"/>
    <w:basedOn w:val="861"/>
    <w:next w:val="942"/>
    <w:link w:val="861"/>
    <w:pPr>
      <w:jc w:val="right"/>
      <w:spacing w:before="100" w:beforeAutospacing="1" w:after="100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>
    <w:name w:val="xl71"/>
    <w:basedOn w:val="861"/>
    <w:next w:val="943"/>
    <w:link w:val="861"/>
    <w:pPr>
      <w:jc w:val="center"/>
      <w:spacing w:before="100" w:beforeAutospacing="1" w:after="100" w:afterAutospacing="1"/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table" w:styleId="944">
    <w:name w:val="Сетка таблицы21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45">
    <w:name w:val="Сетка таблицы3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46">
    <w:name w:val="Сетка таблицы4"/>
    <w:basedOn w:val="869"/>
    <w:next w:val="875"/>
    <w:link w:val="861"/>
    <w:uiPriority w:val="59"/>
    <w:rPr>
      <w:sz w:val="22"/>
      <w:szCs w:val="22"/>
      <w:lang w:eastAsia="en-US"/>
    </w:rPr>
    <w:tblPr/>
  </w:style>
  <w:style w:type="character" w:styleId="947">
    <w:name w:val="Выделение"/>
    <w:next w:val="947"/>
    <w:link w:val="861"/>
    <w:qFormat/>
    <w:rPr>
      <w:i/>
      <w:iCs/>
    </w:rPr>
  </w:style>
  <w:style w:type="numbering" w:styleId="948">
    <w:name w:val="Нет списка2"/>
    <w:next w:val="870"/>
    <w:link w:val="861"/>
    <w:uiPriority w:val="99"/>
    <w:semiHidden/>
    <w:unhideWhenUsed/>
  </w:style>
  <w:style w:type="table" w:styleId="949">
    <w:name w:val="Сетка таблицы5"/>
    <w:basedOn w:val="869"/>
    <w:next w:val="875"/>
    <w:link w:val="861"/>
    <w:uiPriority w:val="59"/>
    <w:rPr>
      <w:rFonts w:ascii="Times New Roman" w:hAnsi="Times New Roman" w:eastAsia="Times New Roman"/>
    </w:rPr>
    <w:tblPr/>
  </w:style>
  <w:style w:type="numbering" w:styleId="950">
    <w:name w:val="Нет списка12"/>
    <w:next w:val="870"/>
    <w:link w:val="861"/>
    <w:uiPriority w:val="99"/>
    <w:semiHidden/>
    <w:unhideWhenUsed/>
  </w:style>
  <w:style w:type="table" w:styleId="951">
    <w:name w:val="Сетка таблицы12"/>
    <w:basedOn w:val="869"/>
    <w:next w:val="875"/>
    <w:link w:val="861"/>
    <w:uiPriority w:val="59"/>
    <w:rPr>
      <w:sz w:val="22"/>
      <w:szCs w:val="22"/>
      <w:lang w:eastAsia="en-US"/>
    </w:rPr>
    <w:tblPr/>
  </w:style>
  <w:style w:type="table" w:styleId="952">
    <w:name w:val="Сетка таблицы22"/>
    <w:basedOn w:val="869"/>
    <w:next w:val="875"/>
    <w:link w:val="861"/>
    <w:uiPriority w:val="59"/>
    <w:rPr>
      <w:sz w:val="22"/>
      <w:szCs w:val="22"/>
      <w:lang w:eastAsia="en-US"/>
    </w:rPr>
    <w:tblPr/>
  </w:style>
  <w:style w:type="table" w:styleId="953">
    <w:name w:val="Сетка таблицы31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54">
    <w:name w:val="Сетка таблицы41"/>
    <w:basedOn w:val="869"/>
    <w:next w:val="875"/>
    <w:link w:val="861"/>
    <w:uiPriority w:val="59"/>
    <w:rPr>
      <w:sz w:val="22"/>
      <w:szCs w:val="22"/>
      <w:lang w:eastAsia="en-US"/>
    </w:rPr>
    <w:tblPr/>
  </w:style>
  <w:style w:type="numbering" w:styleId="955">
    <w:name w:val="Нет списка1111"/>
    <w:next w:val="870"/>
    <w:link w:val="861"/>
    <w:uiPriority w:val="99"/>
    <w:semiHidden/>
    <w:unhideWhenUsed/>
  </w:style>
  <w:style w:type="table" w:styleId="956">
    <w:name w:val="Сетка таблицы111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57">
    <w:name w:val="Сетка таблицы211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58">
    <w:name w:val="Сетка таблицы6"/>
    <w:basedOn w:val="869"/>
    <w:next w:val="875"/>
    <w:link w:val="861"/>
    <w:uiPriority w:val="59"/>
    <w:rPr>
      <w:rFonts w:ascii="Times New Roman" w:hAnsi="Times New Roman" w:eastAsia="Times New Roman"/>
    </w:rPr>
    <w:tblPr/>
  </w:style>
  <w:style w:type="paragraph" w:styleId="959">
    <w:name w:val=" Знак Знак Знак Знак Знак Знак Знак Знак Знак"/>
    <w:basedOn w:val="861"/>
    <w:next w:val="959"/>
    <w:link w:val="861"/>
    <w:pPr>
      <w:jc w:val="both"/>
      <w:spacing w:after="160" w:line="240" w:lineRule="exact"/>
      <w:widowControl/>
    </w:pPr>
    <w:rPr>
      <w:rFonts w:ascii="Verdana" w:hAnsi="Verdana"/>
      <w:sz w:val="22"/>
      <w:lang w:val="en-US" w:eastAsia="en-US"/>
    </w:rPr>
  </w:style>
  <w:style w:type="table" w:styleId="960">
    <w:name w:val="Сетка таблицы7"/>
    <w:basedOn w:val="869"/>
    <w:next w:val="875"/>
    <w:link w:val="861"/>
    <w:uiPriority w:val="59"/>
    <w:rPr>
      <w:rFonts w:ascii="Times New Roman" w:hAnsi="Times New Roman" w:eastAsia="Times New Roman"/>
    </w:rPr>
    <w:tblPr/>
  </w:style>
  <w:style w:type="numbering" w:styleId="961">
    <w:name w:val="Нет списка3"/>
    <w:next w:val="870"/>
    <w:link w:val="861"/>
    <w:uiPriority w:val="99"/>
    <w:semiHidden/>
    <w:unhideWhenUsed/>
  </w:style>
  <w:style w:type="table" w:styleId="962">
    <w:name w:val="Сетка таблицы8"/>
    <w:basedOn w:val="869"/>
    <w:next w:val="875"/>
    <w:link w:val="861"/>
    <w:uiPriority w:val="59"/>
    <w:tblPr/>
  </w:style>
  <w:style w:type="paragraph" w:styleId="963">
    <w:name w:val="Знак Знак Знак Знак Знак Знак Знак"/>
    <w:basedOn w:val="861"/>
    <w:next w:val="963"/>
    <w:link w:val="861"/>
    <w:pPr>
      <w:jc w:val="both"/>
      <w:spacing w:after="160" w:line="240" w:lineRule="exact"/>
      <w:widowControl/>
    </w:pPr>
    <w:rPr>
      <w:rFonts w:ascii="Verdana" w:hAnsi="Verdana"/>
      <w:sz w:val="22"/>
      <w:lang w:val="en-US" w:eastAsia="en-US"/>
    </w:rPr>
  </w:style>
  <w:style w:type="table" w:styleId="964">
    <w:name w:val="Сетка таблицы13"/>
    <w:basedOn w:val="869"/>
    <w:next w:val="875"/>
    <w:link w:val="861"/>
    <w:uiPriority w:val="59"/>
    <w:rPr>
      <w:sz w:val="22"/>
      <w:szCs w:val="22"/>
      <w:lang w:eastAsia="en-US"/>
    </w:rPr>
    <w:tblPr/>
  </w:style>
  <w:style w:type="character" w:styleId="965">
    <w:name w:val="Основной шрифт абзаца1"/>
    <w:next w:val="965"/>
    <w:link w:val="861"/>
  </w:style>
  <w:style w:type="paragraph" w:styleId="966">
    <w:name w:val="Текст выноски1"/>
    <w:basedOn w:val="861"/>
    <w:next w:val="966"/>
    <w:link w:val="861"/>
    <w:pPr>
      <w:widowControl/>
    </w:pPr>
    <w:rPr>
      <w:rFonts w:ascii="Tahoma" w:hAnsi="Tahoma" w:cs="Tahoma"/>
      <w:sz w:val="16"/>
      <w:szCs w:val="16"/>
      <w:lang w:eastAsia="ar-SA"/>
    </w:rPr>
  </w:style>
  <w:style w:type="paragraph" w:styleId="967">
    <w:name w:val="Абзац списка1"/>
    <w:basedOn w:val="861"/>
    <w:next w:val="967"/>
    <w:link w:val="861"/>
    <w:pPr>
      <w:ind w:left="720"/>
      <w:widowControl/>
    </w:pPr>
    <w:rPr>
      <w:sz w:val="24"/>
      <w:szCs w:val="24"/>
      <w:lang w:eastAsia="ar-SA"/>
    </w:rPr>
  </w:style>
  <w:style w:type="numbering" w:styleId="968">
    <w:name w:val="Нет списка13"/>
    <w:next w:val="870"/>
    <w:link w:val="861"/>
    <w:uiPriority w:val="99"/>
    <w:semiHidden/>
    <w:unhideWhenUsed/>
  </w:style>
  <w:style w:type="numbering" w:styleId="969">
    <w:name w:val="Нет списка112"/>
    <w:next w:val="870"/>
    <w:link w:val="861"/>
    <w:uiPriority w:val="99"/>
    <w:semiHidden/>
    <w:unhideWhenUsed/>
  </w:style>
  <w:style w:type="character" w:styleId="970">
    <w:name w:val="Заголовок Знак1"/>
    <w:next w:val="970"/>
    <w:link w:val="861"/>
    <w:rPr>
      <w:rFonts w:ascii="Arial" w:hAnsi="Arial" w:eastAsia="Lucida Sans Unicode" w:cs="Mangal"/>
      <w:sz w:val="28"/>
      <w:szCs w:val="28"/>
      <w:lang w:eastAsia="ar-SA"/>
    </w:rPr>
  </w:style>
  <w:style w:type="table" w:styleId="971">
    <w:name w:val="Сетка таблицы23"/>
    <w:basedOn w:val="869"/>
    <w:next w:val="875"/>
    <w:link w:val="861"/>
    <w:uiPriority w:val="59"/>
    <w:rPr>
      <w:rFonts w:ascii="Times New Roman" w:hAnsi="Times New Roman" w:eastAsia="Times New Roman"/>
    </w:rPr>
    <w:tblPr/>
  </w:style>
  <w:style w:type="numbering" w:styleId="972">
    <w:name w:val="Нет списка1112"/>
    <w:next w:val="870"/>
    <w:link w:val="861"/>
    <w:uiPriority w:val="99"/>
    <w:semiHidden/>
    <w:unhideWhenUsed/>
  </w:style>
  <w:style w:type="table" w:styleId="973">
    <w:name w:val="Сетка таблицы112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74">
    <w:name w:val="Сетка таблицы212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75">
    <w:name w:val="Сетка таблицы32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76">
    <w:name w:val="Сетка таблицы42"/>
    <w:basedOn w:val="869"/>
    <w:next w:val="875"/>
    <w:link w:val="861"/>
    <w:uiPriority w:val="59"/>
    <w:rPr>
      <w:sz w:val="22"/>
      <w:szCs w:val="22"/>
      <w:lang w:eastAsia="en-US"/>
    </w:rPr>
    <w:tblPr/>
  </w:style>
  <w:style w:type="numbering" w:styleId="977">
    <w:name w:val="Нет списка21"/>
    <w:next w:val="870"/>
    <w:link w:val="861"/>
    <w:uiPriority w:val="99"/>
    <w:semiHidden/>
    <w:unhideWhenUsed/>
  </w:style>
  <w:style w:type="table" w:styleId="978">
    <w:name w:val="Сетка таблицы51"/>
    <w:basedOn w:val="869"/>
    <w:next w:val="875"/>
    <w:link w:val="861"/>
    <w:uiPriority w:val="59"/>
    <w:rPr>
      <w:rFonts w:ascii="Times New Roman" w:hAnsi="Times New Roman" w:eastAsia="Times New Roman"/>
    </w:rPr>
    <w:tblPr/>
  </w:style>
  <w:style w:type="numbering" w:styleId="979">
    <w:name w:val="Нет списка121"/>
    <w:next w:val="870"/>
    <w:link w:val="861"/>
    <w:uiPriority w:val="99"/>
    <w:semiHidden/>
    <w:unhideWhenUsed/>
  </w:style>
  <w:style w:type="table" w:styleId="980">
    <w:name w:val="Сетка таблицы121"/>
    <w:basedOn w:val="869"/>
    <w:next w:val="875"/>
    <w:link w:val="861"/>
    <w:uiPriority w:val="59"/>
    <w:rPr>
      <w:sz w:val="22"/>
      <w:szCs w:val="22"/>
      <w:lang w:eastAsia="en-US"/>
    </w:rPr>
    <w:tblPr/>
  </w:style>
  <w:style w:type="table" w:styleId="981">
    <w:name w:val="Сетка таблицы221"/>
    <w:basedOn w:val="869"/>
    <w:next w:val="875"/>
    <w:link w:val="861"/>
    <w:uiPriority w:val="59"/>
    <w:rPr>
      <w:sz w:val="22"/>
      <w:szCs w:val="22"/>
      <w:lang w:eastAsia="en-US"/>
    </w:rPr>
    <w:tblPr/>
  </w:style>
  <w:style w:type="table" w:styleId="982">
    <w:name w:val="Сетка таблицы311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83">
    <w:name w:val="Сетка таблицы411"/>
    <w:basedOn w:val="869"/>
    <w:next w:val="875"/>
    <w:link w:val="861"/>
    <w:uiPriority w:val="59"/>
    <w:rPr>
      <w:sz w:val="22"/>
      <w:szCs w:val="22"/>
      <w:lang w:eastAsia="en-US"/>
    </w:rPr>
    <w:tblPr/>
  </w:style>
  <w:style w:type="numbering" w:styleId="984">
    <w:name w:val="Нет списка11111"/>
    <w:next w:val="870"/>
    <w:link w:val="861"/>
    <w:uiPriority w:val="99"/>
    <w:semiHidden/>
    <w:unhideWhenUsed/>
  </w:style>
  <w:style w:type="table" w:styleId="985">
    <w:name w:val="Сетка таблицы1111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86">
    <w:name w:val="Сетка таблицы2111"/>
    <w:basedOn w:val="869"/>
    <w:next w:val="875"/>
    <w:link w:val="861"/>
    <w:uiPriority w:val="39"/>
    <w:rPr>
      <w:sz w:val="22"/>
      <w:szCs w:val="22"/>
      <w:lang w:eastAsia="en-US"/>
    </w:rPr>
    <w:tblPr/>
  </w:style>
  <w:style w:type="table" w:styleId="987">
    <w:name w:val="Сетка таблицы61"/>
    <w:basedOn w:val="869"/>
    <w:next w:val="875"/>
    <w:link w:val="861"/>
    <w:uiPriority w:val="59"/>
    <w:rPr>
      <w:rFonts w:ascii="Times New Roman" w:hAnsi="Times New Roman" w:eastAsia="Times New Roman"/>
    </w:rPr>
    <w:tblPr/>
  </w:style>
  <w:style w:type="paragraph" w:styleId="988">
    <w:name w:val="Знак Знак Знак Знак Знак Знак Знак Знак Знак"/>
    <w:basedOn w:val="861"/>
    <w:next w:val="988"/>
    <w:link w:val="861"/>
    <w:pPr>
      <w:jc w:val="both"/>
      <w:spacing w:after="160" w:line="240" w:lineRule="exact"/>
      <w:widowControl/>
    </w:pPr>
    <w:rPr>
      <w:rFonts w:ascii="Verdana" w:hAnsi="Verdana"/>
      <w:sz w:val="22"/>
      <w:lang w:val="en-US" w:eastAsia="en-US"/>
    </w:rPr>
  </w:style>
  <w:style w:type="table" w:styleId="989">
    <w:name w:val="Сетка таблицы71"/>
    <w:basedOn w:val="869"/>
    <w:next w:val="875"/>
    <w:link w:val="861"/>
    <w:uiPriority w:val="59"/>
    <w:rPr>
      <w:rFonts w:ascii="Times New Roman" w:hAnsi="Times New Roman" w:eastAsia="Times New Roman"/>
    </w:rPr>
    <w:tblPr/>
  </w:style>
  <w:style w:type="numbering" w:styleId="990" w:default="1">
    <w:name w:val="No List"/>
    <w:uiPriority w:val="99"/>
    <w:semiHidden/>
    <w:unhideWhenUsed/>
  </w:style>
  <w:style w:type="table" w:styleId="991" w:default="1">
    <w:name w:val="Normal Table"/>
    <w:uiPriority w:val="99"/>
    <w:semiHidden/>
    <w:unhideWhenUsed/>
    <w:tblPr/>
  </w:style>
  <w:style w:type="paragraph" w:styleId="992" w:customStyle="1">
    <w:name w:val="Style3"/>
    <w:qFormat/>
    <w:pPr>
      <w:contextualSpacing w:val="0"/>
      <w:ind w:left="0" w:right="0" w:firstLine="725"/>
      <w:jc w:val="both"/>
      <w:keepLines w:val="0"/>
      <w:keepNext w:val="0"/>
      <w:pageBreakBefore w:val="0"/>
      <w:spacing w:before="0" w:beforeAutospacing="0" w:after="0" w:afterAutospacing="0" w:line="278" w:lineRule="exac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93" w:customStyle="1">
    <w:name w:val="Font Style11"/>
    <w:qFormat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kopanceva</dc:creator>
  <cp:lastModifiedBy>аршукова</cp:lastModifiedBy>
  <cp:revision>34</cp:revision>
  <dcterms:created xsi:type="dcterms:W3CDTF">2024-07-15T03:34:00Z</dcterms:created>
  <dcterms:modified xsi:type="dcterms:W3CDTF">2026-08-25T02:14:52Z</dcterms:modified>
  <cp:version>1048576</cp:version>
</cp:coreProperties>
</file>