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9546" w14:textId="77777777" w:rsidR="00902DDB" w:rsidRDefault="00A13332">
      <w:pPr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14:paraId="01A583D0" w14:textId="77777777" w:rsidR="00902DDB" w:rsidRDefault="00A13332">
      <w:pPr>
        <w:jc w:val="center"/>
        <w:rPr>
          <w:sz w:val="22"/>
        </w:rPr>
      </w:pPr>
      <w:r>
        <w:rPr>
          <w:sz w:val="22"/>
        </w:rPr>
        <w:t xml:space="preserve">на оказание услуг на проведение расчетов </w:t>
      </w:r>
    </w:p>
    <w:p w14:paraId="45BE6CD2" w14:textId="77777777" w:rsidR="00902DDB" w:rsidRDefault="00A13332">
      <w:pPr>
        <w:jc w:val="center"/>
        <w:rPr>
          <w:sz w:val="22"/>
        </w:rPr>
      </w:pPr>
      <w:r>
        <w:rPr>
          <w:sz w:val="22"/>
        </w:rPr>
        <w:t>по операциям с использованием банковских карт (эквайринг)</w:t>
      </w:r>
    </w:p>
    <w:p w14:paraId="35619F37" w14:textId="77777777" w:rsidR="00902DDB" w:rsidRDefault="00902DDB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8"/>
        <w:gridCol w:w="850"/>
        <w:gridCol w:w="55"/>
        <w:gridCol w:w="699"/>
        <w:gridCol w:w="840"/>
        <w:gridCol w:w="963"/>
        <w:gridCol w:w="1409"/>
        <w:gridCol w:w="280"/>
        <w:gridCol w:w="4190"/>
        <w:gridCol w:w="1957"/>
      </w:tblGrid>
      <w:tr w:rsidR="00902DDB" w14:paraId="2D689D12" w14:textId="77777777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C7A2" w14:textId="77777777" w:rsidR="00902DDB" w:rsidRDefault="00A1333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1. Наименование закупаемых услуг, их количество (объем), цены за единицу услуги и начальная (максимальная) цена договора</w:t>
            </w:r>
          </w:p>
        </w:tc>
      </w:tr>
      <w:tr w:rsidR="00902DDB" w14:paraId="58B18821" w14:textId="77777777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81E6" w14:textId="77777777" w:rsidR="00902DDB" w:rsidRDefault="00A133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услуги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1D89" w14:textId="77777777" w:rsidR="00902DDB" w:rsidRDefault="00A133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Ед. изм.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E776" w14:textId="77777777" w:rsidR="00902DDB" w:rsidRDefault="00A133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(объем)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79C7" w14:textId="77777777" w:rsidR="00902DDB" w:rsidRDefault="00A133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Период оказания услуг </w:t>
            </w:r>
          </w:p>
        </w:tc>
        <w:tc>
          <w:tcPr>
            <w:tcW w:w="6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8DF4" w14:textId="6C87A6EE" w:rsidR="00902DDB" w:rsidRDefault="00A133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Ожидаемый среднемесячный объем, руб.</w:t>
            </w:r>
          </w:p>
        </w:tc>
      </w:tr>
      <w:tr w:rsidR="00902DDB" w14:paraId="1601B893" w14:textId="77777777">
        <w:trPr>
          <w:trHeight w:val="64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690" w14:textId="77777777" w:rsidR="00902DDB" w:rsidRDefault="00A13332">
            <w:pPr>
              <w:jc w:val="both"/>
              <w:rPr>
                <w:i/>
                <w:sz w:val="22"/>
              </w:rPr>
            </w:pPr>
            <w:bookmarkStart w:id="0" w:name="_Hlk161843510"/>
            <w:r>
              <w:rPr>
                <w:sz w:val="22"/>
              </w:rPr>
              <w:t xml:space="preserve">Оказание услуг по проведению расчетов </w:t>
            </w:r>
            <w:proofErr w:type="gramStart"/>
            <w:r>
              <w:rPr>
                <w:sz w:val="22"/>
              </w:rPr>
              <w:t>по операциям</w:t>
            </w:r>
            <w:proofErr w:type="gramEnd"/>
            <w:r>
              <w:rPr>
                <w:sz w:val="22"/>
              </w:rPr>
              <w:t xml:space="preserve"> совершенным с использованием банковских карт (услуги эквайринга)</w:t>
            </w:r>
            <w:bookmarkEnd w:id="0"/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BD5B" w14:textId="77777777" w:rsidR="00902DDB" w:rsidRDefault="00A1333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усл</w:t>
            </w:r>
            <w:proofErr w:type="spellEnd"/>
            <w:r>
              <w:rPr>
                <w:sz w:val="22"/>
              </w:rPr>
              <w:t>. ед.*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2AFF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316F" w14:textId="17B7E227" w:rsidR="00902DDB" w:rsidRDefault="00A13332">
            <w:pPr>
              <w:pStyle w:val="ConsPlusTitle"/>
              <w:rPr>
                <w:b w:val="0"/>
                <w:sz w:val="22"/>
              </w:rPr>
            </w:pPr>
            <w:r>
              <w:rPr>
                <w:rStyle w:val="1"/>
                <w:b w:val="0"/>
                <w:sz w:val="22"/>
              </w:rPr>
              <w:t xml:space="preserve">с </w:t>
            </w:r>
            <w:r w:rsidRPr="00A13332">
              <w:rPr>
                <w:rStyle w:val="1"/>
                <w:b w:val="0"/>
                <w:sz w:val="22"/>
              </w:rPr>
              <w:t>01</w:t>
            </w:r>
            <w:r w:rsidR="00D6283E">
              <w:rPr>
                <w:rStyle w:val="1"/>
                <w:b w:val="0"/>
                <w:sz w:val="22"/>
              </w:rPr>
              <w:t>.0</w:t>
            </w:r>
            <w:r w:rsidR="002F3E98">
              <w:rPr>
                <w:rStyle w:val="1"/>
                <w:b w:val="0"/>
                <w:sz w:val="22"/>
              </w:rPr>
              <w:t>7</w:t>
            </w:r>
            <w:r w:rsidR="00D6283E">
              <w:rPr>
                <w:rStyle w:val="1"/>
                <w:b w:val="0"/>
                <w:sz w:val="22"/>
              </w:rPr>
              <w:t>.</w:t>
            </w:r>
            <w:r>
              <w:rPr>
                <w:rStyle w:val="1"/>
                <w:b w:val="0"/>
                <w:sz w:val="22"/>
              </w:rPr>
              <w:t>2026 г. по 3</w:t>
            </w:r>
            <w:r w:rsidR="002F3E98">
              <w:rPr>
                <w:rStyle w:val="1"/>
                <w:b w:val="0"/>
                <w:sz w:val="22"/>
              </w:rPr>
              <w:t>1</w:t>
            </w:r>
            <w:r>
              <w:rPr>
                <w:rStyle w:val="1"/>
                <w:b w:val="0"/>
                <w:sz w:val="22"/>
              </w:rPr>
              <w:t>.</w:t>
            </w:r>
            <w:r w:rsidR="002F3E98">
              <w:rPr>
                <w:rStyle w:val="1"/>
                <w:b w:val="0"/>
                <w:sz w:val="22"/>
              </w:rPr>
              <w:t>12</w:t>
            </w:r>
            <w:r>
              <w:rPr>
                <w:rStyle w:val="1"/>
                <w:b w:val="0"/>
                <w:sz w:val="22"/>
              </w:rPr>
              <w:t>.2026 включительно или до момента исчерпания предельной Цены Контракта.</w:t>
            </w:r>
          </w:p>
          <w:p w14:paraId="0CAB3D07" w14:textId="77777777" w:rsidR="00902DDB" w:rsidRDefault="00902DDB">
            <w:pPr>
              <w:jc w:val="center"/>
              <w:rPr>
                <w:sz w:val="22"/>
              </w:rPr>
            </w:pPr>
          </w:p>
        </w:tc>
        <w:tc>
          <w:tcPr>
            <w:tcW w:w="6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F6E2" w14:textId="56B2D91E" w:rsidR="00902DDB" w:rsidRDefault="002F3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13332">
              <w:rPr>
                <w:sz w:val="22"/>
              </w:rPr>
              <w:t> 000 000,00</w:t>
            </w:r>
          </w:p>
          <w:p w14:paraId="5D1BFE90" w14:textId="77777777" w:rsidR="00902DDB" w:rsidRDefault="00902DDB">
            <w:pPr>
              <w:jc w:val="center"/>
              <w:rPr>
                <w:sz w:val="22"/>
              </w:rPr>
            </w:pPr>
          </w:p>
        </w:tc>
      </w:tr>
      <w:tr w:rsidR="00902DDB" w14:paraId="32147CA1" w14:textId="77777777"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635" w14:textId="77777777" w:rsidR="00902DDB" w:rsidRDefault="00A1333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Обоснование начальной (максимальной) цены договора цены единицы услуги </w:t>
            </w:r>
          </w:p>
        </w:tc>
        <w:tc>
          <w:tcPr>
            <w:tcW w:w="10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320B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Начальная (максимальная) цена договора (процентная ставка) включает все расходы исполнителя (Банка), связанные с оказанием услуг эквайринга, в том числе:</w:t>
            </w:r>
          </w:p>
          <w:p w14:paraId="2BAFB454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предоставление терминалов – устройств с технологией платежей, в том числе бесконтактных, для электронного оформления операций с банковскими картами, включая установку и настройку;</w:t>
            </w:r>
          </w:p>
          <w:p w14:paraId="0EA5B663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предоставление инструкции по работе с терминалом и правил работы с платежными картами;</w:t>
            </w:r>
          </w:p>
          <w:p w14:paraId="0652AC77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- техническое обслуживание установленного оборудования, включая ремонт и замену терминалов на новые модификации;</w:t>
            </w:r>
          </w:p>
          <w:p w14:paraId="2CAF030F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call</w:t>
            </w:r>
            <w:proofErr w:type="spellEnd"/>
            <w:r>
              <w:rPr>
                <w:sz w:val="22"/>
              </w:rPr>
              <w:t>-центр по возникающим у работников Заказчика вопросам по работе с оборудованием Банка;</w:t>
            </w:r>
          </w:p>
          <w:p w14:paraId="51152845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прочие услуги, необходимые для предоставления качественных услуг эквайринга. </w:t>
            </w:r>
          </w:p>
          <w:p w14:paraId="33B6C665" w14:textId="77777777" w:rsidR="00902DDB" w:rsidRDefault="00A13332">
            <w:pPr>
              <w:tabs>
                <w:tab w:val="left" w:pos="1560"/>
                <w:tab w:val="left" w:pos="1843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за предоставление терминала и Абонентская плата за использование терминала – отсутствует.</w:t>
            </w:r>
          </w:p>
          <w:p w14:paraId="05E5D6AE" w14:textId="77777777" w:rsidR="00902DDB" w:rsidRDefault="00A13332">
            <w:pPr>
              <w:tabs>
                <w:tab w:val="left" w:pos="1560"/>
                <w:tab w:val="left" w:pos="1843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Фактическая стоимость формируется исходя из фактически оказанных услуг на основании процентной ставки победителя конкурентной процедуры.</w:t>
            </w:r>
          </w:p>
          <w:p w14:paraId="5D697759" w14:textId="77777777" w:rsidR="00902DDB" w:rsidRDefault="00A13332">
            <w:pPr>
              <w:jc w:val="both"/>
              <w:rPr>
                <w:sz w:val="22"/>
                <w:highlight w:val="yellow"/>
              </w:rPr>
            </w:pPr>
            <w:r>
              <w:rPr>
                <w:i/>
                <w:sz w:val="22"/>
              </w:rPr>
              <w:t xml:space="preserve">*объем закупки 1 </w:t>
            </w:r>
            <w:proofErr w:type="spellStart"/>
            <w:r>
              <w:rPr>
                <w:i/>
                <w:sz w:val="22"/>
              </w:rPr>
              <w:t>усл</w:t>
            </w:r>
            <w:proofErr w:type="spellEnd"/>
            <w:r>
              <w:rPr>
                <w:i/>
                <w:sz w:val="22"/>
              </w:rPr>
              <w:t>. ед. следует понимать, как оказание услуг в период с момента подписания договора по 31.12.2026г. в местах оказания услуг приведены в п. 4 технического задания.</w:t>
            </w:r>
          </w:p>
        </w:tc>
      </w:tr>
      <w:tr w:rsidR="00902DDB" w14:paraId="2A06B2B5" w14:textId="77777777"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0A86" w14:textId="77777777" w:rsidR="00902DDB" w:rsidRDefault="00A1333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Применяемая при расчете начальной (максимальной) цены ставка НДС</w:t>
            </w:r>
          </w:p>
        </w:tc>
        <w:tc>
          <w:tcPr>
            <w:tcW w:w="10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8EF1" w14:textId="77777777" w:rsidR="00902DDB" w:rsidRDefault="00A13332">
            <w:pPr>
              <w:spacing w:line="300" w:lineRule="exact"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НДС устанавливается в соответствие с Налоговым кодексом РФ на дату заключения договора и включается в общую стоимость услуги</w:t>
            </w:r>
          </w:p>
        </w:tc>
      </w:tr>
      <w:tr w:rsidR="00902DDB" w14:paraId="21F541D0" w14:textId="77777777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86AB" w14:textId="77777777" w:rsidR="00902DDB" w:rsidRDefault="00A13332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2. Требования к услугам</w:t>
            </w:r>
          </w:p>
        </w:tc>
      </w:tr>
      <w:tr w:rsidR="00902DDB" w14:paraId="6E02FB38" w14:textId="77777777">
        <w:tc>
          <w:tcPr>
            <w:tcW w:w="4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8D6C" w14:textId="77777777" w:rsidR="00902DDB" w:rsidRDefault="00A13332">
            <w:pPr>
              <w:jc w:val="both"/>
              <w:rPr>
                <w:i/>
                <w:color w:val="FF0000"/>
                <w:sz w:val="22"/>
              </w:rPr>
            </w:pPr>
            <w:r>
              <w:rPr>
                <w:sz w:val="22"/>
              </w:rPr>
              <w:t xml:space="preserve">Оказание услуг по проведению расчетов по операциям, </w:t>
            </w:r>
            <w:proofErr w:type="gramStart"/>
            <w:r>
              <w:rPr>
                <w:sz w:val="22"/>
              </w:rPr>
              <w:t>совершенным  с</w:t>
            </w:r>
            <w:proofErr w:type="gramEnd"/>
            <w:r>
              <w:rPr>
                <w:sz w:val="22"/>
              </w:rPr>
              <w:t xml:space="preserve"> использованием банковских карт (услуги эквайринга)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F4D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Нормативные документы, согласно которым установлены требования</w:t>
            </w:r>
          </w:p>
        </w:tc>
        <w:tc>
          <w:tcPr>
            <w:tcW w:w="7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95B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Услуги должны оказываться в соответствии с </w:t>
            </w:r>
          </w:p>
          <w:p w14:paraId="751026D6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-"Положением об эмиссии платежных карт и об операциях, совершаемых с их использованием" (утв. ЦБ РФ 24.12.2004 N 266-П), </w:t>
            </w:r>
          </w:p>
          <w:p w14:paraId="07AEC679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-Федеральному закону Российской Федерации от 27 июня 2011 г. № 161-ФЗ "О национальной платежной системе", </w:t>
            </w:r>
          </w:p>
          <w:p w14:paraId="5700C4A1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-Положению о правилах осуществления перевода денежных средств (утв. ЦБ РФ 29.06.2021 N 762-П);</w:t>
            </w:r>
          </w:p>
          <w:p w14:paraId="538448ED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нормативных актов и правил осуществления расчетов в Российской Федерации, установленных Центральном Банком России; </w:t>
            </w:r>
          </w:p>
          <w:p w14:paraId="14EE9048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законодательства о противодействии легализации (отмыванию) доходов, полученных преступным путем, и финансированию терроризма; </w:t>
            </w:r>
          </w:p>
          <w:p w14:paraId="1F21C804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- Федерального закона от 27.07.2006г. № 152-ФЗ «О персональных данных».</w:t>
            </w:r>
          </w:p>
        </w:tc>
      </w:tr>
      <w:tr w:rsidR="00902DDB" w14:paraId="7E2B7B7E" w14:textId="77777777">
        <w:tc>
          <w:tcPr>
            <w:tcW w:w="4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9546" w14:textId="77777777" w:rsidR="00902DDB" w:rsidRDefault="00902DDB"/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50B4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sz w:val="22"/>
              </w:rPr>
              <w:t>Технические и функциональные характеристики услуги</w:t>
            </w:r>
          </w:p>
        </w:tc>
        <w:tc>
          <w:tcPr>
            <w:tcW w:w="7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0505" w14:textId="77777777" w:rsidR="00902DDB" w:rsidRDefault="00A13332">
            <w:pPr>
              <w:ind w:firstLine="3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Условия оказания услуг:</w:t>
            </w:r>
          </w:p>
          <w:p w14:paraId="0F5D85EF" w14:textId="77777777" w:rsidR="00902DDB" w:rsidRDefault="00A13332">
            <w:r>
              <w:rPr>
                <w:sz w:val="22"/>
              </w:rPr>
              <w:t>- Банк должен организовать прием платежных карт следующих платежных систем в качестве средства оплаты услуг и обработку информации на своем оборудовании:</w:t>
            </w:r>
            <w:r>
              <w:t xml:space="preserve"> МИР, MasterCard Worldwide, VISA International, </w:t>
            </w:r>
            <w:proofErr w:type="spellStart"/>
            <w:r>
              <w:t>UnionPay</w:t>
            </w:r>
            <w:proofErr w:type="spellEnd"/>
            <w:r>
              <w:t xml:space="preserve"> International, American Express</w:t>
            </w:r>
          </w:p>
          <w:p w14:paraId="11E7D1A2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Банк должен перечислять на лицевой счет Учреждения, суммы операций по картам в рублях Российской Федерации, совершенных на объектах Учреждения, </w:t>
            </w:r>
            <w:bookmarkStart w:id="1" w:name="_Ref421336703"/>
            <w:r>
              <w:rPr>
                <w:sz w:val="22"/>
              </w:rPr>
              <w:t>на основании полученной от Учреждения расчетной информации об операциях, переданной от электронного терминала. Обязательство Банка по перечислению денежных средств в адрес Учреждения считается исполненным в момент зачисления денежных средств на расчетный счет Заказчика;</w:t>
            </w:r>
            <w:bookmarkEnd w:id="1"/>
          </w:p>
          <w:p w14:paraId="0561E2FC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Максимальная сумма операций за весь период действия договора, совершаемых с использованием банковских карт составляет – 50 000 000 руб. </w:t>
            </w:r>
            <w:r>
              <w:rPr>
                <w:sz w:val="22"/>
                <w:u w:val="single"/>
              </w:rPr>
              <w:t>Контроль над достижением предельной цены Договора осуществляет Банк</w:t>
            </w:r>
            <w:r>
              <w:rPr>
                <w:sz w:val="22"/>
              </w:rPr>
              <w:t xml:space="preserve">. </w:t>
            </w:r>
          </w:p>
          <w:p w14:paraId="174D9AB1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Банк должен на срок действия Договора установить на объекте Учреждения и подготовить к эксплуатации оборудование (терминалы) в срок не позднее 5 (пяти) рабочих дней от даты заключения Договора. </w:t>
            </w:r>
          </w:p>
          <w:p w14:paraId="1734342C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терминалов и их установка, ремонт и техническое обслуживание установленного оборудования должно производиться за счет Банка. Техническая поддержка должна осуществляться ежедневно, включая выходные и праздничные дни. В случае выхода из строя оборудования Банк должен обеспечить Учреждение исправным оборудованием не позднее одного рабочего дня от даты обращения Учреждения к Банку. В случае, если ремонт требует длительного времени, Банк устанавливает Учреждению аналогичное исправное оборудование;</w:t>
            </w:r>
          </w:p>
          <w:p w14:paraId="48C2347B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Банк должен осуществлять оперативные консультации в случае возникновения затруднений при оформлении операций оплаты по картам ежедневно 7 дней в неделю по телефону «Горячая линия»;</w:t>
            </w:r>
          </w:p>
          <w:p w14:paraId="5D642ADF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Банк должен обеспечить контроль и управление отчетностью, с возможностью отслеживания и сверки платежей;</w:t>
            </w:r>
          </w:p>
          <w:p w14:paraId="66CDA532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Банк должен осуществлять систему мониторинга, удаленное обновление программного обеспечения;</w:t>
            </w:r>
          </w:p>
          <w:p w14:paraId="7A47567D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 Банк также должен за свой счет проводить дополнительные инструктажи сотрудников Учреждения в случае изменений Порядка проведения операций с использованием карт, изменения программного обеспечения, замены электронного терминала на другой вид, а также в иных случаях по письменному обращению Учреждения.</w:t>
            </w:r>
          </w:p>
          <w:p w14:paraId="1DCDE5C2" w14:textId="77777777" w:rsidR="00902DDB" w:rsidRDefault="00902DDB">
            <w:pPr>
              <w:ind w:firstLine="356"/>
              <w:jc w:val="both"/>
              <w:rPr>
                <w:b/>
                <w:sz w:val="22"/>
              </w:rPr>
            </w:pPr>
          </w:p>
          <w:p w14:paraId="7EF41020" w14:textId="77777777" w:rsidR="00902DDB" w:rsidRDefault="00A13332">
            <w:pPr>
              <w:ind w:firstLine="3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Инструктаж обязательно должен включать следующие темы:</w:t>
            </w:r>
          </w:p>
          <w:p w14:paraId="741B94DB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Порядок проведения операций с использованием банковских карт (в том числе в соответствии с руководством по использованию электронного терминала);</w:t>
            </w:r>
          </w:p>
          <w:p w14:paraId="612A91DD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Стандартные элементы защиты пластиковых карт;</w:t>
            </w:r>
          </w:p>
          <w:p w14:paraId="392AB250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Оборудование рабочего места кассира;</w:t>
            </w:r>
          </w:p>
          <w:p w14:paraId="36077789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Характерные признаки поддельных карт и методы их распознавания;</w:t>
            </w:r>
          </w:p>
          <w:p w14:paraId="57819FC1" w14:textId="77777777" w:rsidR="00902DDB" w:rsidRDefault="00A13332">
            <w:pPr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- Основные виды мошенничества с картами и методы противодействия, действия кассира при неправомерном использовании карты или предъявлении к обслуживанию поддельной карты;</w:t>
            </w:r>
          </w:p>
          <w:p w14:paraId="22DA98EA" w14:textId="77777777" w:rsidR="00902DDB" w:rsidRDefault="00902DDB">
            <w:pPr>
              <w:ind w:firstLine="356"/>
              <w:jc w:val="both"/>
              <w:rPr>
                <w:b/>
                <w:sz w:val="22"/>
              </w:rPr>
            </w:pPr>
          </w:p>
          <w:p w14:paraId="37290EC4" w14:textId="77777777" w:rsidR="00902DDB" w:rsidRDefault="00A13332">
            <w:pPr>
              <w:ind w:firstLine="318"/>
              <w:jc w:val="both"/>
              <w:rPr>
                <w:sz w:val="22"/>
              </w:rPr>
            </w:pPr>
            <w:r>
              <w:rPr>
                <w:sz w:val="22"/>
              </w:rPr>
              <w:t>Срок перечисления денежных средств на расчетный счет Предприятия - не позднее 2 (двух) рабочих дней с момента получения Банком документов по операциям с использованием банковских карт. Обязательство Банка по перечислению денежных средств в адрес Учреждения считается исполненным в момент зачисления денежных средств на расчетный счет Учреждения.</w:t>
            </w:r>
          </w:p>
          <w:p w14:paraId="3D28532A" w14:textId="77777777" w:rsidR="00902DDB" w:rsidRDefault="00902DDB">
            <w:pPr>
              <w:ind w:firstLine="318"/>
              <w:jc w:val="both"/>
              <w:rPr>
                <w:sz w:val="22"/>
              </w:rPr>
            </w:pPr>
          </w:p>
          <w:p w14:paraId="4F0B438E" w14:textId="77777777" w:rsidR="00902DDB" w:rsidRDefault="00A13332">
            <w:pPr>
              <w:tabs>
                <w:tab w:val="left" w:pos="0"/>
                <w:tab w:val="left" w:pos="1134"/>
              </w:tabs>
              <w:ind w:firstLine="318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Открытие расчетного счета у Банка не является обязательным.</w:t>
            </w:r>
          </w:p>
        </w:tc>
      </w:tr>
      <w:tr w:rsidR="00902DDB" w14:paraId="3ACD8548" w14:textId="77777777">
        <w:tc>
          <w:tcPr>
            <w:tcW w:w="4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99F7" w14:textId="77777777" w:rsidR="00902DDB" w:rsidRDefault="00902DDB"/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890D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sz w:val="22"/>
              </w:rPr>
              <w:t>Требования к безопасности услуги</w:t>
            </w:r>
          </w:p>
        </w:tc>
        <w:tc>
          <w:tcPr>
            <w:tcW w:w="7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75EA" w14:textId="77777777" w:rsidR="00902DDB" w:rsidRDefault="00A13332">
            <w:pPr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Услуга должна соответствовать стандарту безопасности </w:t>
            </w:r>
            <w:proofErr w:type="gramStart"/>
            <w:r>
              <w:rPr>
                <w:sz w:val="22"/>
              </w:rPr>
              <w:t>PCIDSS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(</w:t>
            </w:r>
            <w:proofErr w:type="spellStart"/>
            <w:proofErr w:type="gramEnd"/>
            <w:r>
              <w:rPr>
                <w:sz w:val="22"/>
              </w:rPr>
              <w:t>PaymentCardIndustryDataSecurityStandard</w:t>
            </w:r>
            <w:proofErr w:type="spellEnd"/>
            <w:r>
              <w:rPr>
                <w:sz w:val="22"/>
              </w:rPr>
              <w:t xml:space="preserve">) – стандарт защиты информации, </w:t>
            </w:r>
            <w:proofErr w:type="gramStart"/>
            <w:r>
              <w:rPr>
                <w:sz w:val="22"/>
              </w:rPr>
              <w:t>разработанный  международными</w:t>
            </w:r>
            <w:proofErr w:type="gramEnd"/>
            <w:r>
              <w:rPr>
                <w:sz w:val="22"/>
              </w:rPr>
              <w:t xml:space="preserve"> платежными системами </w:t>
            </w:r>
            <w:proofErr w:type="spellStart"/>
            <w:proofErr w:type="gramStart"/>
            <w:r>
              <w:rPr>
                <w:sz w:val="22"/>
              </w:rPr>
              <w:t>MasterCardWorldwide,VisaInternational</w:t>
            </w:r>
            <w:proofErr w:type="spellEnd"/>
            <w:r>
              <w:rPr>
                <w:sz w:val="22"/>
              </w:rPr>
              <w:t>,  национальной</w:t>
            </w:r>
            <w:proofErr w:type="gramEnd"/>
            <w:r>
              <w:rPr>
                <w:sz w:val="22"/>
              </w:rPr>
              <w:t xml:space="preserve"> платежной системой «МИР» и используемый их участниками при обмене информацией в рамках проведения Операций (</w:t>
            </w:r>
            <w:proofErr w:type="spellStart"/>
            <w:r>
              <w:rPr>
                <w:sz w:val="22"/>
              </w:rPr>
              <w:t>SiteDataProtectionAccount</w:t>
            </w:r>
            <w:proofErr w:type="spellEnd"/>
            <w:r>
              <w:rPr>
                <w:sz w:val="22"/>
              </w:rPr>
              <w:t xml:space="preserve"> для </w:t>
            </w:r>
            <w:proofErr w:type="spellStart"/>
            <w:r>
              <w:rPr>
                <w:sz w:val="22"/>
              </w:rPr>
              <w:t>MasterCardWorldwide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InformationSecurity</w:t>
            </w:r>
            <w:proofErr w:type="spellEnd"/>
            <w:r>
              <w:rPr>
                <w:sz w:val="22"/>
              </w:rPr>
              <w:t xml:space="preserve"> для </w:t>
            </w:r>
            <w:proofErr w:type="spellStart"/>
            <w:r>
              <w:rPr>
                <w:sz w:val="22"/>
              </w:rPr>
              <w:t>VisaInternational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MirAccept</w:t>
            </w:r>
            <w:proofErr w:type="spellEnd"/>
            <w:r>
              <w:rPr>
                <w:sz w:val="22"/>
              </w:rPr>
              <w:t xml:space="preserve"> для национальной платежной системы «МИР»).</w:t>
            </w:r>
          </w:p>
          <w:p w14:paraId="196E62B5" w14:textId="77777777" w:rsidR="00902DDB" w:rsidRDefault="00902DDB">
            <w:pPr>
              <w:jc w:val="both"/>
              <w:outlineLvl w:val="1"/>
              <w:rPr>
                <w:i/>
                <w:sz w:val="22"/>
              </w:rPr>
            </w:pPr>
          </w:p>
        </w:tc>
      </w:tr>
      <w:tr w:rsidR="00902DDB" w14:paraId="6591060E" w14:textId="77777777">
        <w:tc>
          <w:tcPr>
            <w:tcW w:w="4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F897" w14:textId="77777777" w:rsidR="00902DDB" w:rsidRDefault="00902DDB"/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A61B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sz w:val="22"/>
              </w:rPr>
              <w:t>Требования к качеству услуги</w:t>
            </w:r>
          </w:p>
        </w:tc>
        <w:tc>
          <w:tcPr>
            <w:tcW w:w="7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06FD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sz w:val="22"/>
              </w:rPr>
              <w:t>Услуга эквайринга должна оказываться в соответствии с настоящим техническим заданием.</w:t>
            </w:r>
          </w:p>
        </w:tc>
      </w:tr>
      <w:tr w:rsidR="00902DDB" w14:paraId="71E734FE" w14:textId="77777777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161" w14:textId="77777777" w:rsidR="00902DDB" w:rsidRDefault="00A13332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3. Требования к результатам</w:t>
            </w:r>
          </w:p>
        </w:tc>
      </w:tr>
      <w:tr w:rsidR="00902DDB" w14:paraId="0D5AB794" w14:textId="77777777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B4D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Оказание услуг подтверждается подписанием Сторонами Акта по итогам каждого отчетного периода (ежемесячно);</w:t>
            </w:r>
          </w:p>
          <w:p w14:paraId="7931E984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 По окончании каждого отчетного периода Банк вычисляет величину вознаграждения за отчётный период и в срок до 10 (десятого) числа месяца, следующего за отчетным периодом, предоставляет Учреждению в письменной форме 2 (два) экземпляра подписанного Банком Акта.</w:t>
            </w:r>
          </w:p>
          <w:p w14:paraId="0AD87746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Акт должен содержать расчет суммы вознаграждения за отчётный период. Учреждение оставляет за собой право контролировать правильность вычисления Банком суммы вознаграждения;</w:t>
            </w:r>
          </w:p>
          <w:p w14:paraId="2D6477E5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>- Контроль над сроками и качеством оказания услуг производится представителем Учреждения;</w:t>
            </w:r>
          </w:p>
          <w:p w14:paraId="02586044" w14:textId="77777777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- Банк должен гарантировать качество оказания услуг и оперативность их проведения согласно условиям договора;</w:t>
            </w:r>
          </w:p>
          <w:p w14:paraId="1371BC8A" w14:textId="77777777" w:rsidR="00902DDB" w:rsidRDefault="00A13332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- В случае изменения нормативных документов, влияющих на качество и безопасность оказанных услуг</w:t>
            </w:r>
            <w:r>
              <w:rPr>
                <w:i/>
                <w:sz w:val="22"/>
              </w:rPr>
              <w:t xml:space="preserve">, </w:t>
            </w:r>
            <w:r>
              <w:rPr>
                <w:sz w:val="22"/>
              </w:rPr>
              <w:t>являющихся предметом Договора</w:t>
            </w:r>
            <w:r>
              <w:rPr>
                <w:i/>
                <w:sz w:val="22"/>
              </w:rPr>
              <w:t>,</w:t>
            </w:r>
            <w:r>
              <w:rPr>
                <w:sz w:val="22"/>
              </w:rPr>
              <w:t xml:space="preserve"> Банк обязан учитывать при оказании услуг данные изменения и информировать о них Учреждение.</w:t>
            </w:r>
          </w:p>
        </w:tc>
      </w:tr>
      <w:tr w:rsidR="00902DDB" w14:paraId="259E841E" w14:textId="77777777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7125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lastRenderedPageBreak/>
              <w:t>4.</w:t>
            </w:r>
            <w:r>
              <w:rPr>
                <w:i/>
                <w:sz w:val="22"/>
              </w:rPr>
              <w:t xml:space="preserve"> </w:t>
            </w:r>
            <w:r>
              <w:rPr>
                <w:b/>
                <w:sz w:val="22"/>
              </w:rPr>
              <w:t>Место, условия и порядок оказания услуг</w:t>
            </w:r>
          </w:p>
        </w:tc>
      </w:tr>
      <w:tr w:rsidR="00902DDB" w14:paraId="0A4558C4" w14:textId="77777777">
        <w:tc>
          <w:tcPr>
            <w:tcW w:w="4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271F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sz w:val="22"/>
              </w:rPr>
              <w:t>Место и условия оказания услуг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C142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27" w14:textId="77777777" w:rsidR="00902DDB" w:rsidRDefault="00A13332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Наименование обслуживаемого объекта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1D80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Адреса объектов Заказчика, на которых необходимо установить электронные терминалы и обеспечить оказание услуг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ACE9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терминалов</w:t>
            </w:r>
          </w:p>
        </w:tc>
      </w:tr>
      <w:tr w:rsidR="00902DDB" w14:paraId="16AFC8E8" w14:textId="77777777">
        <w:tc>
          <w:tcPr>
            <w:tcW w:w="4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FCD2" w14:textId="77777777" w:rsidR="00902DDB" w:rsidRDefault="00902DDB"/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BECF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DFB8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ФГБУ «Заповедный Крым»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6B7D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Республика Крым, </w:t>
            </w:r>
          </w:p>
          <w:p w14:paraId="2C88657D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Ялта, </w:t>
            </w:r>
          </w:p>
          <w:p w14:paraId="07AA4667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Экологический маршрут «К Зубцам Ай-Петри»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6AA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02DDB" w14:paraId="2EFB8FBF" w14:textId="77777777">
        <w:trPr>
          <w:trHeight w:val="896"/>
        </w:trPr>
        <w:tc>
          <w:tcPr>
            <w:tcW w:w="4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3B41" w14:textId="77777777" w:rsidR="00902DDB" w:rsidRDefault="00902DDB"/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17AF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8425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ФГБУ «Заповедный Крым»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4AD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Республика Крым, </w:t>
            </w:r>
          </w:p>
          <w:p w14:paraId="6AFB7464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Ялта, </w:t>
            </w:r>
          </w:p>
          <w:p w14:paraId="4BAD0E79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Экологический маршрут Водопад «Учан-Су»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265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02DDB" w14:paraId="72EA944E" w14:textId="77777777">
        <w:tc>
          <w:tcPr>
            <w:tcW w:w="4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712D" w14:textId="77777777" w:rsidR="00902DDB" w:rsidRDefault="00902DDB"/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7634" w14:textId="77777777" w:rsidR="00902DDB" w:rsidRPr="00A13332" w:rsidRDefault="00A13332">
            <w:pPr>
              <w:jc w:val="center"/>
              <w:rPr>
                <w:sz w:val="22"/>
              </w:rPr>
            </w:pPr>
            <w:r w:rsidRPr="00A13332">
              <w:rPr>
                <w:sz w:val="22"/>
              </w:rPr>
              <w:t>3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A533" w14:textId="77777777" w:rsidR="00902DDB" w:rsidRPr="00A13332" w:rsidRDefault="00A13332">
            <w:pPr>
              <w:jc w:val="center"/>
              <w:rPr>
                <w:sz w:val="22"/>
              </w:rPr>
            </w:pPr>
            <w:r w:rsidRPr="00A13332">
              <w:rPr>
                <w:sz w:val="22"/>
              </w:rPr>
              <w:t>ФГБУ «Заповедный Крым»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5631" w14:textId="77777777" w:rsidR="00902DDB" w:rsidRPr="00A13332" w:rsidRDefault="00A13332">
            <w:pPr>
              <w:rPr>
                <w:rFonts w:ascii="Arial" w:hAnsi="Arial"/>
                <w:color w:val="00306F"/>
                <w:spacing w:val="-6"/>
                <w:sz w:val="21"/>
              </w:rPr>
            </w:pPr>
            <w:r w:rsidRPr="00A13332">
              <w:rPr>
                <w:rFonts w:ascii="Arial" w:hAnsi="Arial"/>
                <w:color w:val="00306F"/>
                <w:spacing w:val="-6"/>
                <w:sz w:val="21"/>
              </w:rPr>
              <w:t>htps://zapovedcrimea.ru</w:t>
            </w:r>
          </w:p>
          <w:p w14:paraId="54986646" w14:textId="77777777" w:rsidR="00902DDB" w:rsidRPr="00A13332" w:rsidRDefault="00902DDB">
            <w:pPr>
              <w:rPr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86A" w14:textId="77777777" w:rsidR="00902DDB" w:rsidRDefault="00A13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02DDB" w14:paraId="4C03F466" w14:textId="77777777"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6076" w14:textId="77777777" w:rsidR="00902DDB" w:rsidRDefault="00902DDB">
            <w:pPr>
              <w:jc w:val="both"/>
              <w:rPr>
                <w:sz w:val="22"/>
              </w:rPr>
            </w:pPr>
          </w:p>
        </w:tc>
        <w:tc>
          <w:tcPr>
            <w:tcW w:w="10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4689" w14:textId="77777777" w:rsidR="00902DDB" w:rsidRDefault="00A13332">
            <w:pPr>
              <w:rPr>
                <w:sz w:val="22"/>
              </w:rPr>
            </w:pPr>
            <w:r>
              <w:rPr>
                <w:i/>
                <w:sz w:val="22"/>
              </w:rPr>
              <w:t>Данный перечень объектов Заказчика не является исчерпывающим и может изменяться.</w:t>
            </w:r>
          </w:p>
        </w:tc>
      </w:tr>
      <w:tr w:rsidR="00902DDB" w14:paraId="69F0D0FC" w14:textId="77777777"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C5FE" w14:textId="77777777" w:rsidR="00902DDB" w:rsidRDefault="00A13332">
            <w:pPr>
              <w:jc w:val="both"/>
              <w:rPr>
                <w:i/>
                <w:sz w:val="22"/>
              </w:rPr>
            </w:pPr>
            <w:r>
              <w:rPr>
                <w:sz w:val="22"/>
              </w:rPr>
              <w:t>Сроки оказания услуг</w:t>
            </w:r>
          </w:p>
        </w:tc>
        <w:tc>
          <w:tcPr>
            <w:tcW w:w="10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26A" w14:textId="7CBED67A" w:rsidR="00902DDB" w:rsidRDefault="00A1333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Исполнитель оказывает услуги по проведению расчетов по операциям с использованием банковских карт (эквайринг) в период действия договора: с момента подписания договора по </w:t>
            </w:r>
            <w:r w:rsidR="002711B6">
              <w:rPr>
                <w:sz w:val="22"/>
              </w:rPr>
              <w:t>30</w:t>
            </w:r>
            <w:r>
              <w:rPr>
                <w:sz w:val="22"/>
              </w:rPr>
              <w:t>.</w:t>
            </w:r>
            <w:r w:rsidR="002711B6">
              <w:rPr>
                <w:sz w:val="22"/>
              </w:rPr>
              <w:t>06</w:t>
            </w:r>
            <w:r>
              <w:rPr>
                <w:sz w:val="22"/>
              </w:rPr>
              <w:t>.2026.</w:t>
            </w:r>
          </w:p>
        </w:tc>
      </w:tr>
    </w:tbl>
    <w:p w14:paraId="568E43A3" w14:textId="77777777" w:rsidR="00902DDB" w:rsidRDefault="00902DDB">
      <w:pPr>
        <w:rPr>
          <w:sz w:val="22"/>
        </w:rPr>
      </w:pPr>
    </w:p>
    <w:sectPr w:rsidR="00902DDB">
      <w:headerReference w:type="default" r:id="rId7"/>
      <w:pgSz w:w="16838" w:h="11906" w:orient="landscape"/>
      <w:pgMar w:top="1418" w:right="1134" w:bottom="851" w:left="1134" w:header="794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1E8C" w14:textId="77777777" w:rsidR="00A13332" w:rsidRDefault="00A13332">
      <w:r>
        <w:separator/>
      </w:r>
    </w:p>
  </w:endnote>
  <w:endnote w:type="continuationSeparator" w:id="0">
    <w:p w14:paraId="65DF9936" w14:textId="77777777" w:rsidR="00A13332" w:rsidRDefault="00A1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2021" w14:textId="77777777" w:rsidR="00A13332" w:rsidRDefault="00A13332">
      <w:r>
        <w:separator/>
      </w:r>
    </w:p>
  </w:footnote>
  <w:footnote w:type="continuationSeparator" w:id="0">
    <w:p w14:paraId="55240E30" w14:textId="77777777" w:rsidR="00A13332" w:rsidRDefault="00A1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2754" w14:textId="77777777" w:rsidR="00902DDB" w:rsidRDefault="00902DD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67911"/>
    <w:multiLevelType w:val="multilevel"/>
    <w:tmpl w:val="BC9AE1F0"/>
    <w:lvl w:ilvl="0">
      <w:start w:val="3"/>
      <w:numFmt w:val="decimal"/>
      <w:lvlText w:val="%1."/>
      <w:lvlJc w:val="left"/>
      <w:pPr>
        <w:widowControl/>
        <w:ind w:left="810" w:hanging="810"/>
      </w:pPr>
    </w:lvl>
    <w:lvl w:ilvl="1">
      <w:start w:val="13"/>
      <w:numFmt w:val="decimal"/>
      <w:lvlText w:val="%1.%2."/>
      <w:lvlJc w:val="left"/>
      <w:pPr>
        <w:widowControl/>
        <w:ind w:left="1094" w:hanging="810"/>
      </w:pPr>
    </w:lvl>
    <w:lvl w:ilvl="2">
      <w:start w:val="1"/>
      <w:numFmt w:val="decimal"/>
      <w:pStyle w:val="a"/>
      <w:lvlText w:val="%1.%2.%3."/>
      <w:lvlJc w:val="left"/>
      <w:pPr>
        <w:widowControl/>
        <w:ind w:left="2512" w:hanging="810"/>
      </w:pPr>
    </w:lvl>
    <w:lvl w:ilvl="3">
      <w:start w:val="1"/>
      <w:numFmt w:val="decimal"/>
      <w:lvlText w:val="%1.%2.%3.%4."/>
      <w:lvlJc w:val="left"/>
      <w:pPr>
        <w:widowControl/>
        <w:ind w:left="1932" w:hanging="1080"/>
      </w:pPr>
    </w:lvl>
    <w:lvl w:ilvl="4">
      <w:start w:val="1"/>
      <w:numFmt w:val="decimal"/>
      <w:lvlText w:val="%1.%2.%3.%4.%5."/>
      <w:lvlJc w:val="left"/>
      <w:pPr>
        <w:widowControl/>
        <w:ind w:left="2216" w:hanging="1080"/>
      </w:pPr>
    </w:lvl>
    <w:lvl w:ilvl="5">
      <w:start w:val="1"/>
      <w:numFmt w:val="decimal"/>
      <w:lvlText w:val="%1.%2.%3.%4.%5.%6."/>
      <w:lvlJc w:val="left"/>
      <w:pPr>
        <w:widowControl/>
        <w:ind w:left="2860" w:hanging="1440"/>
      </w:pPr>
    </w:lvl>
    <w:lvl w:ilvl="6">
      <w:start w:val="1"/>
      <w:numFmt w:val="decimal"/>
      <w:lvlText w:val="%1.%2.%3.%4.%5.%6.%7."/>
      <w:lvlJc w:val="left"/>
      <w:pPr>
        <w:widowControl/>
        <w:ind w:left="3504" w:hanging="1800"/>
      </w:pPr>
    </w:lvl>
    <w:lvl w:ilvl="7">
      <w:start w:val="1"/>
      <w:numFmt w:val="decimal"/>
      <w:lvlText w:val="%1.%2.%3.%4.%5.%6.%7.%8."/>
      <w:lvlJc w:val="left"/>
      <w:pPr>
        <w:widowControl/>
        <w:ind w:left="3788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4432" w:hanging="2160"/>
      </w:pPr>
    </w:lvl>
  </w:abstractNum>
  <w:num w:numId="1" w16cid:durableId="118489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DB"/>
    <w:rsid w:val="00252BD4"/>
    <w:rsid w:val="002711B6"/>
    <w:rsid w:val="002F3E98"/>
    <w:rsid w:val="00302D84"/>
    <w:rsid w:val="00657B1C"/>
    <w:rsid w:val="00902DDB"/>
    <w:rsid w:val="00A13332"/>
    <w:rsid w:val="00A751C6"/>
    <w:rsid w:val="00B6133D"/>
    <w:rsid w:val="00C2436E"/>
    <w:rsid w:val="00D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D8F"/>
  <w15:docId w15:val="{A6981D29-D2BA-4826-8D55-02286D55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0"/>
    <w:next w:val="a0"/>
    <w:link w:val="50"/>
    <w:uiPriority w:val="9"/>
    <w:qFormat/>
    <w:pPr>
      <w:widowControl w:val="0"/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1152"/>
      </w:tabs>
      <w:spacing w:before="240" w:after="60"/>
      <w:ind w:left="1152" w:hanging="1152"/>
      <w:outlineLvl w:val="5"/>
    </w:pPr>
    <w:rPr>
      <w:b/>
      <w:sz w:val="20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widowControl w:val="0"/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0"/>
    <w:next w:val="a0"/>
    <w:link w:val="90"/>
    <w:uiPriority w:val="9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10">
    <w:name w:val="Заголовок 11"/>
    <w:basedOn w:val="a0"/>
    <w:next w:val="a0"/>
    <w:link w:val="111"/>
    <w:pPr>
      <w:keepNext/>
      <w:spacing w:before="240" w:after="60"/>
      <w:jc w:val="center"/>
    </w:pPr>
    <w:rPr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mi-callto">
    <w:name w:val="wmi-callto"/>
    <w:basedOn w:val="12"/>
    <w:link w:val="wmi-callto0"/>
  </w:style>
  <w:style w:type="character" w:customStyle="1" w:styleId="wmi-callto0">
    <w:name w:val="wmi-callto"/>
    <w:basedOn w:val="a1"/>
    <w:link w:val="wmi-callto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4">
    <w:name w:val="Body Text"/>
    <w:basedOn w:val="a0"/>
    <w:link w:val="a5"/>
    <w:pPr>
      <w:ind w:firstLine="709"/>
      <w:jc w:val="both"/>
    </w:pPr>
    <w:rPr>
      <w:sz w:val="26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0"/>
    </w:rPr>
  </w:style>
  <w:style w:type="paragraph" w:styleId="a6">
    <w:name w:val="annotation text"/>
    <w:basedOn w:val="a0"/>
    <w:link w:val="a7"/>
    <w:rPr>
      <w:sz w:val="20"/>
    </w:rPr>
  </w:style>
  <w:style w:type="character" w:customStyle="1" w:styleId="a7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customStyle="1" w:styleId="13">
    <w:name w:val="Замещающий текст1"/>
    <w:link w:val="a8"/>
    <w:rPr>
      <w:color w:val="808080"/>
    </w:rPr>
  </w:style>
  <w:style w:type="character" w:styleId="a8">
    <w:name w:val="Placeholder Text"/>
    <w:link w:val="13"/>
    <w:rPr>
      <w:color w:val="808080"/>
    </w:rPr>
  </w:style>
  <w:style w:type="paragraph" w:styleId="a9">
    <w:name w:val="Balloon Text"/>
    <w:basedOn w:val="a0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3">
    <w:name w:val="Обычный4"/>
    <w:link w:val="44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44">
    <w:name w:val="Обычный4"/>
    <w:link w:val="43"/>
    <w:rPr>
      <w:rFonts w:ascii="Times New Roman" w:hAnsi="Times New Roman"/>
      <w:sz w:val="28"/>
    </w:rPr>
  </w:style>
  <w:style w:type="paragraph" w:customStyle="1" w:styleId="14">
    <w:name w:val="Знак сноски1"/>
    <w:link w:val="ab"/>
    <w:rPr>
      <w:vertAlign w:val="superscript"/>
    </w:rPr>
  </w:style>
  <w:style w:type="character" w:styleId="ab">
    <w:name w:val="footnote reference"/>
    <w:link w:val="14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210">
    <w:name w:val="Заголовок 2 Знак1"/>
    <w:link w:val="211"/>
    <w:rPr>
      <w:rFonts w:ascii="Cambria" w:hAnsi="Cambria"/>
      <w:b/>
      <w:i/>
      <w:sz w:val="28"/>
    </w:rPr>
  </w:style>
  <w:style w:type="character" w:customStyle="1" w:styleId="211">
    <w:name w:val="Заголовок 2 Знак1"/>
    <w:link w:val="210"/>
    <w:rPr>
      <w:rFonts w:ascii="Cambria" w:hAnsi="Cambria"/>
      <w:b/>
      <w:i/>
      <w:sz w:val="28"/>
    </w:rPr>
  </w:style>
  <w:style w:type="paragraph" w:styleId="35">
    <w:name w:val="Body Text Indent 3"/>
    <w:basedOn w:val="a0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1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12">
    <w:name w:val="Обычный11"/>
    <w:link w:val="113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13">
    <w:name w:val="Обычный11"/>
    <w:link w:val="112"/>
    <w:rPr>
      <w:rFonts w:ascii="Times New Roman" w:hAnsi="Times New Roman"/>
      <w:sz w:val="28"/>
    </w:rPr>
  </w:style>
  <w:style w:type="paragraph" w:customStyle="1" w:styleId="15">
    <w:name w:val="Гиперссылка1"/>
    <w:link w:val="ae"/>
    <w:rPr>
      <w:color w:val="0000FF"/>
      <w:u w:val="single"/>
    </w:rPr>
  </w:style>
  <w:style w:type="character" w:styleId="ae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6">
    <w:name w:val="toc 1"/>
    <w:next w:val="a0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Строгий1"/>
    <w:link w:val="af"/>
    <w:rPr>
      <w:b/>
    </w:rPr>
  </w:style>
  <w:style w:type="character" w:styleId="af">
    <w:name w:val="Strong"/>
    <w:link w:val="18"/>
    <w:rPr>
      <w:b/>
    </w:rPr>
  </w:style>
  <w:style w:type="paragraph" w:customStyle="1" w:styleId="25">
    <w:name w:val="Обычный2"/>
    <w:link w:val="2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26">
    <w:name w:val="Обычный2"/>
    <w:link w:val="25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Знак примечания1"/>
    <w:link w:val="af0"/>
    <w:rPr>
      <w:sz w:val="16"/>
    </w:rPr>
  </w:style>
  <w:style w:type="character" w:styleId="af0">
    <w:name w:val="annotation reference"/>
    <w:link w:val="19"/>
    <w:rPr>
      <w:sz w:val="16"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Style9">
    <w:name w:val="Style9"/>
    <w:basedOn w:val="a0"/>
    <w:link w:val="Style90"/>
    <w:pPr>
      <w:widowControl w:val="0"/>
      <w:spacing w:line="252" w:lineRule="exact"/>
      <w:ind w:firstLine="355"/>
      <w:jc w:val="both"/>
    </w:p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annotation subject"/>
    <w:basedOn w:val="a6"/>
    <w:next w:val="a6"/>
    <w:link w:val="af2"/>
    <w:rPr>
      <w:b/>
    </w:rPr>
  </w:style>
  <w:style w:type="character" w:customStyle="1" w:styleId="af2">
    <w:name w:val="Тема примечания Знак"/>
    <w:basedOn w:val="a7"/>
    <w:link w:val="af1"/>
    <w:rPr>
      <w:rFonts w:ascii="Times New Roman" w:hAnsi="Times New Roman"/>
      <w:b/>
      <w:sz w:val="20"/>
    </w:rPr>
  </w:style>
  <w:style w:type="paragraph" w:styleId="af3">
    <w:name w:val="header"/>
    <w:basedOn w:val="a0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4"/>
    </w:rPr>
  </w:style>
  <w:style w:type="paragraph" w:styleId="a">
    <w:name w:val="List Bullet"/>
    <w:basedOn w:val="a0"/>
    <w:link w:val="af5"/>
    <w:pPr>
      <w:numPr>
        <w:ilvl w:val="2"/>
        <w:numId w:val="1"/>
      </w:numPr>
      <w:ind w:left="0" w:firstLine="709"/>
      <w:jc w:val="both"/>
    </w:pPr>
    <w:rPr>
      <w:sz w:val="28"/>
    </w:rPr>
  </w:style>
  <w:style w:type="character" w:customStyle="1" w:styleId="af5">
    <w:name w:val="Маркированный список Знак"/>
    <w:basedOn w:val="1"/>
    <w:link w:val="a"/>
    <w:rPr>
      <w:rFonts w:ascii="Times New Roman" w:hAnsi="Times New Roman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сновной текст Знак1"/>
    <w:link w:val="1b"/>
    <w:rPr>
      <w:sz w:val="22"/>
    </w:rPr>
  </w:style>
  <w:style w:type="character" w:customStyle="1" w:styleId="1b">
    <w:name w:val="Основной текст Знак1"/>
    <w:link w:val="1a"/>
    <w:rPr>
      <w:sz w:val="22"/>
    </w:rPr>
  </w:style>
  <w:style w:type="paragraph" w:customStyle="1" w:styleId="1c">
    <w:name w:val="Неразрешенное упоминание1"/>
    <w:basedOn w:val="12"/>
    <w:link w:val="af6"/>
    <w:rPr>
      <w:color w:val="605E5C"/>
      <w:shd w:val="clear" w:color="auto" w:fill="E1DFDD"/>
    </w:rPr>
  </w:style>
  <w:style w:type="character" w:styleId="af6">
    <w:name w:val="Unresolved Mention"/>
    <w:basedOn w:val="a1"/>
    <w:link w:val="1c"/>
    <w:rPr>
      <w:color w:val="605E5C"/>
      <w:shd w:val="clear" w:color="auto" w:fill="E1DFDD"/>
    </w:rPr>
  </w:style>
  <w:style w:type="paragraph" w:styleId="af7">
    <w:name w:val="List Paragraph"/>
    <w:basedOn w:val="a0"/>
    <w:link w:val="af8"/>
    <w:pPr>
      <w:ind w:left="708"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4"/>
    </w:rPr>
  </w:style>
  <w:style w:type="paragraph" w:styleId="af9">
    <w:name w:val="Subtitle"/>
    <w:basedOn w:val="a0"/>
    <w:link w:val="afa"/>
    <w:uiPriority w:val="11"/>
    <w:qFormat/>
    <w:rPr>
      <w:b/>
    </w:rPr>
  </w:style>
  <w:style w:type="character" w:customStyle="1" w:styleId="afa">
    <w:name w:val="Подзаголовок Знак"/>
    <w:basedOn w:val="1"/>
    <w:link w:val="af9"/>
    <w:rPr>
      <w:rFonts w:ascii="Times New Roman" w:hAnsi="Times New Roman"/>
      <w:b/>
      <w:sz w:val="24"/>
    </w:rPr>
  </w:style>
  <w:style w:type="paragraph" w:styleId="afb">
    <w:name w:val="Body Text Indent"/>
    <w:basedOn w:val="a0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basedOn w:val="1"/>
    <w:link w:val="afb"/>
    <w:rPr>
      <w:rFonts w:ascii="Times New Roman" w:hAnsi="Times New Roman"/>
      <w:sz w:val="24"/>
    </w:rPr>
  </w:style>
  <w:style w:type="paragraph" w:styleId="afd">
    <w:name w:val="Title"/>
    <w:basedOn w:val="a0"/>
    <w:link w:val="afe"/>
    <w:uiPriority w:val="10"/>
    <w:qFormat/>
    <w:pPr>
      <w:jc w:val="center"/>
    </w:pPr>
    <w:rPr>
      <w:b/>
      <w:sz w:val="28"/>
    </w:rPr>
  </w:style>
  <w:style w:type="character" w:customStyle="1" w:styleId="afe">
    <w:name w:val="Заголовок Знак"/>
    <w:basedOn w:val="1"/>
    <w:link w:val="afd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4"/>
    </w:rPr>
  </w:style>
  <w:style w:type="paragraph" w:customStyle="1" w:styleId="1d">
    <w:name w:val="Обычный1"/>
    <w:link w:val="1e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e">
    <w:name w:val="Обычный1"/>
    <w:link w:val="1d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12">
    <w:name w:val="Основной шрифт абзаца1"/>
  </w:style>
  <w:style w:type="paragraph" w:customStyle="1" w:styleId="aff">
    <w:link w:val="aff0"/>
    <w:semiHidden/>
    <w:unhideWhenUsed/>
    <w:rPr>
      <w:rFonts w:ascii="Times New Roman" w:hAnsi="Times New Roman"/>
      <w:sz w:val="24"/>
    </w:rPr>
  </w:style>
  <w:style w:type="character" w:customStyle="1" w:styleId="aff0">
    <w:link w:val="aff"/>
    <w:semiHidden/>
    <w:unhideWhenUsed/>
    <w:rPr>
      <w:rFonts w:ascii="Times New Roman" w:hAnsi="Times New Roman"/>
      <w:sz w:val="24"/>
    </w:rPr>
  </w:style>
  <w:style w:type="paragraph" w:styleId="aff1">
    <w:name w:val="Plain Text"/>
    <w:basedOn w:val="a0"/>
    <w:link w:val="aff2"/>
    <w:pPr>
      <w:tabs>
        <w:tab w:val="left" w:pos="360"/>
      </w:tabs>
      <w:ind w:firstLine="900"/>
      <w:jc w:val="both"/>
    </w:pPr>
    <w:rPr>
      <w:spacing w:val="-2"/>
      <w:sz w:val="26"/>
    </w:rPr>
  </w:style>
  <w:style w:type="character" w:customStyle="1" w:styleId="aff2">
    <w:name w:val="Текст Знак"/>
    <w:basedOn w:val="1"/>
    <w:link w:val="aff1"/>
    <w:rPr>
      <w:rFonts w:ascii="Times New Roman" w:hAnsi="Times New Roman"/>
      <w:spacing w:val="-2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2026-02-16T13:44:00Z</cp:lastPrinted>
  <dcterms:created xsi:type="dcterms:W3CDTF">2026-02-02T14:18:00Z</dcterms:created>
  <dcterms:modified xsi:type="dcterms:W3CDTF">2026-06-17T06:32:00Z</dcterms:modified>
</cp:coreProperties>
</file>