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</w:rPr>
        <w:t xml:space="preserve">Сублицензионный государственный  контракт № </w:t>
      </w:r>
      <w:r>
        <w:rPr/>
        <w:t>_____________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 xml:space="preserve">ИКЗ </w:t>
      </w:r>
      <w:r>
        <w:rPr>
          <w:rFonts w:cs="Times New Roman"/>
          <w:color w:val="000000"/>
          <w:sz w:val="24"/>
          <w:szCs w:val="24"/>
          <w:shd w:fill="auto" w:val="clear"/>
          <w:lang w:eastAsia="ru-RU"/>
        </w:rPr>
        <w:t>261783802769178380100100150000000244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right" w:pos="9350" w:leader="none"/>
        </w:tabs>
        <w:rPr/>
      </w:pPr>
      <w:r>
        <w:rPr/>
        <w:t xml:space="preserve">г. </w:t>
      </w:r>
      <w:sdt>
        <w:sdtPr>
          <w:placeholder>
            <w:docPart w:val="73121C7F53DF4980B5E17E5D9D8EFB22"/>
          </w:placeholder>
          <w15:appearance w15:val="boundingBox"/>
          <w:id w:val="11669164"/>
          <w:dropDownList>
            <w:listItem w:displayText="Москва" w:value="Москва"/>
            <w:listItem w:displayText="Санкт-Петербург" w:value="Санкт-Петербург"/>
            <w:listItem w:displayText="Екатеринбург" w:value="Екатеринбург"/>
            <w:listItem w:displayText="Новосибирск" w:value="Новосибирск"/>
            <w:listItem w:displayText="Ростов-на-Дону" w:value="Ростов-на-Дону"/>
            <w:listItem w:displayText="Самара" w:value="Самара"/>
            <w:listItem w:displayText="Воронеж" w:value="Воронеж"/>
            <w:listItem w:displayText="Казань" w:value="Казань"/>
            <w:listItem w:displayText="Калининград" w:value="Калининград"/>
            <w:listItem w:displayText="Красноярск" w:value="Красноярск"/>
            <w:listItem w:displayText="Нижний Новгород" w:value="Нижний Новгород"/>
            <w:listItem w:displayText="Уфа" w:value="Уфа"/>
            <w:listItem w:displayText="Хабаровск" w:value="Хабаровск"/>
            <w:listItem w:displayText="Челябинск" w:value="Челябинск"/>
            <w:listItem w:displayText="Ярославль" w:value="Ярославль"/>
          </w:dropDownList>
        </w:sdtPr>
        <w:sdtContent>
          <w:r>
            <w:rPr/>
          </w:r>
          <w:r>
            <w:rPr/>
            <w:t>Санкт-Петербург</w:t>
          </w:r>
        </w:sdtContent>
      </w:sdt>
      <w:r>
        <w:rPr/>
        <w:tab/>
        <w:t xml:space="preserve">   </w:t>
      </w:r>
      <w:r>
        <w:rPr/>
        <w:t xml:space="preserve">       </w:t>
      </w:r>
      <w:r>
        <w:rPr>
          <w:rStyle w:val="Style14"/>
          <w:sz w:val="24"/>
        </w:rPr>
        <w:t>«____» __________ 2026 года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ТекстовоеПоле4"/>
      <w:bookmarkStart w:id="1" w:name="ТекстовоеПоле4"/>
      <w:bookmarkEnd w:id="1"/>
    </w:p>
    <w:p>
      <w:pPr>
        <w:pStyle w:val="Normal"/>
        <w:ind w:firstLine="567"/>
        <w:jc w:val="both"/>
        <w:rPr/>
      </w:pPr>
      <w:r>
        <w:rPr>
          <w:b/>
        </w:rPr>
        <w:t>_____________________________,</w:t>
      </w:r>
      <w:r>
        <w:rPr/>
        <w:t xml:space="preserve"> именуемое в дальнейшем </w:t>
      </w:r>
      <w:r>
        <w:rPr>
          <w:b/>
        </w:rPr>
        <w:t>Сублицензиар</w:t>
      </w:r>
      <w:r>
        <w:rPr/>
        <w:t xml:space="preserve">, </w:t>
      </w:r>
      <w:r>
        <w:rPr>
          <w:rFonts w:eastAsia="Calibri"/>
          <w:lang w:eastAsia="en-US"/>
        </w:rPr>
        <w:t xml:space="preserve">в лице _______________________, </w:t>
      </w:r>
      <w:r>
        <w:rPr/>
        <w:t xml:space="preserve">действующего на основании ______________________________, с одной стороны, </w:t>
      </w:r>
      <w:bookmarkStart w:id="2" w:name="ТекстовоеПоле6"/>
      <w:r>
        <w:rPr/>
        <w:t xml:space="preserve">и </w:t>
      </w:r>
      <w:bookmarkEnd w:id="2"/>
      <w:r>
        <w:rPr>
          <w:rFonts w:cs="Times New Roman"/>
          <w:b/>
          <w:color w:val="000000"/>
          <w:sz w:val="24"/>
          <w:szCs w:val="24"/>
          <w:shd w:fill="auto" w:val="clear"/>
          <w:lang w:eastAsia="ru-RU"/>
        </w:rPr>
        <w:t>Главное управление Федеральной службы судебных приставов по г. Санкт-Петербургу,</w:t>
      </w:r>
      <w:r>
        <w:rPr/>
        <w:t xml:space="preserve"> именуемое в дальнейшем</w:t>
      </w:r>
      <w:r>
        <w:rPr>
          <w:b/>
        </w:rPr>
        <w:t xml:space="preserve"> Сублицензиат</w:t>
      </w:r>
      <w:r>
        <w:rPr>
          <w:b w:val="false"/>
          <w:bCs w:val="false"/>
        </w:rPr>
        <w:t xml:space="preserve">, </w:t>
      </w: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в лице заместителя руководителя Коростелева Андрея Валерьевича, действующего на основании доверенности от 12.01.2026 № Д-78908/26/2340,</w:t>
      </w:r>
      <w:r>
        <w:rPr/>
        <w:t xml:space="preserve"> с другой стороны, вместе именуемые – Стороны, а каждое по отдельности – Сторона, в соответствии с пунктом 4 части 1 статьи 93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– Закон № 44-ФЗ), заключили настоящий сублицензионный государственный контракт (далее – Контракт) о нижеследующем: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center"/>
        <w:rPr>
          <w:b/>
        </w:rPr>
      </w:pPr>
      <w:r>
        <w:rPr>
          <w:b/>
        </w:rPr>
        <w:t>Термины и определения</w:t>
      </w:r>
    </w:p>
    <w:p>
      <w:pPr>
        <w:pStyle w:val="Normal"/>
        <w:ind w:firstLine="567"/>
        <w:jc w:val="center"/>
        <w:rPr>
          <w:b/>
        </w:rPr>
      </w:pPr>
      <w:r>
        <w:rPr>
          <w:b/>
        </w:rPr>
      </w:r>
    </w:p>
    <w:p>
      <w:pPr>
        <w:pStyle w:val="Normal"/>
        <w:ind w:firstLine="567"/>
        <w:jc w:val="both"/>
        <w:rPr/>
      </w:pPr>
      <w:r>
        <w:rPr>
          <w:i/>
        </w:rPr>
        <w:t>Право использования</w:t>
      </w:r>
      <w:r>
        <w:rPr/>
        <w:t xml:space="preserve"> – разрешение на использование программ для ЭВМ, перечисленных в пункте 1 Приложения № 1 к Контракту (далее именуется – «Спецификация»), способами, предусмотренными Контрактом, а также Типовым соглашением правообладателя с конечным пользователем, получаемое Сублицензиатом на условиях простой (неисключительной) лицензии. </w:t>
      </w:r>
    </w:p>
    <w:p>
      <w:pPr>
        <w:pStyle w:val="Normal"/>
        <w:ind w:firstLine="567"/>
        <w:jc w:val="both"/>
        <w:rPr/>
      </w:pPr>
      <w:r>
        <w:rPr>
          <w:i/>
        </w:rPr>
        <w:t>Типовое соглашение правообладателя с конечным пользователем</w:t>
      </w:r>
      <w:r>
        <w:rPr/>
        <w:t xml:space="preserve"> – декларируемые правообладателем программ для ЭВМ общие правила использования программ для ЭВМ, обязательные для исполнения Сублицензиатом. Типовое соглашение может быть размещено в инсталляционном файле программы для ЭВМ, отображаемом на экране монитора при установке программы, и/или размещено на официальном Интернет-сайте правообладателя программы для ЭВМ.</w:t>
      </w:r>
    </w:p>
    <w:p>
      <w:pPr>
        <w:pStyle w:val="Normal"/>
        <w:ind w:firstLine="567"/>
        <w:jc w:val="both"/>
        <w:rPr/>
      </w:pPr>
      <w:r>
        <w:rPr>
          <w:i/>
        </w:rPr>
        <w:t>Предоставление права использования программ для ЭВМ</w:t>
      </w:r>
      <w:r>
        <w:rPr/>
        <w:t xml:space="preserve"> – наступление установленного Сторонами в разделе 2 Контракта срока, позволяющее Сублицензиату начать правомерное использование программ для ЭВМ способами, предусмотренными Контрактом, а также типовым соглашением правообладателя с конечным пользователем.</w:t>
      </w:r>
    </w:p>
    <w:p>
      <w:pPr>
        <w:pStyle w:val="Normal"/>
        <w:ind w:firstLine="567"/>
        <w:jc w:val="both"/>
        <w:rPr/>
      </w:pPr>
      <w:r>
        <w:rPr>
          <w:i/>
        </w:rPr>
        <w:t>ЭВМ –</w:t>
      </w:r>
      <w:r>
        <w:rPr/>
        <w:t xml:space="preserve"> электронная вычислительная машина.</w:t>
      </w:r>
    </w:p>
    <w:p>
      <w:pPr>
        <w:pStyle w:val="Normal"/>
        <w:ind w:firstLine="567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1" w:leader="none"/>
        </w:tabs>
        <w:ind w:firstLine="567" w:left="0"/>
        <w:jc w:val="center"/>
        <w:rPr>
          <w:b/>
        </w:rPr>
      </w:pPr>
      <w:r>
        <w:rPr>
          <w:b/>
        </w:rPr>
        <w:t>Предмет Контракта</w:t>
      </w:r>
    </w:p>
    <w:p>
      <w:pPr>
        <w:pStyle w:val="Normal"/>
        <w:ind w:left="567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ind w:firstLine="567" w:left="0"/>
        <w:jc w:val="both"/>
        <w:rPr/>
      </w:pPr>
      <w:r>
        <w:rPr/>
        <w:t>Сублицензиар в соответствии с условиями Контракта обязуется предоставить Сублицензиату право использования программного обеспечения для ЭВМ, предусмотренных Спецификацией, а Сублицензиат обязуется принять и оплатить право использования программ для ЭВМ на условиях Контракта.</w:t>
      </w:r>
    </w:p>
    <w:p>
      <w:pPr>
        <w:pStyle w:val="Normal"/>
        <w:ind w:firstLine="567"/>
        <w:jc w:val="both"/>
        <w:rPr>
          <w:rFonts w:ascii="tahoma;arial;verdana;sans-serif" w:hAnsi="tahoma;arial;verdana;sans-serif"/>
          <w:b/>
          <w:i/>
          <w:i/>
          <w:color w:val="000000"/>
          <w:spacing w:val="0"/>
          <w:sz w:val="17"/>
        </w:rPr>
      </w:pPr>
      <w:r>
        <w:rPr>
          <w:rFonts w:ascii="tahoma;arial;verdana;sans-serif" w:hAnsi="tahoma;arial;verdana;sans-serif"/>
          <w:b/>
          <w:i/>
          <w:color w:val="000000"/>
          <w:spacing w:val="0"/>
          <w:sz w:val="17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1" w:leader="none"/>
        </w:tabs>
        <w:ind w:firstLine="567" w:left="0"/>
        <w:jc w:val="center"/>
        <w:rPr>
          <w:b/>
        </w:rPr>
      </w:pPr>
      <w:r>
        <w:rPr>
          <w:b/>
        </w:rPr>
        <w:t>Порядок предоставления права использования программ для ЭВМ</w:t>
      </w:r>
    </w:p>
    <w:p>
      <w:pPr>
        <w:pStyle w:val="Normal"/>
        <w:ind w:left="567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Autospacing="0" w:before="0" w:afterAutospacing="0" w:after="0"/>
        <w:ind w:firstLine="567" w:left="0"/>
        <w:jc w:val="both"/>
        <w:rPr/>
      </w:pPr>
      <w:r>
        <w:rPr/>
        <w:t>Право использования программ для ЭВМ включает в себя право на воспроизведение соответствующих программ для ЭВМ на территории Российской Федерации, ограниченное инсталляцией, копированием и запуском. Право использования предоставляется на срок, предусмотренный типовым соглашением правообладателя с конечным пользователем, и с ограничениями, включая способы использования программ для ЭВМ, установленными указанным соглашением.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 xml:space="preserve">Право использования программ для ЭВМ считается предоставленным Сублицензиату, и Сублицензиат вправе начать использование программ для ЭВМ в течение </w:t>
      </w:r>
      <w:r>
        <w:rPr>
          <w:b/>
        </w:rPr>
        <w:t>15 (Пятнадцати) рабочих дней</w:t>
      </w:r>
      <w:r>
        <w:rPr/>
        <w:t xml:space="preserve"> с даты заключения Контракта Сторонами (далее – «дата предоставления права использования программ для ЭВМ»). </w:t>
      </w:r>
    </w:p>
    <w:p>
      <w:pPr>
        <w:pStyle w:val="Normal"/>
        <w:ind w:firstLine="567"/>
        <w:jc w:val="both"/>
        <w:rPr/>
      </w:pPr>
      <w:r>
        <w:rPr/>
        <w:t>Сублицензиар обязан предоставить право использования программ для ЭВМ в указанные в абзаце 1 настоящего пункта Контракта сроки, путем предоставления кода доступа в электронном виде на электронный адрес Сублицензиата: ___________.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>
          <w:b/>
        </w:rPr>
        <w:t>Не позднее 5 (Пяти) рабочих дней</w:t>
      </w:r>
      <w:r>
        <w:rPr/>
        <w:t xml:space="preserve"> с даты предоставления права использования программ для ЭВМ по Контракту Сублицензиар направляет Сублицензиату акт предоставления права (далее – Акт)/универсальный передаточный документ (далее - УПД) и оригинал счета на оплату цены Контракта за предоставление права использования программ для ЭВМ. Сублицензиат </w:t>
      </w:r>
      <w:r>
        <w:rPr>
          <w:b/>
        </w:rPr>
        <w:t>в течение 5 (Пяти) рабочих</w:t>
      </w:r>
      <w:r>
        <w:rPr/>
        <w:t xml:space="preserve"> дней с момента получения Акта/УПД подписывает и направляет Сублицензиару один экземпляр Акта/УПД или направляет мотивированный отказ от его подписания. В случае если в установленный настоящим пунктом Контракта срок Сублицензиат не направит Сублицензиару подписанный Акт/УПД или мотивированный отказ от его подписания, Акт/УПД считается подписанным Сублицензиатом без замечаний в последний день срока, установленного для его подписания.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 xml:space="preserve">В случае использования правообладателем программ для ЭВМ технических средств защиты использования программ для ЭВМ, Сублицензиар обязуется не позднее 1 (Одного) дня с даты предоставления права использования программ для ЭВМ обеспечить Сублицензиату возможность использования соответствующих программ для ЭВМ, в том числе путём сообщения ему необходимых ключей доступа и паролей.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 xml:space="preserve">Сублицензиар гарантирует, что он обладает всеми законными основаниями для предоставления Сублицензиату права использования программ для ЭВМ по Контракту. 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Сублицензиату известны важнейшие функциональные свойства программ для ЭВМ, предусмотренных Контрактом, Сублицензиат несет риск соответствия указанных программ для ЭВМ своим пожеланиям и потребностям. Сублицензиар не несет ответственности за какие-либо убытки, возникшие вследствие ненадлежащего использования или невозможности использования программы для ЭВМ, возникших по вине Сублицензиата.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1" w:leader="none"/>
        </w:tabs>
        <w:ind w:firstLine="567" w:left="0"/>
        <w:jc w:val="center"/>
        <w:rPr>
          <w:b/>
        </w:rPr>
      </w:pPr>
      <w:r>
        <w:rPr>
          <w:b/>
        </w:rPr>
        <w:t>Цена Контракта и порядок расчётов</w:t>
      </w:r>
    </w:p>
    <w:p>
      <w:pPr>
        <w:pStyle w:val="Normal"/>
        <w:ind w:left="567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Цена Контракта (размер вознаграждения за предоставление права использования программ для ЭВМ) составляет</w:t>
      </w:r>
      <w:r>
        <w:rPr>
          <w:b/>
        </w:rPr>
        <w:t xml:space="preserve"> ___________________________________ </w:t>
      </w:r>
      <w:r>
        <w:rPr/>
        <w:t>рублей __ копеек, НДС не облагается на основании подпункта 26 пункта 2 статьи 149 Налогового кодекса Российской Федерации.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1" w:leader="none"/>
        </w:tabs>
        <w:spacing w:before="0" w:after="0"/>
        <w:ind w:hanging="0" w:left="0"/>
        <w:jc w:val="both"/>
        <w:rPr/>
      </w:pPr>
      <w:r>
        <w:rPr/>
        <w:t>Источник финансирования — Федеральный бюджет РФ 2026 года.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before="0" w:after="0"/>
        <w:ind w:firstLine="567" w:left="0"/>
        <w:jc w:val="both"/>
        <w:rPr/>
      </w:pPr>
      <w:r>
        <w:rPr/>
        <w:t>Цена Контракта является твердой и определяется на весь срок исполнения Контракта.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before="0" w:after="0"/>
        <w:ind w:firstLine="567" w:left="0"/>
        <w:jc w:val="both"/>
        <w:rPr/>
      </w:pPr>
      <w:r>
        <w:rPr/>
        <w:t xml:space="preserve">Цена Контракта включает в себя стоимость </w:t>
      </w:r>
      <w:r>
        <w:rPr>
          <w:bCs/>
        </w:rPr>
        <w:t>программ для ЭВМ</w:t>
      </w:r>
      <w:r>
        <w:rPr/>
        <w:t>, все затраты, издержки и иные расходы Сублицензиара, связанные с надлежащим исполнением Контракта, согласно требованиям Сублицензиата, НДС не облагается на основании подпункта 26 пункта 2 статьи 149 Налогового Кодекса Российской Федерации.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before="0" w:after="0"/>
        <w:ind w:firstLine="567" w:left="0"/>
        <w:jc w:val="both"/>
        <w:rPr/>
      </w:pPr>
      <w:r>
        <w:rPr/>
        <w:t>Оплата цены Контракта осуществляется Сублицензиатом в безналичной форме, в рублях Российской Федерации, на основании выставленного Сублицензиаром счета за счет средств федерального бюджета в пределах выделенных лимитов бюджетных обязательств, путем перечисления денежных средств на расчетный счет Сублицензиара.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before="0" w:after="0"/>
        <w:ind w:firstLine="567" w:left="0"/>
        <w:jc w:val="both"/>
        <w:rPr>
          <w:rFonts w:ascii="Times New Roman" w:hAnsi="Times New Roman" w:eastAsia="Batang" w:cs="Times New Roman"/>
          <w:sz w:val="24"/>
          <w:szCs w:val="24"/>
          <w:lang w:eastAsia="ko-KR"/>
        </w:rPr>
      </w:pPr>
      <w:r>
        <w:rPr>
          <w:rFonts w:eastAsia="Batang" w:cs="Times New Roman"/>
          <w:sz w:val="24"/>
          <w:szCs w:val="24"/>
          <w:lang w:eastAsia="ko-KR"/>
        </w:rPr>
        <w:t>Сублицензиат производит оплату по Контракту в течение 10 (Десяти) рабочих дней с даты получения Сублицензиатом оригинала счета, выставленного Сублицензиаром, при условии, что на дату получения счета права использования программ для ЭВМ были предоставлены Сублицензиату в объеме, предусмотренным условиями Контракта и соответствующий Акт/УПД был подписан Сторонами.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before="0" w:after="0"/>
        <w:ind w:firstLine="567" w:left="0"/>
        <w:jc w:val="both"/>
        <w:rPr/>
      </w:pPr>
      <w:r>
        <w:rPr/>
        <w:t>Обязательства Сублицензиата по оплате считаются исполненными в момент списания денежных средств с лицевого счета Сублицензиата, открытого в территориальном органе Федерального казначейства Минфина России.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before="0" w:after="0"/>
        <w:ind w:firstLine="567" w:left="0"/>
        <w:jc w:val="both"/>
        <w:rPr/>
      </w:pPr>
      <w:r>
        <w:rPr/>
        <w:t>Сублицензиат не считается просрочившим свои обязательства по оплате, если несвоевременная оплата была вызвана непредставлением соответствующего счета Сублицензиаром.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before="0" w:after="0"/>
        <w:ind w:firstLine="567" w:left="0"/>
        <w:jc w:val="both"/>
        <w:rPr/>
      </w:pPr>
      <w:r>
        <w:rPr/>
        <w:t>В соответствии с пунктом 2 части 13 статьи 34 Закона № 44-ФЗ сумма, подлежащая уплате Сублицензиатом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Сублицензиатом.</w:t>
      </w:r>
    </w:p>
    <w:p>
      <w:pPr>
        <w:pStyle w:val="Normal"/>
        <w:tabs>
          <w:tab w:val="clear" w:pos="708"/>
          <w:tab w:val="left" w:pos="567" w:leader="none"/>
        </w:tabs>
        <w:ind w:firstLine="567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1" w:leader="none"/>
        </w:tabs>
        <w:ind w:firstLine="567" w:left="0"/>
        <w:jc w:val="center"/>
        <w:rPr>
          <w:b/>
        </w:rPr>
      </w:pPr>
      <w:r>
        <w:rPr>
          <w:b/>
        </w:rPr>
        <w:t>Ответственность Сторон</w:t>
      </w:r>
    </w:p>
    <w:p>
      <w:pPr>
        <w:pStyle w:val="Normal"/>
        <w:ind w:left="567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67" w:leader="none"/>
        </w:tabs>
        <w:spacing w:before="0" w:after="0"/>
        <w:ind w:firstLine="567" w:left="0"/>
        <w:contextualSpacing/>
        <w:jc w:val="both"/>
        <w:rPr>
          <w:rFonts w:ascii="Times New Roman" w:hAnsi="Times New Roman" w:eastAsia="Batang" w:cs="Times New Roman"/>
          <w:sz w:val="24"/>
          <w:szCs w:val="24"/>
          <w:lang w:eastAsia="ko-KR"/>
        </w:rPr>
      </w:pPr>
      <w:r>
        <w:rPr>
          <w:rFonts w:eastAsia="Batang" w:cs="Times New Roman"/>
          <w:sz w:val="24"/>
          <w:szCs w:val="24"/>
          <w:lang w:eastAsia="ko-KR"/>
        </w:rPr>
        <w:t>Ответственность сторон установлена в соответствии с законодательством РФ, в частности ст. 34 Федерального закона от 05.04.2013 №44-ФЗ и Постановлением Правительства от 30.08.2017 №1042.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1" w:leader="none"/>
        </w:tabs>
        <w:ind w:firstLine="567" w:left="0"/>
        <w:jc w:val="center"/>
        <w:rPr>
          <w:b/>
        </w:rPr>
      </w:pPr>
      <w:r>
        <w:rPr>
          <w:b/>
        </w:rPr>
        <w:t>Техническая поддержка</w:t>
      </w:r>
    </w:p>
    <w:p>
      <w:pPr>
        <w:pStyle w:val="Normal"/>
        <w:ind w:left="567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Техническая поддержка в отношении использования программ для ЭВМ, предусмотренных Контрактом, осуществляется Сублицензиаром, с момента предоставления права использования. Под технической поддержкой понимается предоставляемая по выделенной линии службы приема и разрешения технических запросов (телефон, e-mail, HelpDesk) специалистами Сублицензиара консультационная помощь, включающая в себя: предоставление информации о новых версиях и исправлениях программ для ЭВМ, а также о базовых функциях программ для ЭВМ. Время предоставления поддержки и приема заявок осуществляется с понедельника по пятницу с 09:00 до 18:00 часов по московскому времени. По запросу Сублицензиата Сублицензиар обязуется предоставить адреса центров технической поддержки Правообладателей.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Расширенная техническая поддержка и иные сопутствующие услуги могут быть оказаны Сублицензиаром на основании заключаемых Сторонами дополнительный соглашений к Контракту без взимания дополнительной платы с Сублицензиата или отдельно заключаемых Сторонамим соглашений.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7" w:leader="none"/>
        </w:tabs>
        <w:ind w:firstLine="567" w:left="0"/>
        <w:jc w:val="center"/>
        <w:rPr>
          <w:b/>
        </w:rPr>
      </w:pPr>
      <w:r>
        <w:rPr>
          <w:b/>
        </w:rPr>
        <w:t>Обстоятельства непреодолимой силы</w:t>
      </w:r>
    </w:p>
    <w:p>
      <w:pPr>
        <w:pStyle w:val="Normal"/>
        <w:ind w:left="567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before="0" w:after="0"/>
        <w:ind w:firstLine="567" w:left="0"/>
        <w:jc w:val="both"/>
        <w:rPr/>
      </w:pPr>
      <w:r>
        <w:rPr/>
        <w:t>Стороны по Контракту освобождаются от ответственности за полное или частичное неисполнение либо ненадлежащее 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эпидемии (пандемии), принятие государственными органами или органами местного самоуправления нормативных или правоприменительных актов, в том числе установленные до или после заключения Контракта законодательством любой юрисдикции экспортные запреты и/или иные ограничения, применимые к объекту Контракта и/или производителю и/или конечному пользователю объекта Контракта, и иные действия, находящиеся вне разумного предвидения и контроля Сторон.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before="0" w:after="0"/>
        <w:ind w:firstLine="567" w:left="0"/>
        <w:jc w:val="both"/>
        <w:rPr/>
      </w:pPr>
      <w:r>
        <w:rPr/>
        <w:t>При наступлении обстоятельств непреодолимой силы каждая Сторона должна в разумный срок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Контракту, а также предполагаемые сроки их действия.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7" w:leader="none"/>
        </w:tabs>
        <w:spacing w:before="0" w:after="0"/>
        <w:ind w:firstLine="567" w:left="0"/>
        <w:jc w:val="both"/>
        <w:rPr/>
      </w:pPr>
      <w:r>
        <w:rPr/>
        <w:t>В случае наступления обстоятельств непреодолимой силы срок выполнения Стороной обязательств по Контракту отодвигается соразмерно времени, в течение которого действуют эти обстоятельства и их последствия, а в случае невозможности или нецелесообразности определения такого срока Стороны расторгают Контракт без взаимных претензий.</w:t>
      </w:r>
    </w:p>
    <w:p>
      <w:pPr>
        <w:pStyle w:val="Normal"/>
        <w:ind w:left="567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1" w:leader="none"/>
        </w:tabs>
        <w:ind w:firstLine="567" w:left="0"/>
        <w:jc w:val="center"/>
        <w:rPr>
          <w:b/>
        </w:rPr>
      </w:pPr>
      <w:r>
        <w:rPr>
          <w:b/>
        </w:rPr>
        <w:t>Гарантии Сублицензиара</w:t>
      </w:r>
    </w:p>
    <w:p>
      <w:pPr>
        <w:pStyle w:val="Normal"/>
        <w:ind w:left="567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Сублицензиар заверяет и гарантирует, что: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418" w:leader="none"/>
        </w:tabs>
        <w:spacing w:before="0" w:after="0"/>
        <w:ind w:firstLine="567" w:left="0"/>
        <w:contextualSpacing/>
        <w:jc w:val="both"/>
        <w:rPr>
          <w:highlight w:val="white"/>
        </w:rPr>
      </w:pPr>
      <w:r>
        <w:rPr>
          <w:b/>
          <w:highlight w:val="white"/>
        </w:rPr>
        <w:t>Сублицензиару принадлежат неисключительные</w:t>
      </w:r>
      <w:r>
        <w:rPr>
          <w:highlight w:val="white"/>
        </w:rPr>
        <w:t xml:space="preserve"> права использования программ для ЭВМ, являющейся __________________________ (___________ от __________________ серия __________________, выдано(ы) __________________________).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418" w:leader="none"/>
        </w:tabs>
        <w:spacing w:before="0" w:after="0"/>
        <w:ind w:firstLine="567" w:left="0"/>
        <w:contextualSpacing/>
        <w:jc w:val="both"/>
        <w:rPr>
          <w:highlight w:val="white"/>
        </w:rPr>
      </w:pPr>
      <w:r>
        <w:rPr>
          <w:highlight w:val="white"/>
        </w:rPr>
        <w:t>На основании __________ № ________________ от ____________ Сублицензиару переданы права на использование программы для ЭВМ для дальнейшей передачи их третьим лицам.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418" w:leader="none"/>
        </w:tabs>
        <w:spacing w:before="0" w:after="0"/>
        <w:ind w:firstLine="567" w:left="0"/>
        <w:contextualSpacing/>
        <w:jc w:val="both"/>
        <w:rPr/>
      </w:pPr>
      <w:r>
        <w:rPr/>
        <w:t>На момент заключения Контракта Сублицензиару не известно о правах третьих лиц, которые могли быть нарушены предоставлением права использования программ для ЭВМ по Контракту.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418" w:leader="none"/>
        </w:tabs>
        <w:spacing w:before="0" w:after="0"/>
        <w:ind w:firstLine="567" w:left="0"/>
        <w:contextualSpacing/>
        <w:jc w:val="both"/>
        <w:rPr/>
      </w:pPr>
      <w:r>
        <w:rPr/>
        <w:t>На момент заключения Контракта неисключительное право использования программ для ЭВМ не отчуждено, не заложено, не предоставлено по договорам исключительной лицензии иным лицам.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418" w:leader="none"/>
        </w:tabs>
        <w:spacing w:before="0" w:after="0"/>
        <w:ind w:firstLine="567" w:left="0"/>
        <w:contextualSpacing/>
        <w:jc w:val="both"/>
        <w:rPr/>
      </w:pPr>
      <w:r>
        <w:rPr/>
        <w:t>На момент заключения Контракта принадлежность Сублицензиару неисключительного права использования программ для ЭВМ не оспаривается третьими лицами, в том числе в судебном порядке.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418" w:leader="none"/>
        </w:tabs>
        <w:spacing w:before="0" w:after="0"/>
        <w:ind w:firstLine="567" w:left="0"/>
        <w:contextualSpacing/>
        <w:jc w:val="both"/>
        <w:rPr/>
      </w:pPr>
      <w:r>
        <w:rPr/>
        <w:t>Предоставление права использования программ для ЭВМ Сублицензиаром Сублицензиату не нарушает авторские, смежные, патентные, права на секреты производства (ноу-хау) и любые иные права третьих лиц.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418" w:leader="none"/>
        </w:tabs>
        <w:spacing w:before="0" w:after="0"/>
        <w:ind w:firstLine="567" w:left="0"/>
        <w:contextualSpacing/>
        <w:jc w:val="both"/>
        <w:rPr/>
      </w:pPr>
      <w:r>
        <w:rPr/>
        <w:t>Использование программ для ЭВМ в соответствии с его функциональным назначением не нарушает требований действующего законодательства Российской Федерации.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418" w:leader="none"/>
        </w:tabs>
        <w:spacing w:before="0" w:after="0"/>
        <w:ind w:firstLine="567" w:left="0"/>
        <w:contextualSpacing/>
        <w:jc w:val="both"/>
        <w:rPr/>
      </w:pPr>
      <w:r>
        <w:rPr/>
        <w:t>В отношении программ для ЭВМ осуществлены все необходимые в соответствии с требованиями действующего законодательства Российской Федерации сертификации и получены разрешения компетентных органов на его использование.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418" w:leader="none"/>
        </w:tabs>
        <w:spacing w:before="0" w:after="0"/>
        <w:ind w:firstLine="567" w:left="0"/>
        <w:contextualSpacing/>
        <w:jc w:val="both"/>
        <w:rPr/>
      </w:pPr>
      <w:r>
        <w:rPr/>
        <w:t>Программа для ЭВМ не содержит компьютерные вирусы, трояны, самоликвидирующиеся механизмы, механизмы защиты от копирования и другие подобные машинные команды, которые могут деактивировать, уничтожить или изменить иным образом данные Сублицензиата, программное или аппаратное обеспечение, на котором работает программа для ЭВМ.</w:t>
      </w:r>
    </w:p>
    <w:p>
      <w:pPr>
        <w:pStyle w:val="ListParagraph"/>
        <w:numPr>
          <w:ilvl w:val="2"/>
          <w:numId w:val="1"/>
        </w:numPr>
        <w:tabs>
          <w:tab w:val="clear" w:pos="708"/>
          <w:tab w:val="left" w:pos="1418" w:leader="none"/>
        </w:tabs>
        <w:spacing w:before="0" w:after="0"/>
        <w:ind w:firstLine="567" w:left="0"/>
        <w:contextualSpacing/>
        <w:jc w:val="both"/>
        <w:rPr/>
      </w:pPr>
      <w:r>
        <w:rPr/>
        <w:t>В программе для ЭВМ отсутствуют скрытые (недокументированные) функциональные возможности, ведущие к финансовому ущербу для Сублицензиата. Такие скрытые функциональные возможности не появятся вследствие устранения Сублицензиаром дефектов в программе для ЭВМ в соответствии с положениями Контракта.</w:t>
      </w:r>
    </w:p>
    <w:p>
      <w:pPr>
        <w:pStyle w:val="Normal"/>
        <w:numPr>
          <w:ilvl w:val="1"/>
          <w:numId w:val="1"/>
        </w:numPr>
        <w:ind w:firstLine="567" w:left="0"/>
        <w:jc w:val="both"/>
        <w:rPr/>
      </w:pPr>
      <w:r>
        <w:rPr/>
        <w:t>Сублицензиар гарантирует возможность использования программ для ЭВМ в течение срока действия лицензий, указанного в Спецификации, при отсутствии нарушений условий Контракта со стороны Сублицензиата.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52"/>
        <w:ind w:firstLine="567" w:left="0"/>
        <w:jc w:val="center"/>
        <w:rPr>
          <w:b/>
        </w:rPr>
      </w:pPr>
      <w:r>
        <w:rPr>
          <w:b/>
        </w:rPr>
        <w:t>Антикоррупционная оговорка</w:t>
      </w:r>
    </w:p>
    <w:p>
      <w:pPr>
        <w:pStyle w:val="ListParagraph"/>
        <w:spacing w:lineRule="auto" w:line="252"/>
        <w:ind w:left="567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252" w:before="0" w:after="0"/>
        <w:ind w:firstLine="567" w:left="0"/>
        <w:contextualSpacing/>
        <w:jc w:val="both"/>
        <w:rPr/>
      </w:pPr>
      <w:r>
        <w:rPr/>
        <w:t>При исполнении Контракта Стороны, а также их работники и аффилированные лица, не выплачивают, не предлагают выплатить и иным образом не способствуют выплате денежных средств или ценностей прямо или косвенно любым лицам с целью оказания влияния на их действия и/или решения и получения каких-либо неправомерных преимуществ или выгод (далее – Коррупционные правонарушения). К Коррупционным правонарушениям Стороны относят в частности, но не ограничиваясь, действия, квалифицируемые действующим законодательством Российской Федерации и международными нормами как дача, получение, вымогательство или склонение к даче взятки, злоупотребление влиянием, коммерческий подкуп, легализация (отмывание) доходов, а также иные действия, нарушающие требования применимого законодательства и международных норм о противодействии коррупции.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252" w:before="0" w:after="0"/>
        <w:ind w:firstLine="567" w:left="0"/>
        <w:contextualSpacing/>
        <w:jc w:val="both"/>
        <w:rPr/>
      </w:pPr>
      <w:r>
        <w:rPr/>
        <w:t>Каждая из Сторон Контракта отказывается от любого стимулирования сотрудников и контрагентов другой Стороны, а также любых государственных служащих и других лиц, которые имеют прямое и/или косвенное отношение к исполнению Контракта.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252" w:before="0" w:after="0"/>
        <w:ind w:firstLine="567" w:left="0"/>
        <w:contextualSpacing/>
        <w:jc w:val="both"/>
        <w:rPr/>
      </w:pPr>
      <w:r>
        <w:rPr/>
        <w:t>Стороны также стремятся не допускать возникновения обстоятельств, при которых личная заинтересованность работника Стороны, её аффилированного лица и/или контрагента может негативно повлиять на исполнение Контракта и причинить ущерб интересам любой из Сторон (далее – Конфликт интересов).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252" w:before="0" w:after="0"/>
        <w:ind w:firstLine="567" w:left="0"/>
        <w:contextualSpacing/>
        <w:jc w:val="both"/>
        <w:rPr/>
      </w:pPr>
      <w:r>
        <w:rPr/>
        <w:t>Стороны строят свою деятельность и взаимоотношения с третьими лицами на основе принципов, описанных в настоящем разделе Контракта, и требуют их соблюдения от своих работников, аффилированных лиц, поставщиков, клиентов и прочих контрагентов.</w:t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567" w:leader="none"/>
        </w:tabs>
        <w:spacing w:lineRule="auto" w:line="252" w:before="0" w:after="0"/>
        <w:ind w:firstLine="567" w:left="0"/>
        <w:contextualSpacing/>
        <w:jc w:val="both"/>
        <w:rPr/>
      </w:pPr>
      <w:r>
        <w:rPr/>
        <w:t>Каждая Сторона стремится своевременно информировать другую Сторону обо всех ставших известными Стороне фактах совершения Коррупционных правонарушений или возникновения Конфликта интересов, прямо или косвенно относящихся к Контракту или его исполнению, а также обо всех обстоятельствах, свидетельствующих об угрозе совершения таких Коррупционных правонарушений или возникновения Конфликта интересов в будущем.</w:t>
      </w:r>
    </w:p>
    <w:p>
      <w:pPr>
        <w:pStyle w:val="Normal"/>
        <w:ind w:firstLine="567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1" w:leader="none"/>
        </w:tabs>
        <w:ind w:firstLine="567" w:left="0"/>
        <w:jc w:val="center"/>
        <w:rPr>
          <w:b/>
        </w:rPr>
      </w:pPr>
      <w:r>
        <w:rPr>
          <w:b/>
        </w:rPr>
        <w:t>Порядок разрешения споров</w:t>
      </w:r>
    </w:p>
    <w:p>
      <w:pPr>
        <w:pStyle w:val="Normal"/>
        <w:ind w:left="567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 xml:space="preserve">В случае возникновения споров и/или разногласий из Контракта Стороны договорились, что досудебный порядок урегулирования спора считается соблюденным в случае совершения Стороной, заявившей иск, любого из перечисленных ниже действий: </w:t>
      </w:r>
    </w:p>
    <w:p>
      <w:pPr>
        <w:pStyle w:val="ListParagraph"/>
        <w:numPr>
          <w:ilvl w:val="2"/>
          <w:numId w:val="1"/>
        </w:numPr>
        <w:tabs>
          <w:tab w:val="clear" w:pos="708"/>
        </w:tabs>
        <w:ind w:firstLine="567" w:left="0"/>
        <w:jc w:val="both"/>
        <w:rPr/>
      </w:pPr>
      <w:r>
        <w:rPr/>
        <w:t xml:space="preserve">Направление уведомления о проведении переговоров и/или претензии заказным письмом с описью вложения или курьерской отправки (нарочным) по месту нахождения / по месту нахождения юридического лица, согласно ЕГРЮЛ. </w:t>
      </w:r>
    </w:p>
    <w:p>
      <w:pPr>
        <w:pStyle w:val="ListParagraph"/>
        <w:ind w:firstLine="567" w:left="0"/>
        <w:jc w:val="both"/>
        <w:rPr/>
      </w:pPr>
      <w:r>
        <w:rPr/>
        <w:t>Срок ответа на претензию – 14 (Четырнадцать) рабочих дней с даты вручения претензии. В случае ненаправления ответа досудебный порядок считается соблюденным и Сторона, заявившая претензию, вправе обратиться в суд с исковым заявлением по истечении 30 (Тридцати) рабочих дней с даты направления претензии или с момента подтверждения организацией почтовой связи отсутствия адресата по месту нахождения/регистрации, неполучения корреспонденции по любой причине. Направление сообщений / претензий по адресу электронной почты, обмен сообщениями по адресу электронной почты, указанному в разделе 11 Контракта, признаются соблюдением письменной формы, а значит, для соблюдения претензионного досудебного порядка урегулирования спора достаточно направления претензии по адресу электронной почты.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ind w:firstLine="567" w:left="0"/>
        <w:jc w:val="both"/>
        <w:rPr/>
      </w:pPr>
      <w:r>
        <w:rPr/>
        <w:t>При невозможности урегулирования Сторонами в процессе переговоров спорных вопросов, споры подлежат рассмотрению в Арбитражном суде Санкт-Петербургу и Ленинградской области в порядке, предусмотренном законодательством Российской Федерации.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1" w:leader="none"/>
        </w:tabs>
        <w:ind w:firstLine="567" w:left="0"/>
        <w:jc w:val="center"/>
        <w:rPr>
          <w:b/>
          <w:highlight w:val="white"/>
        </w:rPr>
      </w:pPr>
      <w:r>
        <w:rPr>
          <w:b/>
        </w:rPr>
        <w:t>Действие Контракта. Ины</w:t>
      </w:r>
      <w:r>
        <w:rPr>
          <w:b/>
          <w:highlight w:val="white"/>
        </w:rPr>
        <w:t>е условия</w:t>
      </w:r>
    </w:p>
    <w:p>
      <w:pPr>
        <w:pStyle w:val="Normal"/>
        <w:ind w:left="567"/>
        <w:rPr>
          <w:b/>
          <w:highlight w:val="white"/>
        </w:rPr>
      </w:pPr>
      <w:r>
        <w:rPr>
          <w:b/>
          <w:highlight w:val="white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>
          <w:b/>
        </w:rPr>
      </w:pPr>
      <w:r>
        <w:rPr>
          <w:highlight w:val="white"/>
        </w:rPr>
        <w:t>Контракт в</w:t>
      </w:r>
      <w:r>
        <w:rPr/>
        <w:t xml:space="preserve">ступает в силу и становится обязательным для Сторон с момента его заключения Сторонами и действует до </w:t>
      </w:r>
      <w:r>
        <w:rPr>
          <w:b/>
        </w:rPr>
        <w:t>30.11.2026</w:t>
      </w:r>
      <w:r>
        <w:rPr/>
        <w:t xml:space="preserve">, </w:t>
      </w:r>
      <w:r>
        <w:rPr>
          <w:b/>
        </w:rPr>
        <w:t>а в части исполнения</w:t>
      </w:r>
      <w:r>
        <w:rPr/>
        <w:t xml:space="preserve"> </w:t>
      </w:r>
      <w:r>
        <w:rPr>
          <w:b/>
        </w:rPr>
        <w:t>финансовых обязательств – до полного их исполнения.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Контракт может быть изменен или расторгнут по письменному соглашению Сторон, в судебном порядке, а также в случаях, предусмотренных Законом № 44-ФЗ и гражданским законодательством Российской Федерации.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При расторжении Контракта по любым основаниям, не связанным с нарушением Сублицензиатом условий Контракта, в том числе условий использования программ для ЭВМ, права использования программ для ЭВМ, предоставленные Сублицензиату по Контракту до момента его расторжения, не прекращаются и действуют в течение всего срока, на который они были предоставлены.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>
          <w:bCs/>
        </w:rPr>
        <w:t>Контракт составлен в 2 (Двух) экземплярах, имеющих одинаковую юридическую силу, по одному экземпляру для каждой из Сторон.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Если иное не установлено Контрактом или законом, ни одна из Сторон не вправе в одностороннем порядке отказываться от исполнения Контракта.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 xml:space="preserve">При приобретении Сублицензиаром у соответствующих правообладателей права использования программ для ЭВМ для последующей передачи Сублицензиату по Контракту, указанными правообладателями может быть предусмотрено обязательное заполнение и/или подписание Сублицензиатом различных документов в форме, предусмотренной правообладателем, необходимых для принятия и обработки заказа Сублицензиара на такие права использования. К указанным документам могут относиться, помимо прочего: анкеты юридического лица, заявления о целях использования программ для ЭВМ, списки ранее использовавшихся Сублицензиатом лицензий на программы для ЭВМ указанного правообладателя, лицензионные условия или иные соглашения с правообладателем, руководства по использованию и прочие документы (далее – Регистрационная документация). </w:t>
      </w:r>
      <w:r>
        <w:rPr>
          <w:b/>
        </w:rPr>
        <w:t>При наличии указанных требований правообладателя, Сублицензиат обязуется обеспечить надлежащее и достоверное заполнение и/или подписание Регистрационной документации в течение 7 (Семи) рабочих дней с момента получения соответствующего запроса Сублицензиара, если иной срок не будет согласован Сторонами дополнительно.</w:t>
      </w:r>
      <w:r>
        <w:rPr/>
        <w:t xml:space="preserve"> В случае нарушения Сублицензиатом вышеуказанного срока предоставления Регистрационной документации, Сублицензиар вправе отодвинуть срок их передачи соразмерно времени предоставления надлежащим образом оформленной Регистрационной документации без применения каких-либо штрафных санкций и/или иных ограничений к Сублицензиару.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Сублицензиар не несет ответственности за убытки, которые могут возникнуть у Сублицензиата ввиду предоставления Сублицензиару недостоверных или неточных сведений при заполнении Регистрационной документации, в частности, ввиду сообщения неверного электронного адреса для направления Сублицензиату экземпляров, документации и технических средств защиты программ для ЭВМ, неверных данных о компании Сублицензиата для регистрации лицензии, а также в иных подобных случаях.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Вся переписка и переговоры, ранее имевшие место между Сторонами и относящиеся к предмету Контракта, после вступления Контракта в силу теряют силу. Контракт представляет собой окончательное и полное соглашение Сторон относительно его предмета. После вступления в силу Контракта условия счетов и заказов, противоречащих Контракту, не будут иметь юридической силы, если они не совершены в письменной форме и не подписаны надлежаще уполномоченными представителями обеих Сторон.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Сублицензиар обязуется предоставлять Сублицензиату информацию о вопросах функционирования и структуры, а также дополнительных услугах и компетенциях Сублицензиара.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Все изменения и дополнения к Контракту имеют силу только если они совершены в письменной форме и подписаны надлежаще уполномоченными представителями Сторон.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Стороны имеют право на односторонний отказ от Контракта исключительно в части обязательств, срок которых не наступил на момент отказа, по следующим обстоятельствам: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в случае просрочки Стороной срока исполнения своего обязательства более чем на 60 (Шестьдесят) календарных дней;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в случае прекращения хозяйственной деятельности  Стороной, ее ликвидации или банкротства.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561" w:leader="none"/>
        </w:tabs>
        <w:spacing w:before="0" w:after="0"/>
        <w:ind w:firstLine="567" w:left="0"/>
        <w:jc w:val="both"/>
        <w:rPr/>
      </w:pPr>
      <w:r>
        <w:rPr/>
        <w:t>Под рабочими днями в целях исполнения Сторонами обязательств по Контракту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>
      <w:pPr>
        <w:pStyle w:val="Normal"/>
        <w:numPr>
          <w:ilvl w:val="1"/>
          <w:numId w:val="1"/>
        </w:numPr>
        <w:spacing w:before="0" w:after="0"/>
        <w:ind w:firstLine="567" w:left="0"/>
        <w:jc w:val="both"/>
        <w:rPr/>
      </w:pPr>
      <w:r>
        <w:rPr/>
        <w:t>В случае если в течение срока действия Контракта вступят в силу изменения налогового законодательства Российской Федерации, выражающиеся в частности, но не ограничиваясь, в изменении ставок существующих налогов, введении или отмене налогов и налоговых льгот, соответствующие цены будут скорректирована таким образом, чтобы они отражали все изменения налогового законодательства, если они подлежат обязательному применению к соответствующим сделкам, совершенным Сторонами в рамках Контракта. Все суммы дополнительно возникающих налогов подлежат добавлению к цене Контракта, в частности, но не ограничиваясь, в случае повышения ставок существующих налогов, введения новых налогов, отмены ранее существовавших налоговых льгот, применимых к предмету Контракта.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80" w:leader="none"/>
        </w:tabs>
        <w:spacing w:before="0" w:after="0"/>
        <w:ind w:firstLine="567" w:left="0"/>
        <w:jc w:val="both"/>
        <w:rPr/>
      </w:pPr>
      <w:r>
        <w:rPr/>
        <w:t>В случае изменения адресов и/или реквизитов Сторон, Сторона, чьи реквизиты изменились, обязана уведомить об этом другую Сторону в течение 5 (Пяти) рабочих дней с момента вступления в силу таких изменений. При этом заключения между Сторонами какого-либо дополнительного соглашения не требуется. Выставление счета с соответствующими реквизитами Стороны согласились считать надлежащим уведомлением.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180" w:leader="none"/>
        </w:tabs>
        <w:spacing w:before="0" w:after="0"/>
        <w:ind w:firstLine="567" w:left="0"/>
        <w:jc w:val="both"/>
        <w:rPr/>
      </w:pPr>
      <w:r>
        <w:rPr/>
        <w:t>Приложения Контракта: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80" w:leader="none"/>
        </w:tabs>
        <w:bidi w:val="0"/>
        <w:spacing w:lineRule="auto" w:line="240" w:beforeAutospacing="0" w:before="0" w:afterAutospacing="0" w:after="0"/>
        <w:ind w:hanging="0" w:left="567" w:right="0"/>
        <w:jc w:val="both"/>
        <w:rPr/>
      </w:pPr>
      <w:r>
        <w:rPr/>
        <w:t>- Приложение №1 — Спецификация.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61" w:leader="none"/>
        </w:tabs>
        <w:ind w:firstLine="567" w:left="0"/>
        <w:jc w:val="center"/>
        <w:rPr>
          <w:b/>
        </w:rPr>
      </w:pPr>
      <w:r>
        <w:rPr>
          <w:b/>
        </w:rPr>
        <w:t>Адреса, реквизиты и подписи Сторон</w:t>
      </w:r>
    </w:p>
    <w:tbl>
      <w:tblPr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706"/>
        <w:gridCol w:w="4647"/>
      </w:tblGrid>
      <w:tr>
        <w:trPr>
          <w:trHeight w:val="20" w:hRule="atLeast"/>
        </w:trPr>
        <w:tc>
          <w:tcPr>
            <w:tcW w:w="4706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Сублицензиар</w:t>
            </w:r>
          </w:p>
        </w:tc>
        <w:tc>
          <w:tcPr>
            <w:tcW w:w="4647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Сублицензиат</w:t>
            </w:r>
          </w:p>
        </w:tc>
      </w:tr>
      <w:tr>
        <w:trPr>
          <w:trHeight w:val="20" w:hRule="atLeast"/>
        </w:trPr>
        <w:tc>
          <w:tcPr>
            <w:tcW w:w="4706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47" w:type="dxa"/>
            <w:tcBorders/>
          </w:tcPr>
          <w:p>
            <w:pPr>
              <w:pStyle w:val="Style20"/>
              <w:bidi w:val="0"/>
              <w:spacing w:before="0" w:after="0"/>
              <w:ind w:hanging="0" w:left="57" w:right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Главное управление Федеральной службы судебных приставов по г. Санкт-Петербургу</w:t>
            </w:r>
          </w:p>
        </w:tc>
      </w:tr>
      <w:tr>
        <w:trPr>
          <w:trHeight w:val="20" w:hRule="atLeast"/>
        </w:trPr>
        <w:tc>
          <w:tcPr>
            <w:tcW w:w="4706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47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hanging="0" w:left="57" w:righ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Получатель: УФК по г.Санкт-Петербургу (Главное управление Федеральной службы судебных приставов по г.Санкт-Петербургу, л/с 03721785720)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57" w:righ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ИНН/КПП 7838027691/783801001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57" w:righ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р/сч 03211643000000013225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57" w:righ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Наименование банка: ОКЦ № 1 ВОЛГО-ВЯТСКОГО ГУ БАНКА РОССИИ//УФК по Нижегородской области, г. Нижний Новгород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57" w:righ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Кор.счет: 40102810745370000024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57" w:righ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012202102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57" w:right="0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ОКТМО 40303000</w:t>
            </w:r>
          </w:p>
          <w:p>
            <w:pPr>
              <w:pStyle w:val="Normal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Hyperlink"/>
                <w:rFonts w:cs="Times New Roman"/>
                <w:sz w:val="22"/>
                <w:szCs w:val="22"/>
              </w:rPr>
              <w:t>Тел. (812) 3182032</w:t>
            </w:r>
          </w:p>
        </w:tc>
      </w:tr>
      <w:tr>
        <w:trPr>
          <w:trHeight w:val="20" w:hRule="atLeast"/>
        </w:trPr>
        <w:tc>
          <w:tcPr>
            <w:tcW w:w="4706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От Сублицензиара: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Подписано ЭЦП </w:t>
            </w:r>
            <w:r>
              <w:rPr>
                <w:b/>
                <w:u w:val="single"/>
              </w:rPr>
              <w:t>/                            /</w:t>
            </w:r>
          </w:p>
        </w:tc>
        <w:tc>
          <w:tcPr>
            <w:tcW w:w="4647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От Сублицензиата:</w:t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Подписано ЭЦП </w:t>
            </w:r>
            <w:r>
              <w:rPr>
                <w:b/>
                <w:u w:val="single"/>
              </w:rPr>
              <w:t>/ Коростелев А.В.</w:t>
            </w:r>
            <w:r>
              <w:rPr>
                <w:b/>
              </w:rPr>
              <w:t>/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418" w:right="851" w:gutter="0" w:header="709" w:top="851" w:footer="709" w:bottom="851"/>
          <w:pgNumType w:fmt="decimal"/>
          <w:formProt w:val="false"/>
          <w:textDirection w:val="lrTb"/>
          <w:docGrid w:type="default" w:linePitch="360" w:charSpace="0"/>
        </w:sectPr>
      </w:pPr>
      <w:r>
        <w:br w:type="page"/>
      </w:r>
    </w:p>
    <w:p>
      <w:pPr>
        <w:pStyle w:val="Normal"/>
        <w:spacing w:before="0" w:after="0"/>
        <w:jc w:val="right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1</w:t>
      </w:r>
    </w:p>
    <w:p>
      <w:pPr>
        <w:pStyle w:val="Normal"/>
        <w:jc w:val="right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к Сублицензионному контракту № </w:t>
      </w:r>
      <w:r>
        <w:rPr>
          <w:b/>
          <w:sz w:val="22"/>
          <w:szCs w:val="22"/>
        </w:rPr>
        <w:t>__________________</w:t>
      </w:r>
    </w:p>
    <w:p>
      <w:pPr>
        <w:pStyle w:val="Normal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 «___» _____________ 2026 года</w:t>
      </w:r>
    </w:p>
    <w:p>
      <w:pPr>
        <w:pStyle w:val="Normal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Спецификация</w:t>
      </w:r>
    </w:p>
    <w:p>
      <w:pPr>
        <w:pStyle w:val="Normal"/>
        <w:tabs>
          <w:tab w:val="clear" w:pos="708"/>
          <w:tab w:val="right" w:pos="9350" w:leader="none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г. </w:t>
      </w:r>
      <w:sdt>
        <w:sdtPr>
          <w:placeholder>
            <w:docPart w:val="93D991AD4DAE4B648EA2149B4B60092B"/>
          </w:placeholder>
          <w15:appearance w15:val="boundingBox"/>
          <w:id w:val="1876879411"/>
          <w:dropDownList>
            <w:listItem w:displayText="Москва" w:value="Москва"/>
            <w:listItem w:displayText="Санкт-Петербург" w:value="Санкт-Петербург"/>
            <w:listItem w:displayText="Екатеринбург" w:value="Екатеринбург"/>
            <w:listItem w:displayText="Новосибирск" w:value="Новосибирск"/>
            <w:listItem w:displayText="Ростов-на-Дону" w:value="Ростов-на-Дону"/>
            <w:listItem w:displayText="Самара" w:value="Самара"/>
            <w:listItem w:displayText="Воронеж" w:value="Воронеж"/>
            <w:listItem w:displayText="Казань" w:value="Казань"/>
            <w:listItem w:displayText="Калининград" w:value="Калининград"/>
            <w:listItem w:displayText="Красноярск" w:value="Красноярск"/>
            <w:listItem w:displayText="Нижний Новгород" w:value="Нижний Новгород"/>
            <w:listItem w:displayText="Уфа" w:value="Уфа"/>
            <w:listItem w:displayText="Хабаровск" w:value="Хабаровск"/>
            <w:listItem w:displayText="Челябинск" w:value="Челябинск"/>
            <w:listItem w:displayText="Ярославль" w:value="Ярославль"/>
          </w:dropDownList>
        </w:sdtPr>
        <w:sdtContent>
          <w:r>
            <w:rPr>
              <w:sz w:val="22"/>
              <w:szCs w:val="22"/>
            </w:rPr>
          </w:r>
          <w:r>
            <w:rPr>
              <w:sz w:val="22"/>
              <w:szCs w:val="22"/>
            </w:rPr>
            <w:t>Санкт-Петербург</w:t>
          </w:r>
        </w:sdtContent>
      </w:sdt>
      <w:r>
        <w:rPr>
          <w:sz w:val="22"/>
          <w:szCs w:val="22"/>
        </w:rPr>
        <w:tab/>
        <w:t xml:space="preserve">      «____» _______________ 2026</w:t>
      </w:r>
      <w:r>
        <w:rPr>
          <w:sz w:val="22"/>
          <w:szCs w:val="22"/>
        </w:rPr>
        <w:t xml:space="preserve"> года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851" w:leader="none"/>
        </w:tabs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</w:t>
      </w:r>
      <w:r>
        <w:rPr>
          <w:sz w:val="22"/>
          <w:szCs w:val="22"/>
        </w:rPr>
        <w:t xml:space="preserve">, именуемое в дальнейшем Сублицензиар,        </w:t>
      </w:r>
      <w:r>
        <w:rPr>
          <w:rFonts w:eastAsia="Calibri"/>
          <w:sz w:val="22"/>
          <w:szCs w:val="22"/>
          <w:lang w:eastAsia="en-US"/>
        </w:rPr>
        <w:t>в лице __________________________________</w:t>
      </w:r>
      <w:r>
        <w:rPr>
          <w:sz w:val="22"/>
          <w:szCs w:val="22"/>
        </w:rPr>
        <w:t xml:space="preserve">, действующего на основании ______________, с одной стороны, и </w:t>
      </w:r>
      <w:r>
        <w:rPr>
          <w:rFonts w:cs="Times New Roman"/>
          <w:b/>
          <w:color w:val="000000"/>
          <w:sz w:val="24"/>
          <w:szCs w:val="24"/>
          <w:shd w:fill="auto" w:val="clear"/>
          <w:lang w:eastAsia="ru-RU"/>
        </w:rPr>
        <w:t>Главное управление Федеральной службы судебных приставов по г. Санкт-Петербургу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именуемое в дальнейшем</w:t>
      </w:r>
      <w:r>
        <w:rPr>
          <w:b/>
          <w:sz w:val="22"/>
          <w:szCs w:val="22"/>
        </w:rPr>
        <w:t xml:space="preserve"> Сублицензиат</w:t>
      </w:r>
      <w:r>
        <w:rPr>
          <w:sz w:val="22"/>
          <w:szCs w:val="22"/>
        </w:rPr>
        <w:t xml:space="preserve">, </w:t>
      </w: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>заместителя руководителя Коростелева Андрея Валерьевича, действующего на основании доверенности от 12.01.2026 № Д-78908/26/2340</w:t>
      </w:r>
      <w:r>
        <w:rPr>
          <w:sz w:val="22"/>
          <w:szCs w:val="22"/>
        </w:rPr>
        <w:t xml:space="preserve">, с другой стороны, вместе именуемые — Стороны, а каждое по отдельности — Сторона, подписали настоящую Спецификацию к </w:t>
      </w:r>
      <w:r>
        <w:rPr>
          <w:bCs/>
          <w:sz w:val="22"/>
          <w:szCs w:val="22"/>
        </w:rPr>
        <w:t>Контракту</w:t>
      </w:r>
      <w:r>
        <w:rPr>
          <w:sz w:val="22"/>
          <w:szCs w:val="22"/>
        </w:rPr>
        <w:t xml:space="preserve"> о нижеследующем:</w:t>
      </w:r>
    </w:p>
    <w:p>
      <w:pPr>
        <w:pStyle w:val="Normal"/>
        <w:tabs>
          <w:tab w:val="clear" w:pos="708"/>
          <w:tab w:val="left" w:pos="851" w:leader="none"/>
        </w:tabs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  <w:tab w:val="left" w:pos="851" w:leader="none"/>
        </w:tabs>
        <w:ind w:firstLine="567" w:left="0"/>
        <w:jc w:val="both"/>
        <w:rPr>
          <w:sz w:val="22"/>
          <w:szCs w:val="22"/>
        </w:rPr>
      </w:pPr>
      <w:r>
        <w:rPr>
          <w:sz w:val="22"/>
          <w:szCs w:val="22"/>
        </w:rPr>
        <w:t>Сублицензиар обязуется предоставить, а Сублицензиат оплатить размер вознаграждения за предоставление права использования следующих программ для ЭВМ: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83"/>
        <w:gridCol w:w="1164"/>
        <w:gridCol w:w="1746"/>
        <w:gridCol w:w="1746"/>
        <w:gridCol w:w="1479"/>
        <w:gridCol w:w="1209"/>
        <w:gridCol w:w="942"/>
        <w:gridCol w:w="666"/>
      </w:tblGrid>
      <w:tr>
        <w:trPr>
          <w:trHeight w:val="4773" w:hRule="atLeast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before="28" w:after="17"/>
              <w:ind w:left="6" w:right="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r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E0E0E0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Номер и дата включения в единый реестр российских программ для ЭВМ и баз данных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before="28" w:after="17"/>
              <w:ind w:left="6" w:right="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Правообладатель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before="28" w:after="17"/>
              <w:ind w:left="6" w:right="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программы для ЭВМ, право использования которой предоставляется Сублицензиату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before="28" w:after="17"/>
              <w:ind w:left="6" w:right="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Срок использования программы для ЭВМ (срок действия лицензий), месяцев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before="28" w:after="17"/>
              <w:ind w:left="6" w:right="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Количество лицензий*, штук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before="28" w:after="17"/>
              <w:ind w:left="6" w:right="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за 1 штуку (стоимость программы для ЭВМ) (НДС не облагается)), рублей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spacing w:before="28" w:after="17"/>
              <w:ind w:left="6" w:right="6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 (НДС не облагается), рублей</w:t>
            </w:r>
          </w:p>
        </w:tc>
      </w:tr>
      <w:tr>
        <w:trPr>
          <w:trHeight w:val="557" w:hRule="atLeast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numPr>
                <w:ilvl w:val="0"/>
                <w:numId w:val="3"/>
              </w:numPr>
              <w:ind w:hanging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28" w:after="17"/>
              <w:ind w:left="6" w:right="6"/>
              <w:jc w:val="center"/>
              <w:rPr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before="28" w:after="17"/>
              <w:ind w:left="6" w:right="6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  <w14:ligatures w14:val="none"/>
              </w:rPr>
              <w:t>Лицензия на операционную систему специального назначения «Astra Linux Special Edition» для 64-х разрядной платформы на базе процессорной архитектуры х86-64, уровень защищенности «Максимальный» («Смоленск»), РУСБ.10015-01 (ФСТЭК), способ передачи BOX, для рабочей станции, на срок действия исключительного права, с включенными обновлениями Тип 1 на 12 мес.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before="28" w:after="17"/>
              <w:ind w:left="6" w:right="6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без ограничения срока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spacing w:before="28" w:after="17"/>
              <w:ind w:left="6" w:right="6"/>
              <w:jc w:val="center"/>
              <w:rPr>
                <w:sz w:val="20"/>
                <w:szCs w:val="20"/>
                <w14:ligatures w14:val="none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>
          <w:trHeight w:val="238" w:hRule="atLeast"/>
        </w:trPr>
        <w:tc>
          <w:tcPr>
            <w:tcW w:w="8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общий размер вознаграждения за предоставление права использования программ для ЭВМ: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426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firstLine="567"/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</w:r>
    </w:p>
    <w:p>
      <w:pPr>
        <w:pStyle w:val="Normal"/>
        <w:ind w:firstLine="56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* Под одной лицензией понимается одна ЭВМ на которой возможно использование соответствующей программ для ЭВМ, если иное не предусмотрено Типовым соглашением правообладателя с конечным пользователем.</w:t>
      </w:r>
    </w:p>
    <w:p>
      <w:pPr>
        <w:pStyle w:val="Normal"/>
        <w:tabs>
          <w:tab w:val="clear" w:pos="708"/>
          <w:tab w:val="left" w:pos="426" w:leader="none"/>
          <w:tab w:val="left" w:pos="851" w:leader="none"/>
        </w:tabs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426" w:leader="none"/>
          <w:tab w:val="left" w:pos="851" w:leader="none"/>
        </w:tabs>
        <w:ind w:firstLine="567" w:left="0"/>
        <w:jc w:val="both"/>
        <w:rPr>
          <w:sz w:val="22"/>
          <w:szCs w:val="22"/>
        </w:rPr>
      </w:pPr>
      <w:r>
        <w:rPr>
          <w:sz w:val="22"/>
          <w:szCs w:val="22"/>
        </w:rPr>
        <w:t>Общая стоимость предоставления права использования программ для ЭВМ (размер вознаграждения за предоставление права использования программ для ЭВМ), составляет ___________________________________ рублей __ копеек, НДС не облагается на основании подпункта 26 пункта 2 статьи 149 Налогового кодекса Российской Федерации.</w:t>
      </w:r>
    </w:p>
    <w:p>
      <w:pPr>
        <w:pStyle w:val="Normal"/>
        <w:tabs>
          <w:tab w:val="clear" w:pos="708"/>
          <w:tab w:val="left" w:pos="37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374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8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2"/>
        <w:gridCol w:w="4930"/>
      </w:tblGrid>
      <w:tr>
        <w:trPr/>
        <w:tc>
          <w:tcPr>
            <w:tcW w:w="4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Сублицензиара:</w:t>
            </w:r>
          </w:p>
          <w:p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</w:t>
            </w:r>
          </w:p>
          <w:p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4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Сублицензиата:</w:t>
            </w:r>
          </w:p>
          <w:p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МП</w:t>
            </w:r>
          </w:p>
        </w:tc>
      </w:tr>
    </w:tbl>
    <w:p>
      <w:pPr>
        <w:pStyle w:val="ListParagraph"/>
        <w:ind w:lef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418" w:right="851" w:gutter="0" w:header="284" w:top="851" w:footer="425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TimesNewRoman">
    <w:charset w:val="01"/>
    <w:family w:val="roman"/>
    <w:pitch w:val="variable"/>
  </w:font>
  <w:font w:name="tahoma">
    <w:altName w:val="arial"/>
    <w:charset w:val="01"/>
    <w:family w:val="roman"/>
    <w:pitch w:val="variable"/>
  </w:font>
  <w:font w:name="Tahoma">
    <w:charset w:val="01"/>
    <w:family w:val="swiss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Tahoma" w:ascii="Tahoma" w:hAnsi="Tahoma"/>
        <w:sz w:val="16"/>
        <w:szCs w:val="16"/>
      </w:rPr>
      <w:t xml:space="preserve">Страница </w:t>
    </w:r>
    <w:r>
      <w:rPr>
        <w:rFonts w:cs="Tahoma" w:ascii="Tahoma" w:hAnsi="Tahoma"/>
        <w:b/>
        <w:bCs/>
        <w:sz w:val="16"/>
        <w:szCs w:val="16"/>
      </w:rPr>
      <w:fldChar w:fldCharType="begin"/>
    </w:r>
    <w:r>
      <w:rPr>
        <w:sz w:val="16"/>
        <w:b/>
        <w:szCs w:val="16"/>
        <w:bCs/>
        <w:rFonts w:cs="Tahoma" w:ascii="Tahoma" w:hAnsi="Tahoma"/>
      </w:rPr>
      <w:instrText xml:space="preserve"> PAGE </w:instrText>
    </w:r>
    <w:r>
      <w:rPr>
        <w:sz w:val="16"/>
        <w:b/>
        <w:szCs w:val="16"/>
        <w:bCs/>
        <w:rFonts w:cs="Tahoma" w:ascii="Tahoma" w:hAnsi="Tahoma"/>
      </w:rPr>
      <w:fldChar w:fldCharType="separate"/>
    </w:r>
    <w:r>
      <w:rPr>
        <w:sz w:val="16"/>
        <w:b/>
        <w:szCs w:val="16"/>
        <w:bCs/>
        <w:rFonts w:cs="Tahoma" w:ascii="Tahoma" w:hAnsi="Tahoma"/>
      </w:rPr>
      <w:t>7</w:t>
    </w:r>
    <w:r>
      <w:rPr>
        <w:sz w:val="16"/>
        <w:b/>
        <w:szCs w:val="16"/>
        <w:bCs/>
        <w:rFonts w:cs="Tahoma" w:ascii="Tahoma" w:hAnsi="Tahoma"/>
      </w:rPr>
      <w:fldChar w:fldCharType="end"/>
    </w:r>
    <w:r>
      <w:rPr>
        <w:rFonts w:cs="Tahoma" w:ascii="Tahoma" w:hAnsi="Tahoma"/>
        <w:sz w:val="16"/>
        <w:szCs w:val="16"/>
      </w:rPr>
      <w:t xml:space="preserve"> из </w:t>
    </w:r>
    <w:r>
      <w:rPr>
        <w:rFonts w:cs="Tahoma" w:ascii="Tahoma" w:hAnsi="Tahoma"/>
        <w:b/>
        <w:bCs/>
        <w:sz w:val="16"/>
        <w:szCs w:val="16"/>
      </w:rPr>
      <w:fldChar w:fldCharType="begin"/>
    </w:r>
    <w:r>
      <w:rPr>
        <w:sz w:val="16"/>
        <w:b/>
        <w:szCs w:val="16"/>
        <w:bCs/>
        <w:rFonts w:cs="Tahoma" w:ascii="Tahoma" w:hAnsi="Tahoma"/>
      </w:rPr>
      <w:instrText xml:space="preserve"> NUMPAGES </w:instrText>
    </w:r>
    <w:r>
      <w:rPr>
        <w:sz w:val="16"/>
        <w:b/>
        <w:szCs w:val="16"/>
        <w:bCs/>
        <w:rFonts w:cs="Tahoma" w:ascii="Tahoma" w:hAnsi="Tahoma"/>
      </w:rPr>
      <w:fldChar w:fldCharType="separate"/>
    </w:r>
    <w:r>
      <w:rPr>
        <w:sz w:val="16"/>
        <w:b/>
        <w:szCs w:val="16"/>
        <w:bCs/>
        <w:rFonts w:cs="Tahoma" w:ascii="Tahoma" w:hAnsi="Tahoma"/>
      </w:rPr>
      <w:t>9</w:t>
    </w:r>
    <w:r>
      <w:rPr>
        <w:sz w:val="16"/>
        <w:b/>
        <w:szCs w:val="16"/>
        <w:bCs/>
        <w:rFonts w:cs="Tahoma" w:ascii="Tahoma" w:hAnsi="Tahoma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Tahoma" w:ascii="Tahoma" w:hAnsi="Tahoma"/>
        <w:sz w:val="16"/>
        <w:szCs w:val="16"/>
      </w:rPr>
      <w:t xml:space="preserve">Страница </w:t>
    </w:r>
    <w:r>
      <w:rPr>
        <w:rFonts w:cs="Tahoma" w:ascii="Tahoma" w:hAnsi="Tahoma"/>
        <w:b/>
        <w:bCs/>
        <w:sz w:val="16"/>
        <w:szCs w:val="16"/>
      </w:rPr>
      <w:fldChar w:fldCharType="begin"/>
    </w:r>
    <w:r>
      <w:rPr>
        <w:sz w:val="16"/>
        <w:b/>
        <w:szCs w:val="16"/>
        <w:bCs/>
        <w:rFonts w:cs="Tahoma" w:ascii="Tahoma" w:hAnsi="Tahoma"/>
      </w:rPr>
      <w:instrText xml:space="preserve"> PAGE </w:instrText>
    </w:r>
    <w:r>
      <w:rPr>
        <w:sz w:val="16"/>
        <w:b/>
        <w:szCs w:val="16"/>
        <w:bCs/>
        <w:rFonts w:cs="Tahoma" w:ascii="Tahoma" w:hAnsi="Tahoma"/>
      </w:rPr>
      <w:fldChar w:fldCharType="separate"/>
    </w:r>
    <w:r>
      <w:rPr>
        <w:sz w:val="16"/>
        <w:b/>
        <w:szCs w:val="16"/>
        <w:bCs/>
        <w:rFonts w:cs="Tahoma" w:ascii="Tahoma" w:hAnsi="Tahoma"/>
      </w:rPr>
      <w:t>9</w:t>
    </w:r>
    <w:r>
      <w:rPr>
        <w:sz w:val="16"/>
        <w:b/>
        <w:szCs w:val="16"/>
        <w:bCs/>
        <w:rFonts w:cs="Tahoma" w:ascii="Tahoma" w:hAnsi="Tahoma"/>
      </w:rPr>
      <w:fldChar w:fldCharType="end"/>
    </w:r>
    <w:r>
      <w:rPr>
        <w:rFonts w:cs="Tahoma" w:ascii="Tahoma" w:hAnsi="Tahoma"/>
        <w:sz w:val="16"/>
        <w:szCs w:val="16"/>
      </w:rPr>
      <w:t xml:space="preserve"> из </w:t>
    </w:r>
    <w:r>
      <w:rPr>
        <w:rFonts w:cs="Tahoma" w:ascii="Tahoma" w:hAnsi="Tahoma"/>
        <w:b/>
        <w:bCs/>
        <w:sz w:val="16"/>
        <w:szCs w:val="16"/>
      </w:rPr>
      <w:fldChar w:fldCharType="begin"/>
    </w:r>
    <w:r>
      <w:rPr>
        <w:sz w:val="16"/>
        <w:b/>
        <w:szCs w:val="16"/>
        <w:bCs/>
        <w:rFonts w:cs="Tahoma" w:ascii="Tahoma" w:hAnsi="Tahoma"/>
      </w:rPr>
      <w:instrText xml:space="preserve"> NUMPAGES </w:instrText>
    </w:r>
    <w:r>
      <w:rPr>
        <w:sz w:val="16"/>
        <w:b/>
        <w:szCs w:val="16"/>
        <w:bCs/>
        <w:rFonts w:cs="Tahoma" w:ascii="Tahoma" w:hAnsi="Tahoma"/>
      </w:rPr>
      <w:fldChar w:fldCharType="separate"/>
    </w:r>
    <w:r>
      <w:rPr>
        <w:sz w:val="16"/>
        <w:b/>
        <w:szCs w:val="16"/>
        <w:bCs/>
        <w:rFonts w:cs="Tahoma" w:ascii="Tahoma" w:hAnsi="Tahoma"/>
      </w:rPr>
      <w:t>9</w:t>
    </w:r>
    <w:r>
      <w:rPr>
        <w:sz w:val="16"/>
        <w:b/>
        <w:szCs w:val="16"/>
        <w:bCs/>
        <w:rFonts w:cs="Tahoma" w:ascii="Tahoma" w:hAnsi="Tahoma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ahoma" w:hAnsi="Tahoma"/>
        <w:sz w:val="16"/>
        <w:szCs w:val="16"/>
      </w:rPr>
    </w:pPr>
    <w:r>
      <w:rPr>
        <w:rFonts w:ascii="Tahoma" w:hAnsi="Tahoma"/>
        <w:sz w:val="16"/>
        <w:szCs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/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/>
    </w:lvl>
  </w:abstractNum>
  <w:abstractNum w:abstractNumId="2"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  <w:docVars>
    <w:docVar w:name="ЗАКАЗЧИК_ЮРАДРЕС" w:val="109028, г. Москва, вн.тер.г. муниципальный округ Басманный, пер. Хохловский, д. 10, стр. "/>
    <w:docVar w:name="ЗАКАЗЧИК_ПОЧТАДРЕС" w:val=""/>
    <w:docVar w:name="ЗАКАЗЧИК_ИНН" w:val="770201740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4"/>
      <w:lang w:val="ru-RU" w:eastAsia="ko-KR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8" w:customStyle="1">
    <w:name w:val="Текст сноски Знак"/>
    <w:uiPriority w:val="99"/>
    <w:qFormat/>
    <w:rPr>
      <w:sz w:val="18"/>
    </w:rPr>
  </w:style>
  <w:style w:type="character" w:styleId="Style9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2" w:customStyle="1">
    <w:name w:val="Верхний колонтитул Знак"/>
    <w:basedOn w:val="DefaultParagraphFont"/>
    <w:qFormat/>
    <w:rPr>
      <w:rFonts w:ascii="Times New Roman" w:hAnsi="Times New Roman" w:eastAsia="Batang" w:cs="Times New Roman"/>
      <w:sz w:val="24"/>
      <w:szCs w:val="24"/>
      <w:lang w:eastAsia="ko-KR"/>
    </w:rPr>
  </w:style>
  <w:style w:type="character" w:styleId="Style13" w:customStyle="1">
    <w:name w:val="Нижний колонтитул Знак"/>
    <w:basedOn w:val="DefaultParagraphFont"/>
    <w:qFormat/>
    <w:rPr>
      <w:rFonts w:ascii="Times New Roman" w:hAnsi="Times New Roman" w:eastAsia="Batang" w:cs="Times New Roman"/>
      <w:sz w:val="24"/>
      <w:szCs w:val="24"/>
      <w:lang w:eastAsia="ko-KR"/>
    </w:rPr>
  </w:style>
  <w:style w:type="character" w:styleId="Style14" w:customStyle="1">
    <w:name w:val="Стиль вставки"/>
    <w:basedOn w:val="DefaultParagraphFont"/>
    <w:uiPriority w:val="1"/>
    <w:qFormat/>
    <w:rPr>
      <w:rFonts w:ascii="Tahoma" w:hAnsi="Tahoma"/>
      <w:color w:themeColor="text1" w:val="000000"/>
      <w:sz w:val="20"/>
    </w:rPr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character" w:styleId="Style15" w:customStyle="1">
    <w:name w:val="Абзац списка Знак"/>
    <w:basedOn w:val="DefaultParagraphFont"/>
    <w:link w:val="ListParagraph"/>
    <w:uiPriority w:val="99"/>
    <w:qFormat/>
    <w:rPr>
      <w:rFonts w:ascii="Times New Roman" w:hAnsi="Times New Roman" w:eastAsia="Batang" w:cs="Times New Roman"/>
      <w:sz w:val="24"/>
      <w:szCs w:val="24"/>
      <w:lang w:eastAsia="ko-KR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Batang" w:cs="Tahoma"/>
      <w:sz w:val="16"/>
      <w:szCs w:val="16"/>
      <w:lang w:eastAsia="ko-K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link w:val="Style8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0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link w:val="Style15"/>
    <w:uiPriority w:val="99"/>
    <w:qFormat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22" w:customStyle="1">
    <w:name w:val="Основной текст (2)"/>
    <w:basedOn w:val="Title"/>
    <w:uiPriority w:val="99"/>
    <w:qFormat/>
    <w:pPr>
      <w:keepNext w:val="false"/>
      <w:keepLines w:val="false"/>
      <w:pageBreakBefore w:val="false"/>
      <w:widowControl/>
      <w:shd w:val="clear" w:color="auto" w:fill="FFFFFF"/>
      <w:spacing w:lineRule="auto" w:line="240" w:beforeAutospacing="0" w:before="240" w:afterAutospacing="0" w:after="360"/>
      <w:ind w:hanging="440" w:left="0" w:right="0"/>
      <w:contextualSpacing w:val="false"/>
      <w:jc w:val="both"/>
    </w:pPr>
    <w:rPr>
      <w:rFonts w:ascii="TimesNewRoman" w:hAnsi="TimesNewRoman" w:eastAsia="TimesNewRoman" w:cs="TimesNew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0"/>
      <w:u w:val="none"/>
      <w:vertAlign w:val="baseline"/>
      <w:lang w:val="ru-RU" w:eastAsia="zh-CN" w:bidi="ar-SA"/>
      <w14:ligatures w14:val="none"/>
    </w:rPr>
  </w:style>
  <w:style w:type="paragraph" w:styleId="Style20">
    <w:name w:val="Без интервала"/>
    <w:qFormat/>
    <w:pPr>
      <w:widowControl w:val="false"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auto"/>
      <w:kern w:val="2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4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"/>
    <w:basedOn w:val="74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66">
    <w:name w:val="Table Grid Light"/>
    <w:basedOn w:val="74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767">
    <w:name w:val="Plain Table 1"/>
    <w:basedOn w:val="74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768">
    <w:name w:val="Plain Table 2"/>
    <w:basedOn w:val="74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customStyle="1" w:styleId="769">
    <w:name w:val="Plain Table 3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customStyle="1" w:styleId="770">
    <w:name w:val="Plain Table 4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1">
    <w:name w:val="Plain Table 5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2">
    <w:name w:val="Grid Table 1 Light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3">
    <w:name w:val="Grid Table 1 Light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4">
    <w:name w:val="Grid Table 1 Light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5">
    <w:name w:val="Grid Table 1 Light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6">
    <w:name w:val="Grid Table 1 Light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7">
    <w:name w:val="Grid Table 1 Light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8">
    <w:name w:val="Grid Table 1 Light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79">
    <w:name w:val="Grid Table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0">
    <w:name w:val="Grid Table 2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1">
    <w:name w:val="Grid Table 2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2">
    <w:name w:val="Grid Table 2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3">
    <w:name w:val="Grid Table 2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4">
    <w:name w:val="Grid Table 2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5">
    <w:name w:val="Grid Table 2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6">
    <w:name w:val="Grid Table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7">
    <w:name w:val="Grid Table 3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8">
    <w:name w:val="Grid Table 3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9">
    <w:name w:val="Grid Table 3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0">
    <w:name w:val="Grid Table 3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1">
    <w:name w:val="Grid Table 3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2">
    <w:name w:val="Grid Table 3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93">
    <w:name w:val="Grid Table 4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94">
    <w:name w:val="Grid Table 4 - Accent 1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95">
    <w:name w:val="Grid Table 4 - Accent 2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96">
    <w:name w:val="Grid Table 4 - Accent 3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97">
    <w:name w:val="Grid Table 4 - Accent 4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98">
    <w:name w:val="Grid Table 4 - Accent 5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99">
    <w:name w:val="Grid Table 4 - Accent 6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</w:style>
  <w:style w:type="table" w:customStyle="1" w:styleId="800">
    <w:name w:val="Grid Table 5 Dark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801">
    <w:name w:val="Grid Table 5 Dark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802">
    <w:name w:val="Grid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803">
    <w:name w:val="Grid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804">
    <w:name w:val="Grid Table 5 Dark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805">
    <w:name w:val="Grid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806">
    <w:name w:val="Grid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customStyle="1" w:styleId="807">
    <w:name w:val="Grid Table 6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808">
    <w:name w:val="Grid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809">
    <w:name w:val="Grid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810">
    <w:name w:val="Grid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811">
    <w:name w:val="Grid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812">
    <w:name w:val="Grid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13">
    <w:name w:val="Grid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814">
    <w:name w:val="Grid Table 7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5">
    <w:name w:val="Grid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6">
    <w:name w:val="Grid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7">
    <w:name w:val="Grid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8">
    <w:name w:val="Grid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9">
    <w:name w:val="Grid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0">
    <w:name w:val="Grid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21">
    <w:name w:val="List Table 1 Light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2">
    <w:name w:val="List Table 1 Light - Accent 1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3">
    <w:name w:val="List Table 1 Light - Accent 2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4">
    <w:name w:val="List Table 1 Light - Accent 3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5">
    <w:name w:val="List Table 1 Light - Accent 4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6">
    <w:name w:val="List Table 1 Light - Accent 5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7">
    <w:name w:val="List Table 1 Light - Accent 6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8">
    <w:name w:val="List Table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29">
    <w:name w:val="List Table 2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830">
    <w:name w:val="List Table 2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831">
    <w:name w:val="List Table 2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832">
    <w:name w:val="List Table 2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833">
    <w:name w:val="List Table 2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834">
    <w:name w:val="List Table 2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customStyle="1" w:styleId="835">
    <w:name w:val="List Table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6">
    <w:name w:val="List Table 3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7">
    <w:name w:val="List Table 3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8">
    <w:name w:val="List Table 3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9">
    <w:name w:val="List Table 3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0">
    <w:name w:val="List Table 3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1">
    <w:name w:val="List Table 3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2">
    <w:name w:val="List Table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3">
    <w:name w:val="List Table 4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4">
    <w:name w:val="List Table 4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5">
    <w:name w:val="List Table 4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6">
    <w:name w:val="List Table 4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7">
    <w:name w:val="List Table 4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8">
    <w:name w:val="List Table 4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49">
    <w:name w:val="List Table 5 Dark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0">
    <w:name w:val="List Table 5 Dark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1">
    <w:name w:val="List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2">
    <w:name w:val="List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3">
    <w:name w:val="List Table 5 Dark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4">
    <w:name w:val="List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5">
    <w:name w:val="List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56">
    <w:name w:val="List Table 6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57">
    <w:name w:val="List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58">
    <w:name w:val="List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59">
    <w:name w:val="List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60">
    <w:name w:val="List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61">
    <w:name w:val="List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62">
    <w:name w:val="List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customStyle="1" w:styleId="863">
    <w:name w:val="List Table 7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4">
    <w:name w:val="List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5">
    <w:name w:val="List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6">
    <w:name w:val="List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7">
    <w:name w:val="List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8">
    <w:name w:val="List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9">
    <w:name w:val="List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70">
    <w:name w:val="Lined - Accent"/>
    <w:basedOn w:val="74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71">
    <w:name w:val="Lined - Accent 1"/>
    <w:basedOn w:val="74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72">
    <w:name w:val="Lined - Accent 2"/>
    <w:basedOn w:val="74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73">
    <w:name w:val="Lined - Accent 3"/>
    <w:basedOn w:val="74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74">
    <w:name w:val="Lined - Accent 4"/>
    <w:basedOn w:val="74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75">
    <w:name w:val="Lined - Accent 5"/>
    <w:basedOn w:val="74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76">
    <w:name w:val="Lined - Accent 6"/>
    <w:basedOn w:val="74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77">
    <w:name w:val="Bordered &amp; Lined - Accent"/>
    <w:basedOn w:val="74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78">
    <w:name w:val="Bordered &amp; Lined - Accent 1"/>
    <w:basedOn w:val="74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79">
    <w:name w:val="Bordered &amp; Lined - Accent 2"/>
    <w:basedOn w:val="74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80">
    <w:name w:val="Bordered &amp; Lined - Accent 3"/>
    <w:basedOn w:val="74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81">
    <w:name w:val="Bordered &amp; Lined - Accent 4"/>
    <w:basedOn w:val="74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82">
    <w:name w:val="Bordered &amp; Lined - Accent 5"/>
    <w:basedOn w:val="74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83">
    <w:name w:val="Bordered &amp; Lined - Accent 6"/>
    <w:basedOn w:val="74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84">
    <w:name w:val="Bordered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85">
    <w:name w:val="Bordered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86">
    <w:name w:val="Bordered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87">
    <w:name w:val="Bordered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88">
    <w:name w:val="Bordered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89">
    <w:name w:val="Bordered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90">
    <w:name w:val="Bordered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glossaryDocument" Target="glossary/document.xml"/><Relationship Id="rId13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3121C7F53DF4980B5E17E5D9D8EFB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F0DC5-4CB9-491F-9A3A-D44DF13237AB}"/>
      </w:docPartPr>
      <w:docPartBody>
        <w:p>
          <w:pPr>
            <w:pStyle w:val="1587"/>
          </w:pPr>
          <w:r>
            <w:rPr>
              <w:rStyle w:val="1586"/>
            </w:rPr>
            <w:t xml:space="preserve">Выберите элемент.</w:t>
          </w:r>
          <w:r/>
        </w:p>
      </w:docPartBody>
    </w:docPart>
    <w:docPart>
      <w:docPartPr>
        <w:name w:val="93D991AD4DAE4B648EA2149B4B6009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6BEF6C-1C13-4A41-8919-EA35CA7A8D7F}"/>
      </w:docPartPr>
      <w:docPartBody>
        <w:p>
          <w:pPr>
            <w:pStyle w:val="1588"/>
          </w:pPr>
          <w:r>
            <w:rPr>
              <w:rStyle w:val="1586"/>
            </w:rPr>
            <w:t xml:space="preserve">Выберите элемент.</w:t>
          </w:r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87">
    <w:name w:val="Heading 1 Char"/>
    <w:basedOn w:val="1414"/>
    <w:link w:val="1405"/>
    <w:uiPriority w:val="9"/>
    <w:rPr>
      <w:rFonts w:ascii="Arial" w:hAnsi="Arial" w:eastAsia="Arial" w:cs="Arial"/>
      <w:sz w:val="40"/>
      <w:szCs w:val="40"/>
    </w:rPr>
  </w:style>
  <w:style w:type="character" w:styleId="1388">
    <w:name w:val="Heading 2 Char"/>
    <w:basedOn w:val="1414"/>
    <w:link w:val="1406"/>
    <w:uiPriority w:val="9"/>
    <w:rPr>
      <w:rFonts w:ascii="Arial" w:hAnsi="Arial" w:eastAsia="Arial" w:cs="Arial"/>
      <w:sz w:val="34"/>
    </w:rPr>
  </w:style>
  <w:style w:type="character" w:styleId="1389">
    <w:name w:val="Heading 3 Char"/>
    <w:basedOn w:val="1414"/>
    <w:link w:val="1407"/>
    <w:uiPriority w:val="9"/>
    <w:rPr>
      <w:rFonts w:ascii="Arial" w:hAnsi="Arial" w:eastAsia="Arial" w:cs="Arial"/>
      <w:sz w:val="30"/>
      <w:szCs w:val="30"/>
    </w:rPr>
  </w:style>
  <w:style w:type="character" w:styleId="1390">
    <w:name w:val="Heading 4 Char"/>
    <w:basedOn w:val="1414"/>
    <w:link w:val="1408"/>
    <w:uiPriority w:val="9"/>
    <w:rPr>
      <w:rFonts w:ascii="Arial" w:hAnsi="Arial" w:eastAsia="Arial" w:cs="Arial"/>
      <w:b/>
      <w:bCs/>
      <w:sz w:val="26"/>
      <w:szCs w:val="26"/>
    </w:rPr>
  </w:style>
  <w:style w:type="character" w:styleId="1391">
    <w:name w:val="Heading 5 Char"/>
    <w:basedOn w:val="1414"/>
    <w:link w:val="1409"/>
    <w:uiPriority w:val="9"/>
    <w:rPr>
      <w:rFonts w:ascii="Arial" w:hAnsi="Arial" w:eastAsia="Arial" w:cs="Arial"/>
      <w:b/>
      <w:bCs/>
      <w:sz w:val="24"/>
      <w:szCs w:val="24"/>
    </w:rPr>
  </w:style>
  <w:style w:type="character" w:styleId="1392">
    <w:name w:val="Heading 6 Char"/>
    <w:basedOn w:val="1414"/>
    <w:link w:val="1410"/>
    <w:uiPriority w:val="9"/>
    <w:rPr>
      <w:rFonts w:ascii="Arial" w:hAnsi="Arial" w:eastAsia="Arial" w:cs="Arial"/>
      <w:b/>
      <w:bCs/>
      <w:sz w:val="22"/>
      <w:szCs w:val="22"/>
    </w:rPr>
  </w:style>
  <w:style w:type="character" w:styleId="1393">
    <w:name w:val="Heading 7 Char"/>
    <w:basedOn w:val="1414"/>
    <w:link w:val="14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394">
    <w:name w:val="Heading 8 Char"/>
    <w:basedOn w:val="1414"/>
    <w:link w:val="1412"/>
    <w:uiPriority w:val="9"/>
    <w:rPr>
      <w:rFonts w:ascii="Arial" w:hAnsi="Arial" w:eastAsia="Arial" w:cs="Arial"/>
      <w:i/>
      <w:iCs/>
      <w:sz w:val="22"/>
      <w:szCs w:val="22"/>
    </w:rPr>
  </w:style>
  <w:style w:type="character" w:styleId="1395">
    <w:name w:val="Heading 9 Char"/>
    <w:basedOn w:val="1414"/>
    <w:link w:val="1413"/>
    <w:uiPriority w:val="9"/>
    <w:rPr>
      <w:rFonts w:ascii="Arial" w:hAnsi="Arial" w:eastAsia="Arial" w:cs="Arial"/>
      <w:i/>
      <w:iCs/>
      <w:sz w:val="21"/>
      <w:szCs w:val="21"/>
    </w:rPr>
  </w:style>
  <w:style w:type="character" w:styleId="1396">
    <w:name w:val="Title Char"/>
    <w:basedOn w:val="1414"/>
    <w:link w:val="1428"/>
    <w:uiPriority w:val="10"/>
    <w:rPr>
      <w:sz w:val="48"/>
      <w:szCs w:val="48"/>
    </w:rPr>
  </w:style>
  <w:style w:type="character" w:styleId="1397">
    <w:name w:val="Subtitle Char"/>
    <w:basedOn w:val="1414"/>
    <w:link w:val="1430"/>
    <w:uiPriority w:val="11"/>
    <w:rPr>
      <w:sz w:val="24"/>
      <w:szCs w:val="24"/>
    </w:rPr>
  </w:style>
  <w:style w:type="character" w:styleId="1398">
    <w:name w:val="Quote Char"/>
    <w:link w:val="1432"/>
    <w:uiPriority w:val="29"/>
    <w:rPr>
      <w:i/>
    </w:rPr>
  </w:style>
  <w:style w:type="character" w:styleId="1399">
    <w:name w:val="Intense Quote Char"/>
    <w:link w:val="1434"/>
    <w:uiPriority w:val="30"/>
    <w:rPr>
      <w:i/>
    </w:rPr>
  </w:style>
  <w:style w:type="character" w:styleId="1400">
    <w:name w:val="Header Char"/>
    <w:basedOn w:val="1414"/>
    <w:link w:val="1436"/>
    <w:uiPriority w:val="99"/>
  </w:style>
  <w:style w:type="character" w:styleId="1401">
    <w:name w:val="Caption Char"/>
    <w:basedOn w:val="1440"/>
    <w:link w:val="1438"/>
    <w:uiPriority w:val="99"/>
  </w:style>
  <w:style w:type="character" w:styleId="1402">
    <w:name w:val="Footnote Text Char"/>
    <w:link w:val="1569"/>
    <w:uiPriority w:val="99"/>
    <w:rPr>
      <w:sz w:val="18"/>
    </w:rPr>
  </w:style>
  <w:style w:type="character" w:styleId="1403">
    <w:name w:val="Endnote Text Char"/>
    <w:link w:val="1572"/>
    <w:uiPriority w:val="99"/>
    <w:rPr>
      <w:sz w:val="20"/>
    </w:rPr>
  </w:style>
  <w:style w:type="paragraph" w:styleId="1404" w:default="1">
    <w:name w:val="Normal"/>
    <w:qFormat/>
  </w:style>
  <w:style w:type="paragraph" w:styleId="1405">
    <w:name w:val="Heading 1"/>
    <w:basedOn w:val="1404"/>
    <w:next w:val="1404"/>
    <w:link w:val="14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406">
    <w:name w:val="Heading 2"/>
    <w:basedOn w:val="1404"/>
    <w:next w:val="1404"/>
    <w:link w:val="14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407">
    <w:name w:val="Heading 3"/>
    <w:basedOn w:val="1404"/>
    <w:next w:val="1404"/>
    <w:link w:val="14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408">
    <w:name w:val="Heading 4"/>
    <w:basedOn w:val="1404"/>
    <w:next w:val="1404"/>
    <w:link w:val="14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409">
    <w:name w:val="Heading 5"/>
    <w:basedOn w:val="1404"/>
    <w:next w:val="1404"/>
    <w:link w:val="14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410">
    <w:name w:val="Heading 6"/>
    <w:basedOn w:val="1404"/>
    <w:next w:val="1404"/>
    <w:link w:val="14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1411">
    <w:name w:val="Heading 7"/>
    <w:basedOn w:val="1404"/>
    <w:next w:val="1404"/>
    <w:link w:val="14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412">
    <w:name w:val="Heading 8"/>
    <w:basedOn w:val="1404"/>
    <w:next w:val="1404"/>
    <w:link w:val="14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413">
    <w:name w:val="Heading 9"/>
    <w:basedOn w:val="1404"/>
    <w:next w:val="1404"/>
    <w:link w:val="14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14" w:default="1">
    <w:name w:val="Default Paragraph Font"/>
    <w:uiPriority w:val="1"/>
    <w:semiHidden/>
    <w:unhideWhenUsed/>
  </w:style>
  <w:style w:type="table" w:styleId="14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16" w:default="1">
    <w:name w:val="No List"/>
    <w:uiPriority w:val="99"/>
    <w:semiHidden/>
    <w:unhideWhenUsed/>
  </w:style>
  <w:style w:type="character" w:styleId="1417" w:customStyle="1">
    <w:name w:val="Заголовок 1 Знак"/>
    <w:basedOn w:val="1414"/>
    <w:link w:val="1405"/>
    <w:uiPriority w:val="9"/>
    <w:rPr>
      <w:rFonts w:ascii="Arial" w:hAnsi="Arial" w:eastAsia="Arial" w:cs="Arial"/>
      <w:sz w:val="40"/>
      <w:szCs w:val="40"/>
    </w:rPr>
  </w:style>
  <w:style w:type="character" w:styleId="1418" w:customStyle="1">
    <w:name w:val="Заголовок 2 Знак"/>
    <w:basedOn w:val="1414"/>
    <w:link w:val="1406"/>
    <w:uiPriority w:val="9"/>
    <w:rPr>
      <w:rFonts w:ascii="Arial" w:hAnsi="Arial" w:eastAsia="Arial" w:cs="Arial"/>
      <w:sz w:val="34"/>
    </w:rPr>
  </w:style>
  <w:style w:type="character" w:styleId="1419" w:customStyle="1">
    <w:name w:val="Заголовок 3 Знак"/>
    <w:basedOn w:val="1414"/>
    <w:link w:val="1407"/>
    <w:uiPriority w:val="9"/>
    <w:rPr>
      <w:rFonts w:ascii="Arial" w:hAnsi="Arial" w:eastAsia="Arial" w:cs="Arial"/>
      <w:sz w:val="30"/>
      <w:szCs w:val="30"/>
    </w:rPr>
  </w:style>
  <w:style w:type="character" w:styleId="1420" w:customStyle="1">
    <w:name w:val="Заголовок 4 Знак"/>
    <w:basedOn w:val="1414"/>
    <w:link w:val="1408"/>
    <w:uiPriority w:val="9"/>
    <w:rPr>
      <w:rFonts w:ascii="Arial" w:hAnsi="Arial" w:eastAsia="Arial" w:cs="Arial"/>
      <w:b/>
      <w:bCs/>
      <w:sz w:val="26"/>
      <w:szCs w:val="26"/>
    </w:rPr>
  </w:style>
  <w:style w:type="character" w:styleId="1421" w:customStyle="1">
    <w:name w:val="Заголовок 5 Знак"/>
    <w:basedOn w:val="1414"/>
    <w:link w:val="1409"/>
    <w:uiPriority w:val="9"/>
    <w:rPr>
      <w:rFonts w:ascii="Arial" w:hAnsi="Arial" w:eastAsia="Arial" w:cs="Arial"/>
      <w:b/>
      <w:bCs/>
      <w:sz w:val="24"/>
      <w:szCs w:val="24"/>
    </w:rPr>
  </w:style>
  <w:style w:type="character" w:styleId="1422" w:customStyle="1">
    <w:name w:val="Заголовок 6 Знак"/>
    <w:basedOn w:val="1414"/>
    <w:link w:val="1410"/>
    <w:uiPriority w:val="9"/>
    <w:rPr>
      <w:rFonts w:ascii="Arial" w:hAnsi="Arial" w:eastAsia="Arial" w:cs="Arial"/>
      <w:b/>
      <w:bCs/>
      <w:sz w:val="22"/>
      <w:szCs w:val="22"/>
    </w:rPr>
  </w:style>
  <w:style w:type="character" w:styleId="1423" w:customStyle="1">
    <w:name w:val="Заголовок 7 Знак"/>
    <w:basedOn w:val="1414"/>
    <w:link w:val="14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424" w:customStyle="1">
    <w:name w:val="Заголовок 8 Знак"/>
    <w:basedOn w:val="1414"/>
    <w:link w:val="1412"/>
    <w:uiPriority w:val="9"/>
    <w:rPr>
      <w:rFonts w:ascii="Arial" w:hAnsi="Arial" w:eastAsia="Arial" w:cs="Arial"/>
      <w:i/>
      <w:iCs/>
      <w:sz w:val="22"/>
      <w:szCs w:val="22"/>
    </w:rPr>
  </w:style>
  <w:style w:type="character" w:styleId="1425" w:customStyle="1">
    <w:name w:val="Заголовок 9 Знак"/>
    <w:basedOn w:val="1414"/>
    <w:link w:val="1413"/>
    <w:uiPriority w:val="9"/>
    <w:rPr>
      <w:rFonts w:ascii="Arial" w:hAnsi="Arial" w:eastAsia="Arial" w:cs="Arial"/>
      <w:i/>
      <w:iCs/>
      <w:sz w:val="21"/>
      <w:szCs w:val="21"/>
    </w:rPr>
  </w:style>
  <w:style w:type="paragraph" w:styleId="1426">
    <w:name w:val="List Paragraph"/>
    <w:basedOn w:val="1404"/>
    <w:uiPriority w:val="34"/>
    <w:qFormat/>
    <w:pPr>
      <w:contextualSpacing/>
      <w:ind w:left="720"/>
    </w:pPr>
  </w:style>
  <w:style w:type="paragraph" w:styleId="1427">
    <w:name w:val="No Spacing"/>
    <w:uiPriority w:val="1"/>
    <w:qFormat/>
    <w:pPr>
      <w:spacing w:after="0" w:line="240" w:lineRule="auto"/>
    </w:pPr>
  </w:style>
  <w:style w:type="paragraph" w:styleId="1428">
    <w:name w:val="Title"/>
    <w:basedOn w:val="1404"/>
    <w:next w:val="1404"/>
    <w:link w:val="14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29" w:customStyle="1">
    <w:name w:val="Название Знак"/>
    <w:basedOn w:val="1414"/>
    <w:link w:val="1428"/>
    <w:uiPriority w:val="10"/>
    <w:rPr>
      <w:sz w:val="48"/>
      <w:szCs w:val="48"/>
    </w:rPr>
  </w:style>
  <w:style w:type="paragraph" w:styleId="1430">
    <w:name w:val="Subtitle"/>
    <w:basedOn w:val="1404"/>
    <w:next w:val="1404"/>
    <w:link w:val="1431"/>
    <w:uiPriority w:val="11"/>
    <w:qFormat/>
    <w:pPr>
      <w:spacing w:before="200" w:after="200"/>
    </w:pPr>
    <w:rPr>
      <w:sz w:val="24"/>
      <w:szCs w:val="24"/>
    </w:rPr>
  </w:style>
  <w:style w:type="character" w:styleId="1431" w:customStyle="1">
    <w:name w:val="Подзаголовок Знак"/>
    <w:basedOn w:val="1414"/>
    <w:link w:val="1430"/>
    <w:uiPriority w:val="11"/>
    <w:rPr>
      <w:sz w:val="24"/>
      <w:szCs w:val="24"/>
    </w:rPr>
  </w:style>
  <w:style w:type="paragraph" w:styleId="1432">
    <w:name w:val="Quote"/>
    <w:basedOn w:val="1404"/>
    <w:next w:val="1404"/>
    <w:link w:val="1433"/>
    <w:uiPriority w:val="29"/>
    <w:qFormat/>
    <w:pPr>
      <w:ind w:left="720" w:right="720"/>
    </w:pPr>
    <w:rPr>
      <w:i/>
    </w:rPr>
  </w:style>
  <w:style w:type="character" w:styleId="1433" w:customStyle="1">
    <w:name w:val="Цитата 2 Знак"/>
    <w:link w:val="1432"/>
    <w:uiPriority w:val="29"/>
    <w:rPr>
      <w:i/>
    </w:rPr>
  </w:style>
  <w:style w:type="paragraph" w:styleId="1434">
    <w:name w:val="Intense Quote"/>
    <w:basedOn w:val="1404"/>
    <w:next w:val="1404"/>
    <w:link w:val="14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35" w:customStyle="1">
    <w:name w:val="Выделенная цитата Знак"/>
    <w:link w:val="1434"/>
    <w:uiPriority w:val="30"/>
    <w:rPr>
      <w:i/>
    </w:rPr>
  </w:style>
  <w:style w:type="paragraph" w:styleId="1436">
    <w:name w:val="Header"/>
    <w:basedOn w:val="1404"/>
    <w:link w:val="14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7" w:customStyle="1">
    <w:name w:val="Верхний колонтитул Знак"/>
    <w:basedOn w:val="1414"/>
    <w:link w:val="1436"/>
    <w:uiPriority w:val="99"/>
  </w:style>
  <w:style w:type="paragraph" w:styleId="1438">
    <w:name w:val="Footer"/>
    <w:basedOn w:val="1404"/>
    <w:link w:val="14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39" w:customStyle="1">
    <w:name w:val="Footer Char"/>
    <w:basedOn w:val="1414"/>
    <w:uiPriority w:val="99"/>
  </w:style>
  <w:style w:type="paragraph" w:styleId="1440">
    <w:name w:val="Caption"/>
    <w:basedOn w:val="1404"/>
    <w:next w:val="1404"/>
    <w:link w:val="14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41" w:customStyle="1">
    <w:name w:val="Нижний колонтитул Знак"/>
    <w:link w:val="1438"/>
    <w:uiPriority w:val="99"/>
  </w:style>
  <w:style w:type="table" w:styleId="1442">
    <w:name w:val="Table Grid"/>
    <w:basedOn w:val="14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43" w:customStyle="1">
    <w:name w:val="Table Grid Light"/>
    <w:basedOn w:val="14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444" w:customStyle="1">
    <w:name w:val="Plain Table 1"/>
    <w:basedOn w:val="141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5" w:customStyle="1">
    <w:name w:val="Plain Table 2"/>
    <w:basedOn w:val="14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46" w:customStyle="1">
    <w:name w:val="Plain Table 3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47" w:customStyle="1">
    <w:name w:val="Plain Table 4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 w:customStyle="1">
    <w:name w:val="Plain Table 5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49" w:customStyle="1">
    <w:name w:val="Grid Table 1 Light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0" w:customStyle="1">
    <w:name w:val="Grid Table 1 Light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1" w:customStyle="1">
    <w:name w:val="Grid Table 1 Light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2" w:customStyle="1">
    <w:name w:val="Grid Table 1 Light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3" w:customStyle="1">
    <w:name w:val="Grid Table 1 Light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4" w:customStyle="1">
    <w:name w:val="Grid Table 1 Light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5" w:customStyle="1">
    <w:name w:val="Grid Table 1 Light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6" w:customStyle="1">
    <w:name w:val="Grid Table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7" w:customStyle="1">
    <w:name w:val="Grid Table 2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8" w:customStyle="1">
    <w:name w:val="Grid Table 2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59" w:customStyle="1">
    <w:name w:val="Grid Table 2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0" w:customStyle="1">
    <w:name w:val="Grid Table 2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1" w:customStyle="1">
    <w:name w:val="Grid Table 2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 w:customStyle="1">
    <w:name w:val="Grid Table 2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 w:customStyle="1">
    <w:name w:val="Grid Table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 w:customStyle="1">
    <w:name w:val="Grid Table 3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 w:customStyle="1">
    <w:name w:val="Grid Table 3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 w:customStyle="1">
    <w:name w:val="Grid Table 3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 w:customStyle="1">
    <w:name w:val="Grid Table 3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 w:customStyle="1">
    <w:name w:val="Grid Table 3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 w:customStyle="1">
    <w:name w:val="Grid Table 3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 w:customStyle="1">
    <w:name w:val="Grid Table 4"/>
    <w:basedOn w:val="14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71" w:customStyle="1">
    <w:name w:val="Grid Table 4 - Accent 1"/>
    <w:basedOn w:val="14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472" w:customStyle="1">
    <w:name w:val="Grid Table 4 - Accent 2"/>
    <w:basedOn w:val="14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473" w:customStyle="1">
    <w:name w:val="Grid Table 4 - Accent 3"/>
    <w:basedOn w:val="14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474" w:customStyle="1">
    <w:name w:val="Grid Table 4 - Accent 4"/>
    <w:basedOn w:val="14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475" w:customStyle="1">
    <w:name w:val="Grid Table 4 - Accent 5"/>
    <w:basedOn w:val="14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476" w:customStyle="1">
    <w:name w:val="Grid Table 4 - Accent 6"/>
    <w:basedOn w:val="14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477" w:customStyle="1">
    <w:name w:val="Grid Table 5 Dark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478" w:customStyle="1">
    <w:name w:val="Grid Table 5 Dark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479" w:customStyle="1">
    <w:name w:val="Grid Table 5 Dark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480" w:customStyle="1">
    <w:name w:val="Grid Table 5 Dark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481" w:customStyle="1">
    <w:name w:val="Grid Table 5 Dark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482" w:customStyle="1">
    <w:name w:val="Grid Table 5 Dark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483" w:customStyle="1">
    <w:name w:val="Grid Table 5 Dark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484" w:customStyle="1">
    <w:name w:val="Grid Table 6 Colorful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485" w:customStyle="1">
    <w:name w:val="Grid Table 6 Colorful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486" w:customStyle="1">
    <w:name w:val="Grid Table 6 Colorful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487" w:customStyle="1">
    <w:name w:val="Grid Table 6 Colorful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488" w:customStyle="1">
    <w:name w:val="Grid Table 6 Colorful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489" w:customStyle="1">
    <w:name w:val="Grid Table 6 Colorful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490" w:customStyle="1">
    <w:name w:val="Grid Table 6 Colorful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491" w:customStyle="1">
    <w:name w:val="Grid Table 7 Colorful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2" w:customStyle="1">
    <w:name w:val="Grid Table 7 Colorful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3" w:customStyle="1">
    <w:name w:val="Grid Table 7 Colorful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4" w:customStyle="1">
    <w:name w:val="Grid Table 7 Colorful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5" w:customStyle="1">
    <w:name w:val="Grid Table 7 Colorful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6" w:customStyle="1">
    <w:name w:val="Grid Table 7 Colorful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7" w:customStyle="1">
    <w:name w:val="Grid Table 7 Colorful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 w:customStyle="1">
    <w:name w:val="List Table 1 Light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 w:customStyle="1">
    <w:name w:val="List Table 1 Light - Accent 1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 w:customStyle="1">
    <w:name w:val="List Table 1 Light - Accent 2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 w:customStyle="1">
    <w:name w:val="List Table 1 Light - Accent 3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 w:customStyle="1">
    <w:name w:val="List Table 1 Light - Accent 4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 w:customStyle="1">
    <w:name w:val="List Table 1 Light - Accent 5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 w:customStyle="1">
    <w:name w:val="List Table 1 Light - Accent 6"/>
    <w:basedOn w:val="14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 w:customStyle="1">
    <w:name w:val="List Table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506" w:customStyle="1">
    <w:name w:val="List Table 2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507" w:customStyle="1">
    <w:name w:val="List Table 2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508" w:customStyle="1">
    <w:name w:val="List Table 2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509" w:customStyle="1">
    <w:name w:val="List Table 2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510" w:customStyle="1">
    <w:name w:val="List Table 2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511" w:customStyle="1">
    <w:name w:val="List Table 2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512" w:customStyle="1">
    <w:name w:val="List Table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 w:customStyle="1">
    <w:name w:val="List Table 3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 w:customStyle="1">
    <w:name w:val="List Table 3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 w:customStyle="1">
    <w:name w:val="List Table 3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 w:customStyle="1">
    <w:name w:val="List Table 3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 w:customStyle="1">
    <w:name w:val="List Table 3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 w:customStyle="1">
    <w:name w:val="List Table 3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 w:customStyle="1">
    <w:name w:val="List Table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 w:customStyle="1">
    <w:name w:val="List Table 4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 w:customStyle="1">
    <w:name w:val="List Table 4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 w:customStyle="1">
    <w:name w:val="List Table 4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 w:customStyle="1">
    <w:name w:val="List Table 4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 w:customStyle="1">
    <w:name w:val="List Table 4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 w:customStyle="1">
    <w:name w:val="List Table 4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 w:customStyle="1">
    <w:name w:val="List Table 5 Dark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27" w:customStyle="1">
    <w:name w:val="List Table 5 Dark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28" w:customStyle="1">
    <w:name w:val="List Table 5 Dark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29" w:customStyle="1">
    <w:name w:val="List Table 5 Dark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0" w:customStyle="1">
    <w:name w:val="List Table 5 Dark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1" w:customStyle="1">
    <w:name w:val="List Table 5 Dark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2" w:customStyle="1">
    <w:name w:val="List Table 5 Dark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533" w:customStyle="1">
    <w:name w:val="List Table 6 Colorful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534" w:customStyle="1">
    <w:name w:val="List Table 6 Colorful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535" w:customStyle="1">
    <w:name w:val="List Table 6 Colorful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536" w:customStyle="1">
    <w:name w:val="List Table 6 Colorful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537" w:customStyle="1">
    <w:name w:val="List Table 6 Colorful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538" w:customStyle="1">
    <w:name w:val="List Table 6 Colorful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539" w:customStyle="1">
    <w:name w:val="List Table 6 Colorful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540" w:customStyle="1">
    <w:name w:val="List Table 7 Colorful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1" w:customStyle="1">
    <w:name w:val="List Table 7 Colorful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2" w:customStyle="1">
    <w:name w:val="List Table 7 Colorful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3" w:customStyle="1">
    <w:name w:val="List Table 7 Colorful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4" w:customStyle="1">
    <w:name w:val="List Table 7 Colorful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5" w:customStyle="1">
    <w:name w:val="List Table 7 Colorful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6" w:customStyle="1">
    <w:name w:val="List Table 7 Colorful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7" w:customStyle="1">
    <w:name w:val="Lined - Accent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48" w:customStyle="1">
    <w:name w:val="Lined - Accent 1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549" w:customStyle="1">
    <w:name w:val="Lined - Accent 2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550" w:customStyle="1">
    <w:name w:val="Lined - Accent 3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551" w:customStyle="1">
    <w:name w:val="Lined - Accent 4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52" w:customStyle="1">
    <w:name w:val="Lined - Accent 5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53" w:customStyle="1">
    <w:name w:val="Lined - Accent 6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54" w:customStyle="1">
    <w:name w:val="Bordered &amp; Lined - Accent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555" w:customStyle="1">
    <w:name w:val="Bordered &amp; Lined - Accent 1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556" w:customStyle="1">
    <w:name w:val="Bordered &amp; Lined - Accent 2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557" w:customStyle="1">
    <w:name w:val="Bordered &amp; Lined - Accent 3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558" w:customStyle="1">
    <w:name w:val="Bordered &amp; Lined - Accent 4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559" w:customStyle="1">
    <w:name w:val="Bordered &amp; Lined - Accent 5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560" w:customStyle="1">
    <w:name w:val="Bordered &amp; Lined - Accent 6"/>
    <w:basedOn w:val="141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561" w:customStyle="1">
    <w:name w:val="Bordered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562" w:customStyle="1">
    <w:name w:val="Bordered - Accent 1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563" w:customStyle="1">
    <w:name w:val="Bordered - Accent 2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564" w:customStyle="1">
    <w:name w:val="Bordered - Accent 3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565" w:customStyle="1">
    <w:name w:val="Bordered - Accent 4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566" w:customStyle="1">
    <w:name w:val="Bordered - Accent 5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567" w:customStyle="1">
    <w:name w:val="Bordered - Accent 6"/>
    <w:basedOn w:val="14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568">
    <w:name w:val="Hyperlink"/>
    <w:uiPriority w:val="99"/>
    <w:unhideWhenUsed/>
    <w:rPr>
      <w:color w:val="0000ff" w:themeColor="hyperlink"/>
      <w:u w:val="single"/>
    </w:rPr>
  </w:style>
  <w:style w:type="paragraph" w:styleId="1569">
    <w:name w:val="footnote text"/>
    <w:basedOn w:val="1404"/>
    <w:link w:val="1570"/>
    <w:uiPriority w:val="99"/>
    <w:semiHidden/>
    <w:unhideWhenUsed/>
    <w:pPr>
      <w:spacing w:after="40" w:line="240" w:lineRule="auto"/>
    </w:pPr>
    <w:rPr>
      <w:sz w:val="18"/>
    </w:rPr>
  </w:style>
  <w:style w:type="character" w:styleId="1570" w:customStyle="1">
    <w:name w:val="Текст сноски Знак"/>
    <w:link w:val="1569"/>
    <w:uiPriority w:val="99"/>
    <w:rPr>
      <w:sz w:val="18"/>
    </w:rPr>
  </w:style>
  <w:style w:type="character" w:styleId="1571">
    <w:name w:val="footnote reference"/>
    <w:basedOn w:val="1414"/>
    <w:uiPriority w:val="99"/>
    <w:unhideWhenUsed/>
    <w:rPr>
      <w:vertAlign w:val="superscript"/>
    </w:rPr>
  </w:style>
  <w:style w:type="paragraph" w:styleId="1572">
    <w:name w:val="endnote text"/>
    <w:basedOn w:val="1404"/>
    <w:link w:val="1573"/>
    <w:uiPriority w:val="99"/>
    <w:semiHidden/>
    <w:unhideWhenUsed/>
    <w:pPr>
      <w:spacing w:after="0" w:line="240" w:lineRule="auto"/>
    </w:pPr>
    <w:rPr>
      <w:sz w:val="20"/>
    </w:rPr>
  </w:style>
  <w:style w:type="character" w:styleId="1573" w:customStyle="1">
    <w:name w:val="Текст концевой сноски Знак"/>
    <w:link w:val="1572"/>
    <w:uiPriority w:val="99"/>
    <w:rPr>
      <w:sz w:val="20"/>
    </w:rPr>
  </w:style>
  <w:style w:type="character" w:styleId="1574">
    <w:name w:val="endnote reference"/>
    <w:basedOn w:val="1414"/>
    <w:uiPriority w:val="99"/>
    <w:semiHidden/>
    <w:unhideWhenUsed/>
    <w:rPr>
      <w:vertAlign w:val="superscript"/>
    </w:rPr>
  </w:style>
  <w:style w:type="paragraph" w:styleId="1575">
    <w:name w:val="toc 1"/>
    <w:basedOn w:val="1404"/>
    <w:next w:val="1404"/>
    <w:uiPriority w:val="39"/>
    <w:unhideWhenUsed/>
    <w:pPr>
      <w:spacing w:after="57"/>
    </w:pPr>
  </w:style>
  <w:style w:type="paragraph" w:styleId="1576">
    <w:name w:val="toc 2"/>
    <w:basedOn w:val="1404"/>
    <w:next w:val="1404"/>
    <w:uiPriority w:val="39"/>
    <w:unhideWhenUsed/>
    <w:pPr>
      <w:ind w:left="283"/>
      <w:spacing w:after="57"/>
    </w:pPr>
  </w:style>
  <w:style w:type="paragraph" w:styleId="1577">
    <w:name w:val="toc 3"/>
    <w:basedOn w:val="1404"/>
    <w:next w:val="1404"/>
    <w:uiPriority w:val="39"/>
    <w:unhideWhenUsed/>
    <w:pPr>
      <w:ind w:left="567"/>
      <w:spacing w:after="57"/>
    </w:pPr>
  </w:style>
  <w:style w:type="paragraph" w:styleId="1578">
    <w:name w:val="toc 4"/>
    <w:basedOn w:val="1404"/>
    <w:next w:val="1404"/>
    <w:uiPriority w:val="39"/>
    <w:unhideWhenUsed/>
    <w:pPr>
      <w:ind w:left="850"/>
      <w:spacing w:after="57"/>
    </w:pPr>
  </w:style>
  <w:style w:type="paragraph" w:styleId="1579">
    <w:name w:val="toc 5"/>
    <w:basedOn w:val="1404"/>
    <w:next w:val="1404"/>
    <w:uiPriority w:val="39"/>
    <w:unhideWhenUsed/>
    <w:pPr>
      <w:ind w:left="1134"/>
      <w:spacing w:after="57"/>
    </w:pPr>
  </w:style>
  <w:style w:type="paragraph" w:styleId="1580">
    <w:name w:val="toc 6"/>
    <w:basedOn w:val="1404"/>
    <w:next w:val="1404"/>
    <w:uiPriority w:val="39"/>
    <w:unhideWhenUsed/>
    <w:pPr>
      <w:ind w:left="1417"/>
      <w:spacing w:after="57"/>
    </w:pPr>
  </w:style>
  <w:style w:type="paragraph" w:styleId="1581">
    <w:name w:val="toc 7"/>
    <w:basedOn w:val="1404"/>
    <w:next w:val="1404"/>
    <w:uiPriority w:val="39"/>
    <w:unhideWhenUsed/>
    <w:pPr>
      <w:ind w:left="1701"/>
      <w:spacing w:after="57"/>
    </w:pPr>
  </w:style>
  <w:style w:type="paragraph" w:styleId="1582">
    <w:name w:val="toc 8"/>
    <w:basedOn w:val="1404"/>
    <w:next w:val="1404"/>
    <w:uiPriority w:val="39"/>
    <w:unhideWhenUsed/>
    <w:pPr>
      <w:ind w:left="1984"/>
      <w:spacing w:after="57"/>
    </w:pPr>
  </w:style>
  <w:style w:type="paragraph" w:styleId="1583">
    <w:name w:val="toc 9"/>
    <w:basedOn w:val="1404"/>
    <w:next w:val="1404"/>
    <w:uiPriority w:val="39"/>
    <w:unhideWhenUsed/>
    <w:pPr>
      <w:ind w:left="2268"/>
      <w:spacing w:after="57"/>
    </w:pPr>
  </w:style>
  <w:style w:type="paragraph" w:styleId="1584">
    <w:name w:val="TOC Heading"/>
    <w:uiPriority w:val="39"/>
    <w:unhideWhenUsed/>
  </w:style>
  <w:style w:type="paragraph" w:styleId="1585">
    <w:name w:val="table of figures"/>
    <w:basedOn w:val="1404"/>
    <w:next w:val="1404"/>
    <w:uiPriority w:val="99"/>
    <w:unhideWhenUsed/>
    <w:pPr>
      <w:spacing w:after="0"/>
    </w:pPr>
  </w:style>
  <w:style w:type="character" w:styleId="1586">
    <w:name w:val="Placeholder Text"/>
    <w:basedOn w:val="1414"/>
    <w:uiPriority w:val="99"/>
    <w:semiHidden/>
    <w:rPr>
      <w:color w:val="808080"/>
    </w:rPr>
  </w:style>
  <w:style w:type="paragraph" w:styleId="1587" w:customStyle="1">
    <w:name w:val="73121C7F53DF4980B5E17E5D9D8EFB22"/>
  </w:style>
  <w:style w:type="paragraph" w:styleId="1588" w:customStyle="1">
    <w:name w:val="93D991AD4DAE4B648EA2149B4B60092B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33DF-5DC2-482E-BE60-F61CC283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Application>LibreOffice/7.6.7.2$Linux_X86_64 LibreOffice_project/60$Build-2</Application>
  <AppVersion>15.0000</AppVersion>
  <Pages>9</Pages>
  <Words>3034</Words>
  <Characters>22098</Characters>
  <CharactersWithSpaces>25015</CharactersWithSpaces>
  <Paragraphs>128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2023-09-12T13:20:00Z</dcterms:created>
  <dc:creator>Евгения В. Осипова</dc:creator>
  <dc:description/>
  <dc:language>ru-RU</dc:language>
  <cp:lastModifiedBy/>
  <dcterms:modified xsi:type="dcterms:W3CDTF">2026-06-26T11:59:33Z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