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32" w:type="dxa"/>
        <w:jc w:val="left"/>
        <w:tblInd w:w="183" w:type="dxa"/>
        <w:tblLayout w:type="fixed"/>
        <w:tblCellMar>
          <w:top w:w="0" w:type="dxa"/>
          <w:left w:w="30" w:type="dxa"/>
          <w:bottom w:w="0" w:type="dxa"/>
          <w:right w:w="30" w:type="dxa"/>
        </w:tblCellMar>
      </w:tblPr>
      <w:tblGrid>
        <w:gridCol w:w="10332"/>
      </w:tblGrid>
      <w:tr>
        <w:trPr>
          <w:trHeight w:val="540" w:hRule="atLeast"/>
        </w:trPr>
        <w:tc>
          <w:tcPr>
            <w:tcW w:w="10332" w:type="dxa"/>
            <w:tcBorders/>
          </w:tcPr>
          <w:p>
            <w:pPr>
              <w:pStyle w:val="Normal"/>
              <w:tabs>
                <w:tab w:val="clear" w:pos="708"/>
              </w:tabs>
              <w:spacing w:before="0" w:after="160"/>
              <w:jc w:val="center"/>
              <w:rPr/>
            </w:pPr>
            <w:bookmarkStart w:id="0" w:name="bookmark1"/>
            <w:r>
              <w:rPr>
                <w:rStyle w:val="10pt"/>
                <w:b/>
                <w:bCs/>
                <w:sz w:val="24"/>
                <w:szCs w:val="24"/>
              </w:rPr>
              <w:t>ТЕХНИЧЕСКОЕ ЗАДАНИЕ</w:t>
            </w:r>
            <w:bookmarkEnd w:id="0"/>
          </w:p>
        </w:tc>
      </w:tr>
    </w:tbl>
    <w:p>
      <w:pPr>
        <w:pStyle w:val="Normal"/>
        <w:widowControl/>
        <w:numPr>
          <w:ilvl w:val="0"/>
          <w:numId w:val="0"/>
        </w:numPr>
        <w:suppressAutoHyphens w:val="true"/>
        <w:overflowPunct w:val="true"/>
        <w:bidi w:val="0"/>
        <w:spacing w:lineRule="auto" w:line="240" w:before="0" w:after="0"/>
        <w:ind w:hanging="0" w:left="0" w:right="0"/>
        <w:contextualSpacing/>
        <w:jc w:val="left"/>
        <w:rPr>
          <w:b/>
          <w:bCs/>
        </w:rPr>
      </w:pPr>
      <w:r>
        <w:rPr>
          <w:b/>
          <w:bCs/>
        </w:rPr>
        <w:t xml:space="preserve">   </w:t>
      </w:r>
      <w:r>
        <w:rPr>
          <w:b/>
          <w:bCs/>
          <w:sz w:val="24"/>
          <w:szCs w:val="24"/>
        </w:rPr>
        <w:t>1.Перечень поставляемого товара.</w:t>
      </w:r>
    </w:p>
    <w:tbl>
      <w:tblPr>
        <w:tblW w:w="10593" w:type="dxa"/>
        <w:jc w:val="left"/>
        <w:tblInd w:w="85" w:type="dxa"/>
        <w:tblLayout w:type="fixed"/>
        <w:tblCellMar>
          <w:top w:w="55" w:type="dxa"/>
          <w:left w:w="55" w:type="dxa"/>
          <w:bottom w:w="55" w:type="dxa"/>
          <w:right w:w="55" w:type="dxa"/>
        </w:tblCellMar>
      </w:tblPr>
      <w:tblGrid>
        <w:gridCol w:w="4485"/>
        <w:gridCol w:w="3090"/>
        <w:gridCol w:w="3018"/>
      </w:tblGrid>
      <w:tr>
        <w:trPr>
          <w:trHeight w:val="735" w:hRule="atLeast"/>
        </w:trPr>
        <w:tc>
          <w:tcPr>
            <w:tcW w:w="4485" w:type="dxa"/>
            <w:tcBorders>
              <w:top w:val="single" w:sz="4" w:space="0" w:color="000000"/>
              <w:left w:val="single" w:sz="4" w:space="0" w:color="000000"/>
              <w:bottom w:val="single" w:sz="4" w:space="0" w:color="000000"/>
            </w:tcBorders>
          </w:tcPr>
          <w:p>
            <w:pPr>
              <w:pStyle w:val="Normal"/>
              <w:tabs>
                <w:tab w:val="clear" w:pos="708"/>
              </w:tabs>
              <w:spacing w:before="0" w:after="0"/>
              <w:jc w:val="left"/>
              <w:rPr>
                <w:sz w:val="24"/>
                <w:szCs w:val="24"/>
              </w:rPr>
            </w:pPr>
            <w:r>
              <w:rPr>
                <w:b/>
                <w:bCs/>
                <w:sz w:val="24"/>
                <w:szCs w:val="24"/>
              </w:rPr>
              <w:t>Наименование</w:t>
            </w:r>
          </w:p>
        </w:tc>
        <w:tc>
          <w:tcPr>
            <w:tcW w:w="3090" w:type="dxa"/>
            <w:tcBorders>
              <w:top w:val="single" w:sz="4" w:space="0" w:color="000000"/>
              <w:left w:val="single" w:sz="4" w:space="0" w:color="000000"/>
              <w:bottom w:val="single" w:sz="4" w:space="0" w:color="000000"/>
            </w:tcBorders>
            <w:vAlign w:val="bottom"/>
          </w:tcPr>
          <w:p>
            <w:pPr>
              <w:pStyle w:val="Normal"/>
              <w:tabs>
                <w:tab w:val="clear" w:pos="708"/>
              </w:tabs>
              <w:spacing w:before="0" w:after="0"/>
              <w:jc w:val="left"/>
              <w:rPr>
                <w:sz w:val="24"/>
                <w:szCs w:val="24"/>
              </w:rPr>
            </w:pPr>
            <w:r>
              <w:rPr>
                <w:sz w:val="24"/>
                <w:szCs w:val="24"/>
              </w:rPr>
              <w:t>Радиостанция цифровая</w:t>
            </w:r>
          </w:p>
        </w:tc>
        <w:tc>
          <w:tcPr>
            <w:tcW w:w="301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s>
              <w:spacing w:before="0" w:after="160"/>
              <w:jc w:val="left"/>
              <w:rPr>
                <w:rFonts w:ascii="Arial" w:hAnsi="Arial"/>
                <w:sz w:val="24"/>
                <w:szCs w:val="24"/>
              </w:rPr>
            </w:pPr>
            <w:r>
              <w:rPr>
                <w:rFonts w:ascii="Arial" w:hAnsi="Arial"/>
                <w:sz w:val="24"/>
                <w:szCs w:val="24"/>
              </w:rPr>
            </w:r>
          </w:p>
        </w:tc>
      </w:tr>
      <w:tr>
        <w:trPr>
          <w:trHeight w:val="293" w:hRule="atLeast"/>
        </w:trPr>
        <w:tc>
          <w:tcPr>
            <w:tcW w:w="4485" w:type="dxa"/>
            <w:tcBorders>
              <w:left w:val="single" w:sz="4" w:space="0" w:color="000000"/>
              <w:bottom w:val="single" w:sz="4" w:space="0" w:color="000000"/>
            </w:tcBorders>
          </w:tcPr>
          <w:p>
            <w:pPr>
              <w:pStyle w:val="Normal"/>
              <w:tabs>
                <w:tab w:val="clear" w:pos="708"/>
              </w:tabs>
              <w:spacing w:before="0" w:after="160"/>
              <w:jc w:val="left"/>
              <w:rPr>
                <w:sz w:val="24"/>
                <w:szCs w:val="24"/>
              </w:rPr>
            </w:pPr>
            <w:r>
              <w:rPr>
                <w:b/>
                <w:bCs/>
                <w:sz w:val="24"/>
                <w:szCs w:val="24"/>
              </w:rPr>
              <w:t>Ед.изм.</w:t>
            </w:r>
          </w:p>
        </w:tc>
        <w:tc>
          <w:tcPr>
            <w:tcW w:w="3090" w:type="dxa"/>
            <w:tcBorders>
              <w:left w:val="single" w:sz="4" w:space="0" w:color="000000"/>
              <w:bottom w:val="single" w:sz="4" w:space="0" w:color="000000"/>
            </w:tcBorders>
            <w:vAlign w:val="bottom"/>
          </w:tcPr>
          <w:p>
            <w:pPr>
              <w:pStyle w:val="Normal"/>
              <w:tabs>
                <w:tab w:val="clear" w:pos="708"/>
              </w:tabs>
              <w:spacing w:before="0" w:after="0"/>
              <w:jc w:val="left"/>
              <w:rPr>
                <w:sz w:val="24"/>
                <w:szCs w:val="24"/>
              </w:rPr>
            </w:pPr>
            <w:r>
              <w:rPr>
                <w:sz w:val="24"/>
                <w:szCs w:val="24"/>
              </w:rPr>
              <w:t>шт</w:t>
            </w:r>
          </w:p>
        </w:tc>
        <w:tc>
          <w:tcPr>
            <w:tcW w:w="3018"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left"/>
              <w:rPr>
                <w:rFonts w:ascii="Arial" w:hAnsi="Arial"/>
                <w:sz w:val="24"/>
                <w:szCs w:val="24"/>
              </w:rPr>
            </w:pPr>
            <w:r>
              <w:rPr>
                <w:rFonts w:ascii="Arial" w:hAnsi="Arial"/>
                <w:sz w:val="24"/>
                <w:szCs w:val="24"/>
              </w:rPr>
            </w:r>
          </w:p>
        </w:tc>
      </w:tr>
      <w:tr>
        <w:trPr>
          <w:trHeight w:val="293" w:hRule="atLeast"/>
        </w:trPr>
        <w:tc>
          <w:tcPr>
            <w:tcW w:w="4485" w:type="dxa"/>
            <w:tcBorders>
              <w:left w:val="single" w:sz="4" w:space="0" w:color="000000"/>
              <w:bottom w:val="single" w:sz="4" w:space="0" w:color="000000"/>
            </w:tcBorders>
          </w:tcPr>
          <w:p>
            <w:pPr>
              <w:pStyle w:val="Normal"/>
              <w:tabs>
                <w:tab w:val="clear" w:pos="708"/>
              </w:tabs>
              <w:spacing w:before="0" w:after="160"/>
              <w:jc w:val="left"/>
              <w:rPr>
                <w:sz w:val="24"/>
                <w:szCs w:val="24"/>
              </w:rPr>
            </w:pPr>
            <w:r>
              <w:rPr>
                <w:b/>
                <w:bCs/>
                <w:sz w:val="24"/>
                <w:szCs w:val="24"/>
              </w:rPr>
              <w:t>Кол-во</w:t>
            </w:r>
          </w:p>
        </w:tc>
        <w:tc>
          <w:tcPr>
            <w:tcW w:w="3090" w:type="dxa"/>
            <w:tcBorders>
              <w:left w:val="single" w:sz="4" w:space="0" w:color="000000"/>
              <w:bottom w:val="single" w:sz="4" w:space="0" w:color="000000"/>
            </w:tcBorders>
            <w:vAlign w:val="bottom"/>
          </w:tcPr>
          <w:p>
            <w:pPr>
              <w:pStyle w:val="Normal"/>
              <w:tabs>
                <w:tab w:val="clear" w:pos="708"/>
              </w:tabs>
              <w:spacing w:before="0" w:after="0"/>
              <w:jc w:val="left"/>
              <w:rPr>
                <w:sz w:val="24"/>
                <w:szCs w:val="24"/>
              </w:rPr>
            </w:pPr>
            <w:r>
              <w:rPr>
                <w:sz w:val="24"/>
                <w:szCs w:val="24"/>
              </w:rPr>
              <w:t>25</w:t>
            </w:r>
          </w:p>
        </w:tc>
        <w:tc>
          <w:tcPr>
            <w:tcW w:w="3018" w:type="dxa"/>
            <w:tcBorders>
              <w:left w:val="single" w:sz="4" w:space="0" w:color="000000"/>
              <w:bottom w:val="single" w:sz="4" w:space="0" w:color="000000"/>
              <w:right w:val="single" w:sz="4" w:space="0" w:color="000000"/>
            </w:tcBorders>
            <w:vAlign w:val="bottom"/>
          </w:tcPr>
          <w:p>
            <w:pPr>
              <w:pStyle w:val="Normal"/>
              <w:tabs>
                <w:tab w:val="clear" w:pos="708"/>
              </w:tabs>
              <w:spacing w:before="0" w:after="160"/>
              <w:jc w:val="left"/>
              <w:rPr>
                <w:rFonts w:ascii="Arial" w:hAnsi="Arial"/>
                <w:sz w:val="24"/>
                <w:szCs w:val="24"/>
              </w:rPr>
            </w:pPr>
            <w:r>
              <w:rPr>
                <w:rFonts w:ascii="Arial" w:hAnsi="Arial"/>
                <w:sz w:val="24"/>
                <w:szCs w:val="24"/>
              </w:rPr>
            </w:r>
          </w:p>
        </w:tc>
      </w:tr>
      <w:tr>
        <w:trPr>
          <w:trHeight w:val="970" w:hRule="atLeast"/>
        </w:trPr>
        <w:tc>
          <w:tcPr>
            <w:tcW w:w="4485"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pPr>
              <w:pStyle w:val="Normal"/>
              <w:tabs>
                <w:tab w:val="clear" w:pos="708"/>
              </w:tabs>
              <w:spacing w:before="0" w:after="160"/>
              <w:jc w:val="center"/>
              <w:rPr>
                <w:sz w:val="24"/>
                <w:szCs w:val="24"/>
              </w:rPr>
            </w:pPr>
            <w:r>
              <w:rPr>
                <w:b/>
                <w:sz w:val="24"/>
                <w:szCs w:val="24"/>
              </w:rPr>
              <w:t>Наименование характеристики</w:t>
            </w:r>
          </w:p>
        </w:tc>
        <w:tc>
          <w:tcPr>
            <w:tcW w:w="3090" w:type="dxa"/>
            <w:tcBorders>
              <w:top w:val="single" w:sz="2" w:space="0" w:color="000000"/>
              <w:left w:val="single" w:sz="2" w:space="0" w:color="000000"/>
              <w:bottom w:val="single" w:sz="2" w:space="0" w:color="000000"/>
            </w:tcBorders>
            <w:tcMar>
              <w:top w:w="0" w:type="dxa"/>
              <w:left w:w="28" w:type="dxa"/>
              <w:bottom w:w="0" w:type="dxa"/>
              <w:right w:w="28" w:type="dxa"/>
            </w:tcMar>
            <w:vAlign w:val="center"/>
          </w:tcPr>
          <w:p>
            <w:pPr>
              <w:pStyle w:val="Normal"/>
              <w:tabs>
                <w:tab w:val="clear" w:pos="708"/>
              </w:tabs>
              <w:spacing w:before="0" w:after="160"/>
              <w:jc w:val="center"/>
              <w:rPr>
                <w:sz w:val="24"/>
                <w:szCs w:val="24"/>
              </w:rPr>
            </w:pPr>
            <w:r>
              <w:rPr>
                <w:b/>
                <w:sz w:val="24"/>
                <w:szCs w:val="24"/>
              </w:rPr>
              <w:t>Значение характеристики</w:t>
            </w:r>
          </w:p>
        </w:tc>
        <w:tc>
          <w:tcPr>
            <w:tcW w:w="3018"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pPr>
              <w:pStyle w:val="Normal"/>
              <w:tabs>
                <w:tab w:val="clear" w:pos="708"/>
              </w:tabs>
              <w:spacing w:before="0" w:after="0"/>
              <w:jc w:val="center"/>
              <w:rPr>
                <w:sz w:val="24"/>
                <w:szCs w:val="24"/>
              </w:rPr>
            </w:pPr>
            <w:r>
              <w:rPr>
                <w:b/>
                <w:sz w:val="24"/>
                <w:szCs w:val="24"/>
              </w:rPr>
              <w:t>Единица измерения характеристики</w:t>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Вид</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Портативная (носимая)</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Количество программируемых каналов</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 xml:space="preserve">≥ </w:t>
            </w:r>
            <w:r>
              <w:rPr>
                <w:sz w:val="24"/>
                <w:szCs w:val="24"/>
              </w:rPr>
              <w:t>500</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Штука</w:t>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Максимальная рабочая температура</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 xml:space="preserve">≥ </w:t>
            </w:r>
            <w:r>
              <w:rPr>
                <w:sz w:val="24"/>
                <w:szCs w:val="24"/>
              </w:rPr>
              <w:t>+ 60</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Градус Цельсия</w:t>
            </w:r>
          </w:p>
        </w:tc>
      </w:tr>
      <w:tr>
        <w:trPr>
          <w:trHeight w:val="522"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Максимальное значение диапазона рабочих радиочастот</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 xml:space="preserve">≥ </w:t>
            </w:r>
            <w:r>
              <w:rPr>
                <w:sz w:val="24"/>
                <w:szCs w:val="24"/>
              </w:rPr>
              <w:t>470</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Мегагерц</w:t>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Метод шифрования (маскирования)</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AES</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Минимальная рабочая температура</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 xml:space="preserve">≤ </w:t>
            </w:r>
            <w:r>
              <w:rPr>
                <w:sz w:val="24"/>
                <w:szCs w:val="24"/>
              </w:rPr>
              <w:t>-20</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Градус Цельсия</w:t>
            </w:r>
          </w:p>
        </w:tc>
      </w:tr>
      <w:tr>
        <w:trPr>
          <w:trHeight w:val="522"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Минимальное значение диапазона рабочих радиочастот</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 xml:space="preserve">≤ </w:t>
            </w:r>
            <w:r>
              <w:rPr>
                <w:sz w:val="24"/>
                <w:szCs w:val="24"/>
              </w:rPr>
              <w:t>140</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Мегагерц</w:t>
            </w:r>
          </w:p>
        </w:tc>
      </w:tr>
      <w:tr>
        <w:trPr>
          <w:trHeight w:val="746"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Наличие в комплекте</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Антенна; Клипса крепления; Аккумуляторная батарея; Зарядное устройство</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Наличие дисплея</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Да</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Номинальная выходная мощность</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 xml:space="preserve">≥ </w:t>
            </w:r>
            <w:r>
              <w:rPr>
                <w:sz w:val="24"/>
                <w:szCs w:val="24"/>
              </w:rPr>
              <w:t>10  и  &lt; 15</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Ватт</w:t>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Поддержка стандартов радиосвязи</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DMR</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Режим работы</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Цифровой; Аналоговый</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Чувствительность приемника, мкВ</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 xml:space="preserve">≤ </w:t>
            </w:r>
            <w:r>
              <w:rPr>
                <w:sz w:val="24"/>
                <w:szCs w:val="24"/>
              </w:rPr>
              <w:t>0.25</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Шаг сетки частот</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12.5</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Килогерц</w:t>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Выходная мощность аудио</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w:t>
            </w:r>
            <w:r>
              <w:rPr>
                <w:sz w:val="24"/>
                <w:szCs w:val="24"/>
              </w:rPr>
              <w:t>1000</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мВт</w:t>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Класс защиты по стандарту IP</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Не менее 67</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Тип АКБ</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Li-Ion</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354"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Емкость аккумулятора</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Не менее 3600</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мАч</w:t>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Питание</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right"/>
              <w:rPr>
                <w:sz w:val="24"/>
                <w:szCs w:val="24"/>
              </w:rPr>
            </w:pPr>
            <w:r>
              <w:rPr>
                <w:sz w:val="24"/>
                <w:szCs w:val="24"/>
              </w:rPr>
              <w:t>7,4</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В</w:t>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Мощность динамика</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1</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Вт</w:t>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Модуляция</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FM/4FSK</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Возможность передачи коротких сообщений</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Да</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Настройка с клавиатуры</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Да</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Тип экрана</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Цветной</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Тип разъема антенны</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SMA-male</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Поддержка CTCSS/DCS субтонов</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Да</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Одновременный приём на разных диапазонах</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Да</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Зарядка от USB</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Type-C</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Количество антенн к комплекте</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 xml:space="preserve">≥ </w:t>
            </w:r>
            <w:r>
              <w:rPr>
                <w:sz w:val="24"/>
                <w:szCs w:val="24"/>
              </w:rPr>
              <w:t>2</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Тип антенн в комплекте</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Базовая и усиленная</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r>
        <w:trPr>
          <w:trHeight w:val="298" w:hRule="atLeast"/>
        </w:trPr>
        <w:tc>
          <w:tcPr>
            <w:tcW w:w="4485" w:type="dxa"/>
            <w:tcBorders>
              <w:left w:val="single" w:sz="2" w:space="0" w:color="000000"/>
              <w:bottom w:val="single" w:sz="2" w:space="0" w:color="000000"/>
            </w:tcBorders>
            <w:tcMar>
              <w:top w:w="0" w:type="dxa"/>
              <w:left w:w="28" w:type="dxa"/>
              <w:bottom w:w="0" w:type="dxa"/>
              <w:right w:w="28" w:type="dxa"/>
            </w:tcMar>
          </w:tcPr>
          <w:p>
            <w:pPr>
              <w:pStyle w:val="Normal"/>
              <w:tabs>
                <w:tab w:val="clear" w:pos="708"/>
              </w:tabs>
              <w:spacing w:before="0" w:after="160"/>
              <w:jc w:val="left"/>
              <w:rPr>
                <w:sz w:val="24"/>
                <w:szCs w:val="24"/>
              </w:rPr>
            </w:pPr>
            <w:r>
              <w:rPr>
                <w:sz w:val="24"/>
                <w:szCs w:val="24"/>
              </w:rPr>
              <w:t>Русское меню</w:t>
            </w:r>
          </w:p>
        </w:tc>
        <w:tc>
          <w:tcPr>
            <w:tcW w:w="3090" w:type="dxa"/>
            <w:tcBorders>
              <w:left w:val="single" w:sz="2" w:space="0" w:color="000000"/>
              <w:bottom w:val="single" w:sz="2" w:space="0" w:color="000000"/>
            </w:tcBorders>
            <w:tcMar>
              <w:top w:w="0" w:type="dxa"/>
              <w:left w:w="28" w:type="dxa"/>
              <w:bottom w:w="0" w:type="dxa"/>
              <w:right w:w="28" w:type="dxa"/>
            </w:tcMar>
            <w:vAlign w:val="bottom"/>
          </w:tcPr>
          <w:p>
            <w:pPr>
              <w:pStyle w:val="Normal"/>
              <w:tabs>
                <w:tab w:val="clear" w:pos="708"/>
              </w:tabs>
              <w:spacing w:before="0" w:after="160"/>
              <w:jc w:val="left"/>
              <w:rPr>
                <w:sz w:val="24"/>
                <w:szCs w:val="24"/>
              </w:rPr>
            </w:pPr>
            <w:r>
              <w:rPr>
                <w:sz w:val="24"/>
                <w:szCs w:val="24"/>
              </w:rPr>
              <w:t>Да</w:t>
            </w:r>
          </w:p>
        </w:tc>
        <w:tc>
          <w:tcPr>
            <w:tcW w:w="3018" w:type="dxa"/>
            <w:tcBorders>
              <w:left w:val="single" w:sz="2" w:space="0" w:color="000000"/>
              <w:bottom w:val="single" w:sz="2" w:space="0" w:color="000000"/>
              <w:right w:val="single" w:sz="2" w:space="0" w:color="000000"/>
            </w:tcBorders>
            <w:tcMar>
              <w:top w:w="0" w:type="dxa"/>
              <w:left w:w="28" w:type="dxa"/>
              <w:bottom w:w="0" w:type="dxa"/>
              <w:right w:w="28" w:type="dxa"/>
            </w:tcMar>
            <w:vAlign w:val="bottom"/>
          </w:tcPr>
          <w:p>
            <w:pPr>
              <w:pStyle w:val="Normal"/>
              <w:tabs>
                <w:tab w:val="clear" w:pos="708"/>
              </w:tabs>
              <w:spacing w:before="0" w:after="160"/>
              <w:jc w:val="left"/>
              <w:rPr>
                <w:rFonts w:ascii="Times New Roman" w:hAnsi="Times New Roman"/>
                <w:sz w:val="24"/>
                <w:szCs w:val="24"/>
              </w:rPr>
            </w:pPr>
            <w:r>
              <w:rPr>
                <w:sz w:val="24"/>
                <w:szCs w:val="24"/>
              </w:rPr>
            </w:r>
          </w:p>
        </w:tc>
      </w:tr>
    </w:tbl>
    <w:p>
      <w:pPr>
        <w:pStyle w:val="Normal"/>
        <w:jc w:val="both"/>
        <w:rPr>
          <w:sz w:val="24"/>
          <w:szCs w:val="24"/>
        </w:rPr>
      </w:pPr>
      <w:r>
        <w:rPr>
          <w:rStyle w:val="10pt"/>
          <w:b/>
          <w:bCs/>
          <w:sz w:val="24"/>
          <w:szCs w:val="24"/>
        </w:rPr>
        <w:t xml:space="preserve">2. </w:t>
      </w:r>
      <w:bookmarkStart w:id="1" w:name="bookmark3"/>
      <w:r>
        <w:rPr>
          <w:rStyle w:val="10pt"/>
          <w:b/>
          <w:bCs/>
          <w:sz w:val="24"/>
          <w:szCs w:val="24"/>
        </w:rPr>
        <w:t>Стандарт товаров</w:t>
      </w:r>
      <w:bookmarkEnd w:id="1"/>
      <w:r>
        <w:rPr>
          <w:rStyle w:val="10pt"/>
          <w:b/>
          <w:bCs/>
          <w:sz w:val="24"/>
          <w:szCs w:val="24"/>
        </w:rPr>
        <w:t>.</w:t>
      </w:r>
    </w:p>
    <w:p>
      <w:pPr>
        <w:pStyle w:val="Normal"/>
        <w:spacing w:before="0" w:after="0"/>
        <w:jc w:val="both"/>
        <w:rPr>
          <w:sz w:val="24"/>
          <w:szCs w:val="24"/>
        </w:rPr>
      </w:pPr>
      <w:r>
        <w:rPr>
          <w:sz w:val="24"/>
          <w:szCs w:val="24"/>
        </w:rPr>
        <w:tab/>
      </w:r>
      <w:r>
        <w:rPr>
          <w:sz w:val="24"/>
          <w:szCs w:val="24"/>
        </w:rPr>
        <w:t xml:space="preserve">2.1. </w:t>
      </w:r>
      <w:r>
        <w:rPr>
          <w:sz w:val="24"/>
          <w:szCs w:val="24"/>
        </w:rPr>
        <w:t xml:space="preserve">Все единицы Товара быть одной ревизии (версия ПО, оборудования) для обеспечения работы между ними. Товар должен быть исправным,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Гарантия на товар должна быть от производителя не менее 12 месяцев. Дата производства должна быть не ранее 2025 года. Товар поставляется с </w:t>
      </w:r>
      <w:r>
        <w:rPr>
          <w:rFonts w:eastAsia="Calibri" w:cs="Arial"/>
          <w:color w:val="auto"/>
          <w:kern w:val="0"/>
          <w:sz w:val="24"/>
          <w:szCs w:val="24"/>
          <w:lang w:val="ru-RU" w:eastAsia="en-US" w:bidi="ar-SA"/>
        </w:rPr>
        <w:t>отметкой Поставщика в гарантийном талоне  производителя.</w:t>
      </w:r>
    </w:p>
    <w:p>
      <w:pPr>
        <w:pStyle w:val="Normal"/>
        <w:numPr>
          <w:ilvl w:val="0"/>
          <w:numId w:val="0"/>
        </w:numPr>
        <w:shd w:val="clear" w:color="auto" w:fill="auto"/>
        <w:tabs>
          <w:tab w:val="clear" w:pos="708"/>
          <w:tab w:val="left" w:pos="450" w:leader="none"/>
        </w:tabs>
        <w:spacing w:lineRule="exact" w:line="240" w:before="0" w:after="0"/>
        <w:ind w:hanging="0" w:left="0"/>
        <w:jc w:val="both"/>
        <w:rPr/>
      </w:pPr>
      <w:r>
        <w:rPr>
          <w:rStyle w:val="10pt"/>
          <w:b/>
          <w:bCs/>
          <w:sz w:val="24"/>
          <w:szCs w:val="24"/>
        </w:rPr>
        <w:t xml:space="preserve">           </w:t>
      </w:r>
      <w:r>
        <w:rPr>
          <w:rStyle w:val="10pt"/>
          <w:b w:val="false"/>
          <w:bCs w:val="false"/>
          <w:sz w:val="24"/>
          <w:szCs w:val="24"/>
        </w:rPr>
        <w:t>2.2.</w:t>
      </w:r>
      <w:r>
        <w:rPr>
          <w:rStyle w:val="10pt"/>
          <w:b/>
          <w:bCs/>
          <w:sz w:val="24"/>
          <w:szCs w:val="24"/>
        </w:rPr>
        <w:t xml:space="preserve"> </w:t>
      </w:r>
      <w:r>
        <w:rPr>
          <w:sz w:val="24"/>
          <w:szCs w:val="24"/>
        </w:rPr>
        <w:t xml:space="preserve">Товар, поставляемый Поставщиком Заказчику, должен соответствовать: </w:t>
      </w:r>
    </w:p>
    <w:p>
      <w:pPr>
        <w:pStyle w:val="Normal"/>
        <w:widowControl/>
        <w:numPr>
          <w:ilvl w:val="0"/>
          <w:numId w:val="0"/>
        </w:numPr>
        <w:shd w:val="clear" w:color="auto" w:fill="auto"/>
        <w:suppressAutoHyphens w:val="true"/>
        <w:overflowPunct w:val="true"/>
        <w:bidi w:val="0"/>
        <w:spacing w:lineRule="exact" w:line="317" w:before="0" w:after="0"/>
        <w:ind w:hanging="0" w:left="0" w:right="0"/>
        <w:jc w:val="both"/>
        <w:rPr>
          <w:sz w:val="24"/>
          <w:szCs w:val="24"/>
        </w:rPr>
      </w:pPr>
      <w:r>
        <w:rPr>
          <w:sz w:val="24"/>
          <w:szCs w:val="24"/>
        </w:rPr>
        <w:t>- требованиям действующих государственных и международных стандартов и других нормативных актов Российской Федерации, требованиям безопасности, функциональным и качественным характеристикам для данной группы товаров;</w:t>
      </w:r>
    </w:p>
    <w:p>
      <w:pPr>
        <w:pStyle w:val="Normal"/>
        <w:widowControl/>
        <w:numPr>
          <w:ilvl w:val="0"/>
          <w:numId w:val="0"/>
        </w:numPr>
        <w:shd w:val="clear" w:color="auto" w:fill="auto"/>
        <w:tabs>
          <w:tab w:val="clear" w:pos="708"/>
          <w:tab w:val="left" w:pos="570" w:leader="none"/>
          <w:tab w:val="left" w:pos="630" w:leader="none"/>
        </w:tabs>
        <w:suppressAutoHyphens w:val="true"/>
        <w:overflowPunct w:val="true"/>
        <w:bidi w:val="0"/>
        <w:spacing w:lineRule="exact" w:line="317" w:before="0" w:after="57"/>
        <w:ind w:hanging="0" w:left="0" w:right="0"/>
        <w:jc w:val="both"/>
        <w:rPr>
          <w:sz w:val="24"/>
          <w:szCs w:val="24"/>
        </w:rPr>
      </w:pPr>
      <w:r>
        <w:rPr>
          <w:rFonts w:eastAsia="Calibri" w:cs="Arial"/>
          <w:color w:val="auto"/>
          <w:kern w:val="0"/>
          <w:sz w:val="24"/>
          <w:szCs w:val="24"/>
          <w:lang w:val="ru-RU" w:eastAsia="en-US" w:bidi="ar-SA"/>
        </w:rPr>
        <w:t>- функциональным, техническим, качественным и эксплуатационным характеристикам, указанным в Переч</w:t>
      </w:r>
      <w:r>
        <w:rPr>
          <w:rFonts w:eastAsia="Calibri" w:cs="Arial"/>
          <w:color w:val="auto"/>
          <w:kern w:val="0"/>
          <w:sz w:val="24"/>
          <w:szCs w:val="24"/>
          <w:lang w:val="ru-RU" w:eastAsia="en-US" w:bidi="ar-SA"/>
        </w:rPr>
        <w:t xml:space="preserve">не </w:t>
      </w:r>
      <w:r>
        <w:rPr>
          <w:rFonts w:eastAsia="Calibri" w:cs="Arial"/>
          <w:color w:val="auto"/>
          <w:kern w:val="0"/>
          <w:sz w:val="24"/>
          <w:szCs w:val="24"/>
          <w:lang w:val="ru-RU" w:eastAsia="en-US" w:bidi="ar-SA"/>
        </w:rPr>
        <w:t xml:space="preserve"> поставляемого товара к настоящему Техническому заданию.</w:t>
      </w:r>
    </w:p>
    <w:p>
      <w:pPr>
        <w:pStyle w:val="Normal"/>
        <w:shd w:val="clear" w:color="auto" w:fill="auto"/>
        <w:spacing w:lineRule="exact" w:line="240" w:before="0" w:after="47"/>
        <w:ind w:hanging="0"/>
        <w:jc w:val="both"/>
        <w:rPr>
          <w:sz w:val="24"/>
          <w:szCs w:val="24"/>
        </w:rPr>
      </w:pPr>
      <w:r>
        <w:rPr>
          <w:sz w:val="24"/>
          <w:szCs w:val="24"/>
        </w:rPr>
        <w:t xml:space="preserve">          </w:t>
      </w:r>
      <w:r>
        <w:rPr>
          <w:sz w:val="24"/>
          <w:szCs w:val="24"/>
        </w:rPr>
        <w:t xml:space="preserve">2.3. </w:t>
      </w:r>
      <w:r>
        <w:rPr>
          <w:sz w:val="24"/>
          <w:szCs w:val="24"/>
        </w:rPr>
        <w:t>Комплект отчетной документации должен включать:</w:t>
      </w:r>
    </w:p>
    <w:p>
      <w:pPr>
        <w:pStyle w:val="Normal"/>
        <w:widowControl/>
        <w:shd w:val="clear" w:color="auto" w:fill="auto"/>
        <w:suppressAutoHyphens w:val="true"/>
        <w:overflowPunct w:val="true"/>
        <w:bidi w:val="0"/>
        <w:spacing w:lineRule="exact" w:line="317" w:before="0" w:after="0"/>
        <w:ind w:hanging="0" w:left="0" w:right="0"/>
        <w:jc w:val="both"/>
        <w:rPr>
          <w:b w:val="false"/>
          <w:bCs w:val="false"/>
          <w:sz w:val="24"/>
          <w:szCs w:val="24"/>
        </w:rPr>
      </w:pPr>
      <w:r>
        <w:rPr>
          <w:b w:val="false"/>
          <w:bCs w:val="false"/>
          <w:sz w:val="24"/>
          <w:szCs w:val="24"/>
        </w:rPr>
        <w:t>- обязательные для данной группы товаров сертификаты соответствия (декларации о соответствии) Товара;</w:t>
      </w:r>
    </w:p>
    <w:p>
      <w:pPr>
        <w:pStyle w:val="Normal"/>
        <w:widowControl/>
        <w:shd w:val="clear" w:color="auto" w:fill="auto"/>
        <w:suppressAutoHyphens w:val="true"/>
        <w:overflowPunct w:val="true"/>
        <w:bidi w:val="0"/>
        <w:spacing w:lineRule="exact" w:line="317" w:before="0" w:after="0"/>
        <w:ind w:hanging="454" w:left="454" w:right="0"/>
        <w:jc w:val="both"/>
        <w:rPr>
          <w:b w:val="false"/>
          <w:bCs w:val="false"/>
          <w:sz w:val="24"/>
          <w:szCs w:val="24"/>
        </w:rPr>
      </w:pPr>
      <w:r>
        <w:rPr>
          <w:b w:val="false"/>
          <w:bCs w:val="false"/>
          <w:sz w:val="24"/>
          <w:szCs w:val="24"/>
        </w:rPr>
        <w:t>-  оригиналы документов, относящиеся к Товару (паспорт, инструкция по эксплуатации и т.п.);</w:t>
      </w:r>
    </w:p>
    <w:p>
      <w:pPr>
        <w:pStyle w:val="Normal"/>
        <w:widowControl/>
        <w:shd w:val="clear" w:color="auto" w:fill="auto"/>
        <w:suppressAutoHyphens w:val="true"/>
        <w:overflowPunct w:val="true"/>
        <w:bidi w:val="0"/>
        <w:spacing w:lineRule="exact" w:line="317" w:before="0" w:after="0"/>
        <w:ind w:hanging="454" w:left="454" w:right="0"/>
        <w:jc w:val="both"/>
        <w:rPr>
          <w:b w:val="false"/>
          <w:bCs w:val="false"/>
          <w:sz w:val="24"/>
          <w:szCs w:val="24"/>
        </w:rPr>
      </w:pPr>
      <w:r>
        <w:rPr>
          <w:b w:val="false"/>
          <w:bCs w:val="false"/>
          <w:sz w:val="24"/>
          <w:szCs w:val="24"/>
        </w:rPr>
        <w:t>- оригиналы документов, подтверждающие гарантийные обязательства Поставщика и производителя Товара;</w:t>
      </w:r>
    </w:p>
    <w:p>
      <w:pPr>
        <w:pStyle w:val="Normal"/>
        <w:widowControl/>
        <w:shd w:val="clear" w:color="auto" w:fill="auto"/>
        <w:tabs>
          <w:tab w:val="clear" w:pos="708"/>
          <w:tab w:val="left" w:pos="120" w:leader="none"/>
        </w:tabs>
        <w:suppressAutoHyphens w:val="true"/>
        <w:overflowPunct w:val="true"/>
        <w:bidi w:val="0"/>
        <w:spacing w:lineRule="exact" w:line="317" w:before="0" w:after="0"/>
        <w:ind w:hanging="0" w:left="0" w:right="0"/>
        <w:jc w:val="both"/>
        <w:rPr>
          <w:sz w:val="24"/>
          <w:szCs w:val="24"/>
        </w:rPr>
      </w:pPr>
      <w:r>
        <w:rPr>
          <w:b w:val="false"/>
          <w:bCs w:val="false"/>
          <w:sz w:val="24"/>
          <w:szCs w:val="24"/>
        </w:rPr>
        <w:t xml:space="preserve">- </w:t>
      </w:r>
      <w:r>
        <w:rPr>
          <w:sz w:val="24"/>
          <w:szCs w:val="24"/>
        </w:rPr>
        <w:t>иные документы, подтверждающие качество Товара, оформленные в соответствии с законодательством Российской Федерации.</w:t>
      </w:r>
    </w:p>
    <w:p>
      <w:pPr>
        <w:pStyle w:val="Normal"/>
        <w:widowControl/>
        <w:shd w:val="clear" w:color="auto" w:fill="auto"/>
        <w:suppressAutoHyphens w:val="true"/>
        <w:overflowPunct w:val="true"/>
        <w:bidi w:val="0"/>
        <w:spacing w:lineRule="exact" w:line="317" w:before="0" w:after="57"/>
        <w:ind w:hanging="0" w:left="0" w:right="0"/>
        <w:jc w:val="both"/>
        <w:rPr>
          <w:sz w:val="24"/>
          <w:szCs w:val="24"/>
        </w:rPr>
      </w:pPr>
      <w:r>
        <w:rPr>
          <w:rFonts w:eastAsia="Calibri" w:cs="Arial"/>
          <w:color w:val="auto"/>
          <w:kern w:val="0"/>
          <w:sz w:val="24"/>
          <w:szCs w:val="24"/>
          <w:lang w:val="ru-RU" w:eastAsia="en-US" w:bidi="ar-SA"/>
        </w:rPr>
        <w:t xml:space="preserve">        </w:t>
      </w:r>
      <w:r>
        <w:rPr>
          <w:rFonts w:eastAsia="Calibri" w:cs="Arial"/>
          <w:color w:val="auto"/>
          <w:kern w:val="0"/>
          <w:sz w:val="24"/>
          <w:szCs w:val="24"/>
          <w:lang w:val="ru-RU" w:eastAsia="en-US" w:bidi="ar-SA"/>
        </w:rPr>
        <w:t xml:space="preserve">2.4. </w:t>
      </w:r>
      <w:r>
        <w:rPr>
          <w:rFonts w:eastAsia="Calibri" w:cs="Arial"/>
          <w:color w:val="auto"/>
          <w:kern w:val="0"/>
          <w:sz w:val="24"/>
          <w:szCs w:val="24"/>
          <w:lang w:val="ru-RU" w:eastAsia="en-US" w:bidi="ar-SA"/>
        </w:rPr>
        <w:t>Не допускается поставка Товара, имеющего механические и иные виды повреждений и (или) условия хранения которого были нарушены.</w:t>
      </w:r>
    </w:p>
    <w:p>
      <w:pPr>
        <w:pStyle w:val="Normal"/>
        <w:widowControl/>
        <w:shd w:val="clear" w:color="auto" w:fill="auto"/>
        <w:suppressAutoHyphens w:val="true"/>
        <w:overflowPunct w:val="true"/>
        <w:bidi w:val="0"/>
        <w:spacing w:lineRule="exact" w:line="317" w:before="0" w:after="0"/>
        <w:ind w:firstLine="567" w:left="0" w:right="0"/>
        <w:jc w:val="both"/>
        <w:rPr>
          <w:sz w:val="24"/>
          <w:szCs w:val="24"/>
        </w:rPr>
      </w:pPr>
      <w:r>
        <w:rPr>
          <w:sz w:val="24"/>
          <w:szCs w:val="24"/>
        </w:rPr>
        <w:t xml:space="preserve">2.5. </w:t>
      </w:r>
      <w:r>
        <w:rPr>
          <w:sz w:val="24"/>
          <w:szCs w:val="24"/>
        </w:rPr>
        <w:t>Упаковка Товара должна соответствовать нормативной правовой документации на продукцию, на конкретные виды (типы) тары и упаковки, а также обеспечивать сохранность Товара при погрузке, разгрузке, транспортировании и хранении.</w:t>
      </w:r>
    </w:p>
    <w:p>
      <w:pPr>
        <w:pStyle w:val="Normal"/>
        <w:widowControl/>
        <w:shd w:val="clear" w:color="auto" w:fill="auto"/>
        <w:suppressAutoHyphens w:val="true"/>
        <w:overflowPunct w:val="true"/>
        <w:bidi w:val="0"/>
        <w:spacing w:lineRule="exact" w:line="317" w:before="0" w:after="503"/>
        <w:ind w:firstLine="567" w:left="0" w:right="0"/>
        <w:jc w:val="both"/>
        <w:rPr>
          <w:sz w:val="24"/>
          <w:szCs w:val="24"/>
        </w:rPr>
      </w:pPr>
      <w:r>
        <w:rPr>
          <w:sz w:val="24"/>
          <w:szCs w:val="24"/>
        </w:rPr>
        <w:t xml:space="preserve">2.6. </w:t>
      </w:r>
      <w:r>
        <w:rPr>
          <w:sz w:val="24"/>
          <w:szCs w:val="24"/>
        </w:rPr>
        <w:t>В сопроводительной документации на Товар, на этикетке, маркировкой или иным способом должны быть указаны специальные правила, если для безопасного использования Товара, его хранения, транспортировки и утилизации их необходимо соблюдать.</w:t>
      </w:r>
    </w:p>
    <w:p>
      <w:pPr>
        <w:pStyle w:val="Normal"/>
        <w:jc w:val="both"/>
        <w:rPr>
          <w:sz w:val="24"/>
          <w:szCs w:val="24"/>
        </w:rPr>
      </w:pPr>
      <w:r>
        <w:rPr>
          <w:rFonts w:eastAsia="Calibri" w:cs="Arial"/>
          <w:b/>
          <w:bCs/>
          <w:color w:val="auto"/>
          <w:kern w:val="0"/>
          <w:sz w:val="24"/>
          <w:szCs w:val="24"/>
          <w:lang w:val="ru-RU" w:eastAsia="en-US" w:bidi="ar-SA"/>
        </w:rPr>
        <w:t xml:space="preserve">3. </w:t>
      </w:r>
      <w:r>
        <w:rPr>
          <w:rFonts w:eastAsia="Calibri" w:cs="Arial"/>
          <w:b/>
          <w:bCs/>
          <w:color w:val="auto"/>
          <w:kern w:val="0"/>
          <w:sz w:val="24"/>
          <w:szCs w:val="24"/>
          <w:lang w:val="ru-RU" w:eastAsia="en-US" w:bidi="ar-SA"/>
        </w:rPr>
        <w:t xml:space="preserve">Срок поставки: </w:t>
      </w:r>
      <w:r>
        <w:rPr>
          <w:rFonts w:eastAsia="Calibri" w:cs="Arial"/>
          <w:color w:val="auto"/>
          <w:kern w:val="0"/>
          <w:sz w:val="24"/>
          <w:szCs w:val="24"/>
          <w:lang w:val="ru-RU" w:eastAsia="en-US" w:bidi="ar-SA"/>
        </w:rPr>
        <w:t>15 рабочих  дней с даты заключения Контракта.</w:t>
      </w:r>
    </w:p>
    <w:p>
      <w:pPr>
        <w:pStyle w:val="Normal"/>
        <w:spacing w:before="0" w:after="160"/>
        <w:jc w:val="both"/>
        <w:rPr>
          <w:sz w:val="24"/>
          <w:szCs w:val="24"/>
        </w:rPr>
      </w:pPr>
      <w:r>
        <w:rPr>
          <w:b/>
          <w:bCs/>
          <w:sz w:val="24"/>
          <w:szCs w:val="24"/>
        </w:rPr>
        <w:t xml:space="preserve">4. </w:t>
      </w:r>
      <w:r>
        <w:rPr>
          <w:b/>
          <w:bCs/>
          <w:sz w:val="24"/>
          <w:szCs w:val="24"/>
        </w:rPr>
        <w:t>Адрес поставки:</w:t>
      </w:r>
      <w:r>
        <w:rPr>
          <w:sz w:val="24"/>
          <w:szCs w:val="24"/>
        </w:rPr>
        <w:t xml:space="preserve"> 445003, г.Тольятти, Лесопарковое шоссе, д. 2, промышленный склад</w:t>
      </w:r>
    </w:p>
    <w:p>
      <w:pPr>
        <w:pStyle w:val="Normal"/>
        <w:spacing w:before="0" w:after="160"/>
        <w:jc w:val="both"/>
        <w:rPr>
          <w:sz w:val="24"/>
          <w:szCs w:val="24"/>
        </w:rPr>
      </w:pPr>
      <w:r>
        <w:rPr>
          <w:sz w:val="24"/>
          <w:szCs w:val="24"/>
        </w:rPr>
      </w:r>
    </w:p>
    <w:p>
      <w:pPr>
        <w:pStyle w:val="Normal"/>
        <w:spacing w:before="0" w:after="160"/>
        <w:jc w:val="both"/>
        <w:rPr>
          <w:sz w:val="24"/>
          <w:szCs w:val="24"/>
        </w:rPr>
      </w:pPr>
      <w:r>
        <w:rPr>
          <w:sz w:val="24"/>
          <w:szCs w:val="24"/>
        </w:rPr>
        <w:t>Ответственное лицо Заказчика________________</w:t>
      </w:r>
    </w:p>
    <w:sectPr>
      <w:type w:val="nextPage"/>
      <w:pgSz w:w="11906" w:h="16838"/>
      <w:pgMar w:left="675" w:right="566" w:gutter="0" w:header="0" w:top="567" w:footer="0" w:bottom="56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2"/>
        <w:spacing w:val="0"/>
        <w:i w:val="false"/>
        <w:u w:val="none"/>
        <w:b/>
        <w:szCs w:val="22"/>
        <w:iCs w:val="false"/>
        <w:bCs/>
        <w:w w:val="100"/>
        <w:rFonts w:ascii="Times New Roman" w:hAnsi="Times New Roman" w:eastAsia="Times New Roman" w:cs="Times New Roman"/>
        <w:color w:val="000000"/>
        <w:lang w:val="ru-RU" w:eastAsia="ru-RU" w:bidi="ru-RU"/>
      </w:rPr>
    </w:lvl>
    <w:lvl w:ilvl="1">
      <w:start w:val="1"/>
      <w:numFmt w:val="decimal"/>
      <w:lvlText w:val="%1.%2"/>
      <w:lvlJc w:val="left"/>
      <w:pPr>
        <w:tabs>
          <w:tab w:val="num" w:pos="0"/>
        </w:tabs>
        <w:ind w:left="0" w:hanging="0"/>
      </w:pPr>
      <w:rPr>
        <w:smallCaps w:val="false"/>
        <w:caps w:val="false"/>
        <w:dstrike w:val="false"/>
        <w:strike w:val="false"/>
        <w:sz w:val="24"/>
        <w:spacing w:val="0"/>
        <w:i w:val="false"/>
        <w:u w:val="none"/>
        <w:b w:val="false"/>
        <w:szCs w:val="24"/>
        <w:iCs w:val="false"/>
        <w:bCs w:val="false"/>
        <w:w w:val="100"/>
        <w:rFonts w:ascii="Times New Roman" w:hAnsi="Times New Roman" w:eastAsia="Times New Roman" w:cs="Times New Roman"/>
        <w:color w:val="000000"/>
        <w:lang w:val="ru-RU" w:eastAsia="ru-RU" w:bidi="ru-RU"/>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Times New Roman" w:hAnsi="Times New Roman" w:cs="Times New Roman" w:hint="default"/>
        <w:smallCaps w:val="false"/>
        <w:caps w:val="false"/>
        <w:dstrike w:val="false"/>
        <w:strike w:val="false"/>
        <w:sz w:val="24"/>
        <w:spacing w:val="0"/>
        <w:i w:val="false"/>
        <w:u w:val="none"/>
        <w:b/>
        <w:szCs w:val="24"/>
        <w:iCs w:val="false"/>
        <w:bCs/>
        <w:w w:val="100"/>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40" w:before="0" w:after="160"/>
      <w:jc w:val="left"/>
    </w:pPr>
    <w:rPr>
      <w:rFonts w:ascii="Times New Roman" w:hAnsi="Times New Roman" w:eastAsia="Calibri" w:cs="Arial"/>
      <w:color w:val="auto"/>
      <w:kern w:val="0"/>
      <w:sz w:val="28"/>
      <w:szCs w:val="22"/>
      <w:lang w:val="ru-RU" w:eastAsia="en-US" w:bidi="ar-SA"/>
    </w:rPr>
  </w:style>
  <w:style w:type="paragraph" w:styleId="Heading1">
    <w:name w:val="heading 1"/>
    <w:basedOn w:val="Normal"/>
    <w:next w:val="Normal"/>
    <w:link w:val="Heading1Char"/>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qFormat/>
    <w:pPr>
      <w:keepNext w:val="true"/>
      <w:keepLines/>
      <w:spacing w:before="0" w:after="0"/>
      <w:outlineLvl w:val="8"/>
    </w:pPr>
    <w:rPr>
      <w:rFonts w:ascii="Arial" w:hAnsi="Arial" w:eastAsia="Arial" w:cs="Arial"/>
      <w:i/>
      <w:iCs/>
      <w:color w:themeColor="text1" w:themeTint="d8" w:val="272727"/>
    </w:rPr>
  </w:style>
  <w:style w:type="character" w:styleId="Heading1Char">
    <w:name w:val="Heading 1 Char"/>
    <w:basedOn w:val="DefaultParagraphFont"/>
    <w:qFormat/>
    <w:rPr>
      <w:rFonts w:ascii="Arial" w:hAnsi="Arial" w:eastAsia="Arial" w:cs="Arial"/>
      <w:color w:themeColor="accent1" w:themeShade="bf" w:val="0F4761"/>
      <w:sz w:val="40"/>
      <w:szCs w:val="40"/>
    </w:rPr>
  </w:style>
  <w:style w:type="character" w:styleId="Heading2Char">
    <w:name w:val="Heading 2 Char"/>
    <w:basedOn w:val="DefaultParagraphFont"/>
    <w:qFormat/>
    <w:rPr>
      <w:rFonts w:ascii="Arial" w:hAnsi="Arial" w:eastAsia="Arial" w:cs="Arial"/>
      <w:color w:themeColor="accent1" w:themeShade="bf" w:val="0F4761"/>
      <w:sz w:val="32"/>
      <w:szCs w:val="32"/>
    </w:rPr>
  </w:style>
  <w:style w:type="character" w:styleId="Heading3Char">
    <w:name w:val="Heading 3 Char"/>
    <w:basedOn w:val="DefaultParagraphFont"/>
    <w:qFormat/>
    <w:rPr>
      <w:rFonts w:ascii="Arial" w:hAnsi="Arial" w:eastAsia="Arial" w:cs="Arial"/>
      <w:color w:themeColor="accent1" w:themeShade="bf" w:val="0F4761"/>
      <w:sz w:val="28"/>
      <w:szCs w:val="28"/>
    </w:rPr>
  </w:style>
  <w:style w:type="character" w:styleId="Heading4Char">
    <w:name w:val="Heading 4 Char"/>
    <w:basedOn w:val="DefaultParagraphFont"/>
    <w:qFormat/>
    <w:rPr>
      <w:rFonts w:ascii="Arial" w:hAnsi="Arial" w:eastAsia="Arial" w:cs="Arial"/>
      <w:i/>
      <w:iCs/>
      <w:color w:themeColor="accent1" w:themeShade="bf" w:val="0F4761"/>
    </w:rPr>
  </w:style>
  <w:style w:type="character" w:styleId="Heading5Char">
    <w:name w:val="Heading 5 Char"/>
    <w:basedOn w:val="DefaultParagraphFont"/>
    <w:qFormat/>
    <w:rPr>
      <w:rFonts w:ascii="Arial" w:hAnsi="Arial" w:eastAsia="Arial" w:cs="Arial"/>
      <w:color w:themeColor="accent1" w:themeShade="bf" w:val="0F4761"/>
    </w:rPr>
  </w:style>
  <w:style w:type="character" w:styleId="Heading6Char">
    <w:name w:val="Heading 6 Char"/>
    <w:basedOn w:val="DefaultParagraphFont"/>
    <w:qFormat/>
    <w:rPr>
      <w:rFonts w:ascii="Arial" w:hAnsi="Arial" w:eastAsia="Arial" w:cs="Arial"/>
      <w:i/>
      <w:iCs/>
      <w:color w:themeColor="text1" w:themeTint="a6" w:val="595959"/>
    </w:rPr>
  </w:style>
  <w:style w:type="character" w:styleId="Heading7Char">
    <w:name w:val="Heading 7 Char"/>
    <w:basedOn w:val="DefaultParagraphFont"/>
    <w:qFormat/>
    <w:rPr>
      <w:rFonts w:ascii="Arial" w:hAnsi="Arial" w:eastAsia="Arial" w:cs="Arial"/>
      <w:color w:themeColor="text1" w:themeTint="a6" w:val="595959"/>
    </w:rPr>
  </w:style>
  <w:style w:type="character" w:styleId="Heading8Char">
    <w:name w:val="Heading 8 Char"/>
    <w:basedOn w:val="DefaultParagraphFont"/>
    <w:qFormat/>
    <w:rPr>
      <w:rFonts w:ascii="Arial" w:hAnsi="Arial" w:eastAsia="Arial" w:cs="Arial"/>
      <w:i/>
      <w:iCs/>
      <w:color w:themeColor="text1" w:themeTint="d8" w:val="272727"/>
    </w:rPr>
  </w:style>
  <w:style w:type="character" w:styleId="Heading9Char">
    <w:name w:val="Heading 9 Char"/>
    <w:basedOn w:val="DefaultParagraphFont"/>
    <w:qFormat/>
    <w:rPr>
      <w:rFonts w:ascii="Arial" w:hAnsi="Arial" w:eastAsia="Arial" w:cs="Arial"/>
      <w:i/>
      <w:iCs/>
      <w:color w:themeColor="text1" w:themeTint="d8" w:val="272727"/>
    </w:rPr>
  </w:style>
  <w:style w:type="character" w:styleId="TitleChar">
    <w:name w:val="Title Char"/>
    <w:basedOn w:val="DefaultParagraphFont"/>
    <w:qFormat/>
    <w:rPr>
      <w:rFonts w:ascii="Arial" w:hAnsi="Arial" w:eastAsia="Arial" w:cs="Arial"/>
      <w:spacing w:val="-10"/>
      <w:sz w:val="56"/>
      <w:szCs w:val="56"/>
    </w:rPr>
  </w:style>
  <w:style w:type="character" w:styleId="SubtitleChar">
    <w:name w:val="Subtitle Char"/>
    <w:basedOn w:val="DefaultParagraphFont"/>
    <w:qFormat/>
    <w:rPr>
      <w:color w:themeColor="text1" w:themeTint="a6" w:val="595959"/>
      <w:spacing w:val="15"/>
      <w:sz w:val="28"/>
      <w:szCs w:val="28"/>
    </w:rPr>
  </w:style>
  <w:style w:type="character" w:styleId="QuoteChar">
    <w:name w:val="Quote Char"/>
    <w:basedOn w:val="DefaultParagraphFont"/>
    <w:link w:val="Quote"/>
    <w:qFormat/>
    <w:rPr>
      <w:i/>
      <w:iCs/>
      <w:color w:themeColor="text1" w:themeTint="bf" w:val="404040"/>
    </w:rPr>
  </w:style>
  <w:style w:type="character" w:styleId="IntenseEmphasis">
    <w:name w:val="Intense Emphasis"/>
    <w:basedOn w:val="DefaultParagraphFont"/>
    <w:qFormat/>
    <w:rPr>
      <w:i/>
      <w:iCs/>
      <w:color w:themeColor="accent1" w:themeShade="bf" w:val="0F4761"/>
    </w:rPr>
  </w:style>
  <w:style w:type="character" w:styleId="IntenseQuoteChar">
    <w:name w:val="Intense Quote Char"/>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character" w:styleId="SubtleEmphasis">
    <w:name w:val="Subtle Emphasis"/>
    <w:basedOn w:val="DefaultParagraphFont"/>
    <w:qFormat/>
    <w:rPr>
      <w:i/>
      <w:iCs/>
      <w:color w:themeColor="text1" w:themeTint="bf" w:val="404040"/>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SubtleReference">
    <w:name w:val="Subtle Reference"/>
    <w:basedOn w:val="DefaultParagraphFont"/>
    <w:qFormat/>
    <w:rPr>
      <w:smallCaps/>
      <w:color w:themeColor="text1" w:themeTint="a5" w:val="5A5A5A"/>
    </w:rPr>
  </w:style>
  <w:style w:type="character" w:styleId="BookTitle">
    <w:name w:val="Book Title"/>
    <w:basedOn w:val="DefaultParagraphFont"/>
    <w:qFormat/>
    <w:rPr>
      <w:b/>
      <w:bCs/>
      <w:i/>
      <w:iCs/>
      <w:spacing w:val="5"/>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Style5">
    <w:name w:val="Символ сноски"/>
    <w:basedOn w:val="DefaultParagraphFont"/>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qFormat/>
    <w:rPr>
      <w:sz w:val="20"/>
      <w:szCs w:val="20"/>
    </w:rPr>
  </w:style>
  <w:style w:type="character" w:styleId="Style6">
    <w:name w:val="Символ концевой сноски"/>
    <w:basedOn w:val="DefaultParagraphFont"/>
    <w:qFormat/>
    <w:rPr>
      <w:vertAlign w:val="superscript"/>
    </w:rPr>
  </w:style>
  <w:style w:type="character" w:styleId="EndnoteReference">
    <w:name w:val="endnote reference"/>
    <w:rPr>
      <w:vertAlign w:val="superscript"/>
    </w:rPr>
  </w:style>
  <w:style w:type="character" w:styleId="Hyperlink">
    <w:name w:val="Hyperlink"/>
    <w:basedOn w:val="DefaultParagraphFont"/>
    <w:rPr>
      <w:color w:themeColor="hyperlink" w:val="0563C1"/>
      <w:u w:val="single"/>
    </w:rPr>
  </w:style>
  <w:style w:type="character" w:styleId="FollowedHyperlink">
    <w:name w:val="FollowedHyperlink"/>
    <w:basedOn w:val="DefaultParagraphFont"/>
    <w:rPr>
      <w:color w:themeColor="followedHyperlink" w:val="954F72"/>
      <w:u w:val="single"/>
    </w:rPr>
  </w:style>
  <w:style w:type="character" w:styleId="PlaceholderText">
    <w:name w:val="Placeholder Text"/>
    <w:basedOn w:val="DefaultParagraphFont"/>
    <w:qFormat/>
    <w:rPr>
      <w:color w:val="666666"/>
    </w:rPr>
  </w:style>
  <w:style w:type="character" w:styleId="DefaultParagraphFont">
    <w:name w:val="Default Paragraph Font"/>
    <w:qFormat/>
    <w:rPr/>
  </w:style>
  <w:style w:type="character" w:styleId="1">
    <w:name w:val="Заголовок №1_"/>
    <w:basedOn w:val="DefaultParagraphFont"/>
    <w:qFormat/>
    <w:rPr>
      <w:rFonts w:ascii="Times New Roman" w:hAnsi="Times New Roman" w:eastAsia="Times New Roman" w:cs="Times New Roman"/>
      <w:b/>
      <w:bCs/>
      <w:i w:val="false"/>
      <w:iCs w:val="false"/>
      <w:caps w:val="false"/>
      <w:smallCaps w:val="false"/>
      <w:strike w:val="false"/>
      <w:dstrike w:val="false"/>
      <w:spacing w:val="-10"/>
      <w:sz w:val="22"/>
      <w:szCs w:val="22"/>
      <w:u w:val="none"/>
    </w:rPr>
  </w:style>
  <w:style w:type="character" w:styleId="10pt">
    <w:name w:val="Заголовок №1 + Интервал 0 pt"/>
    <w:basedOn w:val="1"/>
    <w:qFormat/>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ru-RU" w:eastAsia="ru-RU" w:bidi="ru-RU"/>
    </w:rPr>
  </w:style>
  <w:style w:type="paragraph" w:styleId="Style7">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next w:val="Normal"/>
    <w:qFormat/>
    <w:pPr>
      <w:spacing w:lineRule="auto" w:line="240" w:before="0" w:after="200"/>
    </w:pPr>
    <w:rPr>
      <w:i/>
      <w:iCs/>
      <w:color w:themeColor="text2" w:val="0E2841"/>
      <w:sz w:val="18"/>
      <w:szCs w:val="18"/>
    </w:rPr>
  </w:style>
  <w:style w:type="paragraph" w:styleId="Style8">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Noto Sans"/>
      <w:sz w:val="28"/>
      <w:szCs w:val="28"/>
    </w:rPr>
  </w:style>
  <w:style w:type="paragraph" w:styleId="user1">
    <w:name w:val="Указатель (user)"/>
    <w:basedOn w:val="Normal"/>
    <w:qFormat/>
    <w:pPr>
      <w:suppressLineNumbers/>
    </w:pPr>
    <w:rPr>
      <w:rFonts w:cs="Noto Sans"/>
    </w:rPr>
  </w:style>
  <w:style w:type="paragraph" w:styleId="Title">
    <w:name w:val="Title"/>
    <w:basedOn w:val="Normal"/>
    <w:next w:val="Normal"/>
    <w:link w:val="TitleChar"/>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qFormat/>
    <w:pPr/>
    <w:rPr>
      <w:color w:themeColor="text1" w:themeTint="a6" w:val="595959"/>
      <w:spacing w:val="15"/>
      <w:sz w:val="28"/>
      <w:szCs w:val="28"/>
    </w:rPr>
  </w:style>
  <w:style w:type="paragraph" w:styleId="Quote">
    <w:name w:val="Quote"/>
    <w:basedOn w:val="Normal"/>
    <w:next w:val="Normal"/>
    <w:link w:val="QuoteChar"/>
    <w:qFormat/>
    <w:pPr>
      <w:spacing w:before="160" w:after="0"/>
      <w:jc w:val="center"/>
    </w:pPr>
    <w:rPr>
      <w:i/>
      <w:iCs/>
      <w:color w:themeColor="text1" w:themeTint="bf" w:val="404040"/>
    </w:rPr>
  </w:style>
  <w:style w:type="paragraph" w:styleId="ListParagraph">
    <w:name w:val="List Paragraph"/>
    <w:basedOn w:val="Normal"/>
    <w:qFormat/>
    <w:pPr>
      <w:spacing w:before="0" w:after="0"/>
      <w:ind w:left="720"/>
      <w:contextualSpacing/>
    </w:pPr>
    <w:rPr/>
  </w:style>
  <w:style w:type="paragraph" w:styleId="IntenseQuote">
    <w:name w:val="Intense Quote"/>
    <w:basedOn w:val="Normal"/>
    <w:next w:val="Normal"/>
    <w:link w:val="IntenseQuoteChar"/>
    <w:qFormat/>
    <w:pPr>
      <w:pBdr>
        <w:top w:val="single" w:sz="4" w:space="10" w:color="0F4761"/>
        <w:bottom w:val="single" w:sz="4" w:space="10" w:color="0F4761"/>
      </w:pBdr>
      <w:spacing w:before="360" w:after="360"/>
      <w:ind w:left="864" w:right="864"/>
      <w:jc w:val="center"/>
    </w:pPr>
    <w:rPr>
      <w:i/>
      <w:iCs/>
      <w:color w:themeColor="accent1" w:themeShade="bf" w:val="0F4761"/>
    </w:rPr>
  </w:style>
  <w:style w:type="paragraph" w:styleId="NoSpacing">
    <w:name w:val="No Spacing"/>
    <w:basedOn w:val="Normal"/>
    <w:qFormat/>
    <w:pPr>
      <w:spacing w:lineRule="auto" w:line="240" w:before="0" w:after="0"/>
    </w:pPr>
    <w:rPr/>
  </w:style>
  <w:style w:type="paragraph" w:styleId="Style9">
    <w:name w:val="Колонтитулы"/>
    <w:basedOn w:val="Normal"/>
    <w:qFormat/>
    <w:pPr/>
    <w:rPr/>
  </w:style>
  <w:style w:type="paragraph" w:styleId="user2">
    <w:name w:val="Колонтитулы (user)"/>
    <w:basedOn w:val="Normal"/>
    <w:qFormat/>
    <w:pPr/>
    <w:rPr/>
  </w:style>
  <w:style w:type="paragraph" w:styleId="Header">
    <w:name w:val="header"/>
    <w:basedOn w:val="Normal"/>
    <w:link w:val="HeaderChar"/>
    <w:pPr>
      <w:tabs>
        <w:tab w:val="clear" w:pos="708"/>
        <w:tab w:val="center" w:pos="4844" w:leader="none"/>
        <w:tab w:val="right" w:pos="9689" w:leader="none"/>
      </w:tabs>
      <w:spacing w:lineRule="auto" w:line="240" w:before="0" w:after="0"/>
    </w:pPr>
    <w:rPr/>
  </w:style>
  <w:style w:type="paragraph" w:styleId="Footer">
    <w:name w:val="footer"/>
    <w:basedOn w:val="Normal"/>
    <w:link w:val="FooterChar"/>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pPr>
      <w:spacing w:lineRule="auto" w:line="240" w:before="0" w:after="0"/>
    </w:pPr>
    <w:rPr>
      <w:sz w:val="20"/>
      <w:szCs w:val="20"/>
    </w:rPr>
  </w:style>
  <w:style w:type="paragraph" w:styleId="EndnoteText">
    <w:name w:val="endnote text"/>
    <w:basedOn w:val="Normal"/>
    <w:link w:val="EndnoteTextChar"/>
    <w:pPr>
      <w:spacing w:lineRule="auto" w:line="240" w:before="0" w:after="0"/>
    </w:pPr>
    <w:rPr>
      <w:sz w:val="20"/>
      <w:szCs w:val="20"/>
    </w:rPr>
  </w:style>
  <w:style w:type="paragraph" w:styleId="TOC1">
    <w:name w:val="toc 1"/>
    <w:basedOn w:val="Normal"/>
    <w:next w:val="Normal"/>
    <w:pPr>
      <w:spacing w:before="0" w:after="100"/>
    </w:pPr>
    <w:rPr/>
  </w:style>
  <w:style w:type="paragraph" w:styleId="TOC2">
    <w:name w:val="toc 2"/>
    <w:basedOn w:val="Normal"/>
    <w:next w:val="Normal"/>
    <w:pPr>
      <w:spacing w:before="0" w:after="100"/>
      <w:ind w:left="220"/>
    </w:pPr>
    <w:rPr/>
  </w:style>
  <w:style w:type="paragraph" w:styleId="TOC3">
    <w:name w:val="toc 3"/>
    <w:basedOn w:val="Normal"/>
    <w:next w:val="Normal"/>
    <w:pPr>
      <w:spacing w:before="0" w:after="100"/>
      <w:ind w:left="440"/>
    </w:pPr>
    <w:rPr/>
  </w:style>
  <w:style w:type="paragraph" w:styleId="TOC4">
    <w:name w:val="toc 4"/>
    <w:basedOn w:val="Normal"/>
    <w:next w:val="Normal"/>
    <w:pPr>
      <w:spacing w:before="0" w:after="100"/>
      <w:ind w:left="660"/>
    </w:pPr>
    <w:rPr/>
  </w:style>
  <w:style w:type="paragraph" w:styleId="TOC5">
    <w:name w:val="toc 5"/>
    <w:basedOn w:val="Normal"/>
    <w:next w:val="Normal"/>
    <w:pPr>
      <w:spacing w:before="0" w:after="100"/>
      <w:ind w:left="880"/>
    </w:pPr>
    <w:rPr/>
  </w:style>
  <w:style w:type="paragraph" w:styleId="TOC6">
    <w:name w:val="toc 6"/>
    <w:basedOn w:val="Normal"/>
    <w:next w:val="Normal"/>
    <w:pPr>
      <w:spacing w:before="0" w:after="100"/>
      <w:ind w:left="1100"/>
    </w:pPr>
    <w:rPr/>
  </w:style>
  <w:style w:type="paragraph" w:styleId="TOC7">
    <w:name w:val="toc 7"/>
    <w:basedOn w:val="Normal"/>
    <w:next w:val="Normal"/>
    <w:pPr>
      <w:spacing w:before="0" w:after="100"/>
      <w:ind w:left="1320"/>
    </w:pPr>
    <w:rPr/>
  </w:style>
  <w:style w:type="paragraph" w:styleId="TOC8">
    <w:name w:val="toc 8"/>
    <w:basedOn w:val="Normal"/>
    <w:next w:val="Normal"/>
    <w:pPr>
      <w:spacing w:before="0" w:after="100"/>
      <w:ind w:left="1540"/>
    </w:pPr>
    <w:rPr/>
  </w:style>
  <w:style w:type="paragraph" w:styleId="TOC9">
    <w:name w:val="toc 9"/>
    <w:basedOn w:val="Normal"/>
    <w:next w:val="Normal"/>
    <w:pPr>
      <w:spacing w:before="0" w:after="100"/>
      <w:ind w:left="1760"/>
    </w:pPr>
    <w:rPr/>
  </w:style>
  <w:style w:type="paragraph" w:styleId="IndexHeading">
    <w:name w:val="index heading"/>
    <w:basedOn w:val="Style7"/>
    <w:pPr/>
    <w:rPr/>
  </w:style>
  <w:style w:type="paragraph" w:styleId="TOCHeading">
    <w:name w:val="TOC Heading"/>
    <w:qFormat/>
    <w:pPr>
      <w:widowControl/>
      <w:suppressAutoHyphens w:val="true"/>
      <w:overflowPunct w:val="true"/>
      <w:bidi w:val="0"/>
      <w:spacing w:before="0" w:after="0"/>
      <w:jc w:val="left"/>
    </w:pPr>
    <w:rPr>
      <w:rFonts w:ascii="Calibri" w:hAnsi="Calibri" w:eastAsia="Calibri" w:cs="Arial"/>
      <w:color w:val="auto"/>
      <w:kern w:val="0"/>
      <w:sz w:val="20"/>
      <w:szCs w:val="20"/>
      <w:lang w:val="ru-RU" w:eastAsia="zh-CN" w:bidi="hi-IN"/>
    </w:rPr>
  </w:style>
  <w:style w:type="paragraph" w:styleId="TableofFigures">
    <w:name w:val="table of figures"/>
    <w:basedOn w:val="Normal"/>
    <w:next w:val="Normal"/>
    <w:pPr>
      <w:spacing w:before="0" w:after="0"/>
    </w:pPr>
    <w:rPr/>
  </w:style>
  <w:style w:type="paragraph" w:styleId="Style10">
    <w:name w:val="Содержимое таблицы"/>
    <w:basedOn w:val="Normal"/>
    <w:qFormat/>
    <w:pPr>
      <w:widowControl w:val="false"/>
      <w:suppressLineNumbers/>
    </w:pPr>
    <w:rPr/>
  </w:style>
  <w:style w:type="paragraph" w:styleId="Style11">
    <w:name w:val="Заголовок таблицы"/>
    <w:basedOn w:val="Style10"/>
    <w:qFormat/>
    <w:pPr>
      <w:suppressLineNumbers/>
      <w:jc w:val="center"/>
    </w:pPr>
    <w:rPr>
      <w:b/>
      <w:bCs/>
    </w:rPr>
  </w:style>
  <w:style w:type="paragraph" w:styleId="user3">
    <w:name w:val="Содержимое таблицы (user)"/>
    <w:basedOn w:val="Normal"/>
    <w:qFormat/>
    <w:pPr>
      <w:widowControl w:val="false"/>
      <w:suppressLineNumbers/>
    </w:pPr>
    <w:rPr/>
  </w:style>
  <w:style w:type="paragraph" w:styleId="user4">
    <w:name w:val="Заголовок таблицы (user)"/>
    <w:basedOn w:val="user3"/>
    <w:qFormat/>
    <w:pPr>
      <w:suppressLineNumbers/>
      <w:jc w:val="center"/>
    </w:pPr>
    <w:rPr>
      <w:b/>
      <w:bCs/>
    </w:rPr>
  </w:style>
  <w:style w:type="paragraph" w:styleId="11">
    <w:name w:val="Заголовок №1"/>
    <w:basedOn w:val="Normal"/>
    <w:qFormat/>
    <w:pPr>
      <w:shd w:val="clear" w:color="auto" w:fill="FFFFFF"/>
      <w:spacing w:lineRule="exact" w:line="384"/>
      <w:jc w:val="center"/>
      <w:outlineLvl w:val="0"/>
    </w:pPr>
    <w:rPr>
      <w:rFonts w:ascii="Times New Roman" w:hAnsi="Times New Roman" w:eastAsia="Times New Roman" w:cs="Times New Roman"/>
      <w:b/>
      <w:bCs/>
      <w:spacing w:val="-10"/>
      <w:sz w:val="22"/>
      <w:szCs w:val="22"/>
    </w:rPr>
  </w:style>
  <w:style w:type="numbering" w:styleId="Style12">
    <w:name w:val="Без списка"/>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74</TotalTime>
  <Application>LibreOffice/24.8.7.2$Linux_X86_64 LibreOffice_project/480$Build-2</Application>
  <AppVersion>15.0000</AppVersion>
  <Pages>2</Pages>
  <Words>458</Words>
  <Characters>3125</Characters>
  <CharactersWithSpaces>3521</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2022-10-05T09:58:00Z</dcterms:created>
  <dc:creator>user</dc:creator>
  <dc:description/>
  <dc:language>ru-RU</dc:language>
  <cp:lastModifiedBy/>
  <dcterms:modified xsi:type="dcterms:W3CDTF">2026-05-28T11:56:06Z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A60FA49C281F44738C31D9DA5D3809D9_12</vt:lpwstr>
  </property>
  <property fmtid="{D5CDD505-2E9C-101B-9397-08002B2CF9AE}" pid="3" name="KSOProductBuildVer">
    <vt:lpwstr>1049-12.2.0.20795</vt:lpwstr>
  </property>
</Properties>
</file>