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</w:rPr>
      </w:pPr>
      <w:r>
        <w:rPr>
          <w:sz w:val="28"/>
        </w:rPr>
        <w:t xml:space="preserve">ФЕДЕРАЛЬНАЯ ТАМОЖЕННАЯ СЛУЖБА</w:t>
      </w:r>
      <w:r>
        <w:rPr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  <w:t xml:space="preserve">ПРИВОЛЖСКОЕ ТАМОЖЕННОЕ УПРАВЛЕНИЕ</w:t>
      </w:r>
      <w:r>
        <w:rPr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  <w:t xml:space="preserve">ПЕРМСКАЯ ТАМОЖНЯ</w:t>
      </w:r>
      <w:r>
        <w:rPr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left="6096"/>
        <w:rPr>
          <w:bCs/>
        </w:rPr>
      </w:pPr>
      <w:r>
        <w:rPr>
          <w:bCs/>
        </w:rPr>
      </w:r>
      <w:r>
        <w:rPr>
          <w:bCs/>
        </w:rPr>
      </w:r>
    </w:p>
    <w:p>
      <w:pPr>
        <w:ind w:left="6096"/>
        <w:rPr>
          <w:bCs/>
        </w:rPr>
      </w:pPr>
      <w:r>
        <w:rPr>
          <w:bCs/>
        </w:rPr>
      </w:r>
      <w:r>
        <w:rPr>
          <w:bCs/>
        </w:rPr>
      </w:r>
    </w:p>
    <w:p>
      <w:pPr>
        <w:ind w:left="6096"/>
        <w:rPr>
          <w:bCs/>
        </w:rPr>
      </w:pPr>
      <w:r>
        <w:rPr>
          <w:bCs/>
        </w:rPr>
        <w:t xml:space="preserve">   </w:t>
      </w:r>
      <w:r>
        <w:rPr>
          <w:bCs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Информация к закупочной сессии на ЕАТ </w:t>
      </w:r>
      <w:r>
        <w:rPr>
          <w:b/>
          <w:sz w:val="40"/>
          <w:szCs w:val="40"/>
        </w:rPr>
      </w:r>
    </w:p>
    <w:p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на </w:t>
      </w:r>
      <w:r>
        <w:rPr>
          <w:b/>
          <w:sz w:val="40"/>
          <w:szCs w:val="40"/>
        </w:rPr>
        <w:t xml:space="preserve">в</w:t>
      </w:r>
      <w:r>
        <w:rPr>
          <w:b/>
          <w:color w:val="000000"/>
          <w:sz w:val="40"/>
          <w:szCs w:val="40"/>
          <w:lang w:eastAsia="en-US"/>
        </w:rPr>
        <w:t xml:space="preserve">ыполнение работ по </w:t>
      </w:r>
      <w:r>
        <w:rPr>
          <w:b/>
          <w:color w:val="000000"/>
          <w:sz w:val="40"/>
          <w:szCs w:val="40"/>
          <w:lang w:eastAsia="ar-SA"/>
        </w:rPr>
        <w:t xml:space="preserve">проверке работоспособности</w:t>
      </w:r>
      <w:r>
        <w:rPr>
          <w:b/>
          <w:bCs/>
          <w:color w:val="000000"/>
          <w:sz w:val="40"/>
          <w:szCs w:val="40"/>
          <w:lang w:eastAsia="ar-SA"/>
        </w:rPr>
        <w:t xml:space="preserve"> внутреннего противопожарного водопровода на объекте Удмуртского таможенного поста Пермской таможни</w:t>
      </w:r>
      <w:r>
        <w:rPr>
          <w:b/>
          <w:sz w:val="40"/>
          <w:szCs w:val="40"/>
          <w:lang w:eastAsia="ar-SA"/>
        </w:rPr>
        <w:t xml:space="preserve"> «Служебные помещения Удмуртского таможенного поста Пермской таможни» (г. Ижевск)</w:t>
      </w:r>
      <w:r>
        <w:rPr>
          <w:sz w:val="40"/>
          <w:szCs w:val="40"/>
        </w:rPr>
      </w:r>
    </w:p>
    <w:p>
      <w:r/>
      <w:r/>
    </w:p>
    <w:p>
      <w:r/>
      <w:r/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2693"/>
      </w:tblGrid>
      <w:tr>
        <w:tblPrEx/>
        <w:trPr>
          <w:trHeight w:val="322"/>
        </w:trPr>
        <w:tc>
          <w:tcPr>
            <w:tcW w:w="5495" w:type="dxa"/>
            <w:vAlign w:val="bottom"/>
            <w:textDirection w:val="lrTb"/>
            <w:noWrap w:val="false"/>
          </w:tcPr>
          <w:p>
            <w:pPr>
              <w:ind w:right="-7048"/>
              <w:spacing w:line="276" w:lineRule="auto"/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</w:t>
            </w:r>
            <w:r>
              <w:rPr>
                <w:sz w:val="28"/>
                <w:szCs w:val="28"/>
                <w:lang w:eastAsia="en-US"/>
              </w:rPr>
              <w:t xml:space="preserve">тарший государственный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ind w:right="-7048"/>
              <w:spacing w:line="276" w:lineRule="auto"/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</w:t>
            </w:r>
            <w:r>
              <w:rPr>
                <w:sz w:val="28"/>
                <w:szCs w:val="28"/>
                <w:lang w:eastAsia="en-US"/>
              </w:rPr>
              <w:t xml:space="preserve">аможенный инспектор 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</w:t>
            </w:r>
            <w:r>
              <w:rPr>
                <w:lang w:eastAsia="en-US"/>
              </w:rPr>
            </w:r>
          </w:p>
        </w:tc>
        <w:tc>
          <w:tcPr>
            <w:tcW w:w="269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spacing w:val="-1"/>
                <w:sz w:val="28"/>
                <w:szCs w:val="28"/>
                <w:lang w:eastAsia="en-US"/>
              </w:rPr>
            </w:pPr>
            <w:r>
              <w:rPr>
                <w:bCs/>
                <w:spacing w:val="-1"/>
                <w:sz w:val="28"/>
                <w:szCs w:val="28"/>
                <w:lang w:eastAsia="en-US"/>
              </w:rPr>
              <w:t xml:space="preserve">М.А. Ошуркова</w:t>
            </w:r>
            <w:r>
              <w:rPr>
                <w:bCs/>
                <w:spacing w:val="-1"/>
                <w:sz w:val="28"/>
                <w:szCs w:val="28"/>
                <w:lang w:eastAsia="en-US"/>
              </w:rPr>
            </w:r>
          </w:p>
        </w:tc>
      </w:tr>
    </w:tbl>
    <w:p>
      <w:r/>
      <w:r/>
    </w:p>
    <w:p>
      <w:r/>
      <w:r/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2693"/>
      </w:tblGrid>
      <w:tr>
        <w:tblPrEx/>
        <w:trPr>
          <w:trHeight w:val="322"/>
        </w:trPr>
        <w:tc>
          <w:tcPr>
            <w:tcW w:w="5495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СОГЛАСОВАНО: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Руководитель контрактной службы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269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А.В. Оборин</w:t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2"/>
        </w:trPr>
        <w:tc>
          <w:tcPr>
            <w:tcW w:w="5495" w:type="dxa"/>
            <w:vAlign w:val="bottom"/>
            <w:textDirection w:val="lrTb"/>
            <w:noWrap w:val="false"/>
          </w:tcPr>
          <w:tbl>
            <w:tblPr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5495"/>
              <w:gridCol w:w="1843"/>
              <w:gridCol w:w="2693"/>
            </w:tblGrid>
            <w:tr>
              <w:tblPrEx/>
              <w:trPr>
                <w:trHeight w:val="322"/>
              </w:trPr>
              <w:tc>
                <w:tcPr>
                  <w:tcW w:w="5495" w:type="dxa"/>
                  <w:vAlign w:val="bottom"/>
                  <w:textDirection w:val="lrTb"/>
                  <w:noWrap w:val="false"/>
                </w:tcPr>
                <w:p>
                  <w:pPr>
                    <w:ind w:left="-68" w:right="-7048"/>
                    <w:spacing w:line="276" w:lineRule="auto"/>
                    <w:shd w:val="clear" w:color="auto" w:fill="ffffff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</w:r>
                  <w:r>
                    <w:rPr>
                      <w:sz w:val="28"/>
                      <w:szCs w:val="28"/>
                      <w:lang w:eastAsia="en-US"/>
                    </w:rPr>
                  </w:r>
                </w:p>
              </w:tc>
              <w:tc>
                <w:tcPr>
                  <w:tcW w:w="1843" w:type="dxa"/>
                  <w:vAlign w:val="bottom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_____________</w:t>
                  </w:r>
                  <w:r>
                    <w:rPr>
                      <w:lang w:eastAsia="en-US"/>
                    </w:rPr>
                  </w:r>
                </w:p>
              </w:tc>
              <w:tc>
                <w:tcPr>
                  <w:tcW w:w="2693" w:type="dxa"/>
                  <w:vAlign w:val="bottom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bCs/>
                      <w:spacing w:val="-1"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spacing w:val="-1"/>
                      <w:sz w:val="28"/>
                      <w:szCs w:val="28"/>
                      <w:lang w:eastAsia="en-US"/>
                    </w:rPr>
                  </w:r>
                  <w:r>
                    <w:rPr>
                      <w:bCs/>
                      <w:spacing w:val="-1"/>
                      <w:sz w:val="28"/>
                      <w:szCs w:val="28"/>
                      <w:lang w:eastAsia="en-US"/>
                    </w:rPr>
                  </w:r>
                </w:p>
              </w:tc>
            </w:tr>
          </w:tbl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Правовой отдел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2693" w:type="dxa"/>
            <w:vAlign w:val="bottom"/>
            <w:textDirection w:val="lrTb"/>
            <w:noWrap w:val="false"/>
          </w:tcPr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Т.В. Лузянина</w:t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839"/>
        </w:trPr>
        <w:tc>
          <w:tcPr>
            <w:tcW w:w="5495" w:type="dxa"/>
            <w:vAlign w:val="bottom"/>
            <w:textDirection w:val="lrTb"/>
            <w:noWrap w:val="false"/>
          </w:tcPr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Отдел бухгалтерского учета 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 финансового мониторинга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2693" w:type="dxa"/>
            <w:vAlign w:val="bottom"/>
            <w:textDirection w:val="lrTb"/>
            <w:noWrap w:val="false"/>
          </w:tcPr>
          <w:p>
            <w:pPr>
              <w:jc w:val="both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И.В. Винс</w:t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Пермь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142"/>
        <w:gridCol w:w="6946"/>
      </w:tblGrid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Условия закупки</w:t>
            </w:r>
            <w:r>
              <w:rPr>
                <w:b/>
                <w:i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ИКЗ: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26 1 5902290177 590401001 0020 000 0000 244</w:t>
            </w:r>
            <w:r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КБК: 15301063941590049244</w:t>
            </w:r>
            <w:r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Предмет закупки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r>
          </w:p>
          <w:p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2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ыполнение работ по 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проверке работоспособности</w:t>
            </w:r>
            <w:r>
              <w:rPr>
                <w:bCs/>
                <w:color w:val="000000"/>
                <w:sz w:val="24"/>
                <w:szCs w:val="24"/>
                <w:lang w:eastAsia="ar-SA"/>
              </w:rPr>
              <w:t xml:space="preserve"> внутреннего противопожарного водопровода на объекте Удмуртского таможенного поста Пермской таможни</w:t>
            </w:r>
            <w:r>
              <w:rPr>
                <w:sz w:val="24"/>
                <w:szCs w:val="24"/>
                <w:lang w:eastAsia="ar-SA"/>
              </w:rPr>
              <w:t xml:space="preserve"> «Служебные помещения Удмуртского таможенного поста Пермской таможни» (г. Ижевск)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Стартовая цена, 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2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5 040</w:t>
            </w:r>
            <w:r>
              <w:rPr>
                <w:b/>
                <w:sz w:val="24"/>
                <w:szCs w:val="24"/>
              </w:rPr>
              <w:t xml:space="preserve"> руб.</w:t>
            </w:r>
            <w:r>
              <w:rPr>
                <w:b/>
                <w:sz w:val="24"/>
                <w:szCs w:val="24"/>
              </w:rPr>
              <w:t xml:space="preserve">00 коп.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Размер аванса (при наличии), 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20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Способ закупки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до 600 000 руб. (п.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 ч.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ст.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93 Закона №44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ФЗ)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Вид оплаты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209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 по счету </w:t>
            </w:r>
            <w:r>
              <w:rPr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Условия оплаты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209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установленный срок</w:t>
            </w:r>
            <w:r>
              <w:rPr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Порядок и срок оплаты товара (услуги,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работы)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351"/>
              <w:jc w:val="both"/>
              <w:tabs>
                <w:tab w:val="left" w:pos="-439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финансирования: Федеральный бюджет.</w:t>
            </w:r>
            <w:r>
              <w:rPr>
                <w:sz w:val="24"/>
                <w:szCs w:val="24"/>
              </w:rPr>
            </w:r>
          </w:p>
          <w:p>
            <w:pPr>
              <w:ind w:right="66" w:firstLine="3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оплачиваются Заказчиком в пределах лимитов бюджетных обязательств исходя из объема фактически выполненные работы по ценам, указанным в Спецификации.</w:t>
            </w:r>
            <w:r>
              <w:rPr>
                <w:sz w:val="24"/>
                <w:szCs w:val="24"/>
              </w:rPr>
            </w:r>
          </w:p>
          <w:p>
            <w:pPr>
              <w:ind w:right="66" w:firstLine="27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 по контракту производится Заказчиком путем перечисления денежных средств на расчетный счет Исполнителя. Перечисление денежных средств осуществляется в течение 10 рабочих дней со дня подписания акта об оказании услуг </w:t>
            </w:r>
            <w:r>
              <w:rPr>
                <w:bCs/>
                <w:sz w:val="24"/>
                <w:szCs w:val="24"/>
              </w:rPr>
              <w:t xml:space="preserve">на основании </w:t>
            </w:r>
            <w:r>
              <w:rPr>
                <w:sz w:val="24"/>
                <w:szCs w:val="24"/>
              </w:rPr>
              <w:t xml:space="preserve">счета, счета-фактуры (если ее составление предусмотрено законодательством РФ), акта об оказании услуг </w:t>
            </w:r>
            <w:r>
              <w:rPr>
                <w:rFonts w:eastAsia="Calibri"/>
                <w:sz w:val="24"/>
                <w:szCs w:val="24"/>
              </w:rPr>
              <w:t xml:space="preserve">или универсального передаточного документа (</w:t>
            </w:r>
            <w:r>
              <w:rPr>
                <w:rFonts w:eastAsia="Calibri"/>
                <w:sz w:val="24"/>
                <w:szCs w:val="24"/>
              </w:rPr>
              <w:t xml:space="preserve">далее - </w:t>
            </w:r>
            <w:r>
              <w:rPr>
                <w:rFonts w:eastAsia="Calibri"/>
                <w:sz w:val="24"/>
                <w:szCs w:val="24"/>
              </w:rPr>
              <w:t xml:space="preserve">УПД)</w:t>
            </w:r>
            <w:r>
              <w:rPr>
                <w:sz w:val="24"/>
                <w:szCs w:val="24"/>
              </w:rPr>
              <w:t xml:space="preserve"> Заказчиком. </w:t>
            </w:r>
            <w:r>
              <w:rPr>
                <w:rFonts w:eastAsia="Calibri"/>
                <w:sz w:val="24"/>
                <w:szCs w:val="24"/>
              </w:rPr>
              <w:t xml:space="preserve">В случае подписания УПД акт об оказании услуг и счет-фактура не предоставляются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Продолжительность закупочной сессии, час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 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20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Стороны вправе принять решение об одностороннем отказе от исполнения контракта в соответствии с гражданским законодательством.</w:t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 подаче предложения поставщику (подрядчику, исполнителя) необходимо предоставить дополнительную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 соответствии со ст. 12 Федерального закона от 04.05.2011 № 99-ФЗ «О лицензировании отдельных видов деятельности» 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частник закупки предоставляет </w:t>
            </w:r>
            <w:r>
              <w:rPr>
                <w:sz w:val="24"/>
                <w:szCs w:val="24"/>
              </w:rPr>
              <w:t xml:space="preserve">информацию и исчерпывающий перечень документов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которые</w:t>
            </w:r>
            <w:r>
              <w:rPr>
                <w:sz w:val="24"/>
                <w:szCs w:val="24"/>
              </w:rPr>
              <w:t xml:space="preserve"> подтвержд</w:t>
            </w:r>
            <w:r>
              <w:rPr>
                <w:sz w:val="24"/>
                <w:szCs w:val="24"/>
              </w:rPr>
              <w:t xml:space="preserve">ают</w:t>
            </w:r>
            <w:r>
              <w:rPr>
                <w:sz w:val="24"/>
                <w:szCs w:val="24"/>
              </w:rPr>
              <w:t xml:space="preserve"> наличи</w:t>
            </w:r>
            <w:r>
              <w:rPr>
                <w:sz w:val="24"/>
                <w:szCs w:val="24"/>
              </w:rPr>
              <w:t xml:space="preserve">е</w:t>
            </w:r>
            <w:bookmarkStart w:id="0" w:name="_GoBack"/>
            <w:r/>
            <w:bookmarkEnd w:id="0"/>
            <w:r>
              <w:rPr>
                <w:sz w:val="24"/>
                <w:szCs w:val="24"/>
              </w:rPr>
              <w:t xml:space="preserve"> у Участника закупки право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на выполнение работ по монтажу, техническому обслуживанию и ремонту средств обеспечения пожарной безопасности зданий и сооружений.</w:t>
            </w:r>
            <w:r>
              <w:rPr>
                <w:i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Дополнительные условия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ind w:firstLine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Заказчиком к участнику закупки установлены единые требования в соответствии с ч.1 ст.31 Закона №44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ФЗ. Участник закупки при направлении заявки на участие в закупке подтверждает свое соответствие требованиям ч.1 ст.31 Закона №44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ФЗ.</w:t>
            </w:r>
            <w:r>
              <w:rPr>
                <w:sz w:val="24"/>
                <w:szCs w:val="24"/>
              </w:rPr>
            </w:r>
          </w:p>
          <w:p>
            <w:pPr>
              <w:ind w:firstLine="12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2) </w:t>
            </w:r>
            <w:r>
              <w:rPr>
                <w:color w:val="000000"/>
                <w:sz w:val="24"/>
                <w:szCs w:val="24"/>
              </w:rPr>
              <w:t xml:space="preserve">Ц</w:t>
            </w:r>
            <w:r>
              <w:rPr>
                <w:sz w:val="24"/>
                <w:szCs w:val="24"/>
              </w:rPr>
              <w:t xml:space="preserve">ена контракта формируется с учетом всех рас</w:t>
            </w:r>
            <w:r>
              <w:rPr>
                <w:sz w:val="24"/>
                <w:szCs w:val="24"/>
              </w:rPr>
              <w:t xml:space="preserve">ходов Подрядчика</w:t>
            </w:r>
            <w:r>
              <w:rPr>
                <w:sz w:val="24"/>
                <w:szCs w:val="24"/>
              </w:rPr>
              <w:t xml:space="preserve">, связанных с исполнением контракта, в том числе расходов на страхование, упаковку, маркировку, уплату таможенных пошлин, налогов, сборов и други</w:t>
            </w:r>
            <w:r>
              <w:rPr>
                <w:sz w:val="24"/>
                <w:szCs w:val="24"/>
              </w:rPr>
              <w:t xml:space="preserve">х обязательных платежей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ind w:firstLine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z w:val="24"/>
                <w:szCs w:val="24"/>
              </w:rPr>
              <w:t xml:space="preserve">Цена контракта является твердой и определяется на весь срок исполнения Контракта за исключением случаев, предусмотренных статьями 34, 95 Федерального закона от 05.04.2013 № 44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ФЗ.</w:t>
            </w:r>
            <w:r>
              <w:rPr>
                <w:sz w:val="24"/>
                <w:szCs w:val="24"/>
              </w:rPr>
            </w:r>
          </w:p>
          <w:p>
            <w:pPr>
              <w:pStyle w:val="770"/>
              <w:ind w:firstLine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контракт закл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ючается с юридическим лицом или физическим лицом, в том числе зарегистрированным в качестве индивидуального предпринимателя, подлежащая уплате Заказчиком сумма уменьшается на размер налогов, сборов и иных обязательных платежей в бюджеты бюджетной системы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 случае применения специального налогового режима «Налог на профессиональный доход» в соответствии с Федеральным законом от 27.11.2018 № 422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 «О проведении эксперимента по установлению специального налогового режима «Налог на профессиональный доход» (далее - Федеральный закон № 422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ФЗ) уплатить все применяемые налоги и сборы.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произведении расчетов передать такие сведения в налоговый орган, сформировать чек с учетом части 6 статьи 14 Федерального закона № 422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 и обеспечить его передачу Заказчику не позднее 9 (девятого) числа месяца, следующего за налоговым периодом, в котором произведены расчеты, если иное не предусмотрено Федеральным законом № 422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ФЗ. В случае утраты права на применение специального налогового режима или несоответствия требованиям части 2 статьи 4 Федерального закона № 422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ФЗ незамедлительно уведомить Заказчика.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Данный пункт подлежит исполнению в случае применения Исполнителем специального налогового режима.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Участником закупочной сессии не может быть лицо, информация о котором включена в Реестр недобросовестных поставщиков 44-ФЗ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Да</w:t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Условия поставки (оказания услуг, выполнения работ)</w:t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19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Максимальный срок поставки товаров (оказания услуг, выполнения работ)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 по 1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ой проверке: </w:t>
            </w:r>
            <w:r>
              <w:rPr>
                <w:sz w:val="24"/>
                <w:szCs w:val="24"/>
              </w:rPr>
              <w:t xml:space="preserve">май (с </w:t>
            </w:r>
            <w:r>
              <w:rPr>
                <w:sz w:val="24"/>
                <w:szCs w:val="24"/>
              </w:rPr>
              <w:t xml:space="preserve">даты заключения контракта п</w:t>
            </w:r>
            <w:r>
              <w:rPr>
                <w:sz w:val="24"/>
                <w:szCs w:val="24"/>
              </w:rPr>
              <w:t xml:space="preserve">о 31 мая включительно) </w:t>
            </w: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 по 2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ой проверке: октябрь</w:t>
            </w:r>
            <w:r>
              <w:rPr>
                <w:sz w:val="24"/>
                <w:szCs w:val="24"/>
              </w:rPr>
              <w:t xml:space="preserve"> (с 1 по 3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октября</w:t>
            </w:r>
            <w:r>
              <w:rPr>
                <w:sz w:val="24"/>
                <w:szCs w:val="24"/>
              </w:rPr>
              <w:t xml:space="preserve"> включительно) </w:t>
            </w: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Доставка товаров, выполнение работ, оказание услуг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Место выполнения работ: объект Удмуртского таможенного поста Пермской таможни: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 «Служебные помещения Удмуртского таможенного поста Пермской таможни» г. Ижевск, ул. Ухтомского, 24.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Адрес доставки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b/>
                <w:i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Дополнительная информация о доставке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Известить Заказчика по телефону (342) 238-7</w:t>
            </w: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34</w:t>
            </w:r>
            <w:r>
              <w:rPr>
                <w:color w:val="000000"/>
                <w:sz w:val="24"/>
                <w:szCs w:val="24"/>
              </w:rPr>
              <w:t xml:space="preserve"> о готовности выполнения работ не позднее, чем за 2 (два) рабочих дня до дня начала выполнения работ.</w:t>
            </w:r>
            <w:r>
              <w:rPr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График поставки товаров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</w:r>
            <w:r>
              <w:rPr>
                <w:sz w:val="24"/>
                <w:szCs w:val="24"/>
                <w:lang w:val="en-US" w:eastAsia="en-US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Порядок и срок приемки товаров (работ, услуг) Заказчиком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350"/>
              <w:jc w:val="both"/>
              <w:widowControl/>
              <w:tabs>
                <w:tab w:val="left" w:pos="1077" w:leader="none"/>
                <w:tab w:val="num" w:pos="1826" w:leader="none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результатам фактически </w:t>
            </w:r>
            <w:r>
              <w:rPr>
                <w:sz w:val="24"/>
                <w:szCs w:val="24"/>
              </w:rPr>
              <w:t xml:space="preserve">выполненных работ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</w:rPr>
              <w:t xml:space="preserve">май и </w:t>
            </w:r>
            <w:r>
              <w:rPr>
                <w:bCs/>
                <w:sz w:val="24"/>
                <w:szCs w:val="24"/>
              </w:rPr>
              <w:t xml:space="preserve">октябрь</w:t>
            </w:r>
            <w:r>
              <w:rPr>
                <w:bCs/>
                <w:sz w:val="24"/>
                <w:szCs w:val="24"/>
              </w:rPr>
              <w:t xml:space="preserve">) </w:t>
            </w:r>
            <w:r>
              <w:rPr>
                <w:bCs/>
                <w:sz w:val="24"/>
                <w:szCs w:val="24"/>
              </w:rPr>
              <w:t xml:space="preserve">в течение 5 (пяти) </w:t>
            </w:r>
            <w:r>
              <w:rPr>
                <w:bCs/>
                <w:sz w:val="24"/>
                <w:szCs w:val="24"/>
              </w:rPr>
              <w:t xml:space="preserve">календарных</w:t>
            </w:r>
            <w:r>
              <w:rPr>
                <w:bCs/>
                <w:sz w:val="24"/>
                <w:szCs w:val="24"/>
              </w:rPr>
              <w:t xml:space="preserve"> дней с момента завершения выполнения работ предоставить Заказчику:</w:t>
            </w:r>
            <w:r>
              <w:rPr>
                <w:bCs/>
                <w:sz w:val="24"/>
                <w:szCs w:val="24"/>
              </w:rPr>
            </w:r>
          </w:p>
          <w:p>
            <w:pPr>
              <w:jc w:val="both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color w:val="000000"/>
                <w:sz w:val="24"/>
                <w:szCs w:val="24"/>
              </w:rPr>
              <w:t xml:space="preserve"> акт проверки работоспособности пожарного крана на объекте Удмуртского таможенного поста Пермской таможни «Служебные помещения Удмуртского таможенного поста Пермской таможни» (г. Ижевск):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color w:val="000000"/>
                <w:sz w:val="24"/>
                <w:szCs w:val="24"/>
              </w:rPr>
              <w:t xml:space="preserve"> акт проверки работоспособности пожарного рукава сети внутреннего противопожарного водопровода;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color w:val="000000"/>
                <w:sz w:val="24"/>
                <w:szCs w:val="24"/>
              </w:rPr>
              <w:t xml:space="preserve"> акт результатов измерения расхода воды;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color w:val="000000"/>
                <w:sz w:val="24"/>
                <w:szCs w:val="24"/>
              </w:rPr>
              <w:t xml:space="preserve"> иную информацию, необходимую для эксплуатации или иного использования результатов работ;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6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счет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счет-фактур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 (если ее составление предусмотрено законодательством РФ)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на оплату выполненных работ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 акт выполненных работ или УПД.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6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    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В целях оформления приемки оказанных услуг, предусмотренных Контрактом, информация о котором не размещается в реестре контрактов на единой информационной системе в сфере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 закупок, а также указанным Контрактом предусмотрено осуществление приемки оказанных услуг, включая актирование расхождений, выявленных в результате приемки, на основании данных документов, подтверждающих выполнение (сдачу) услуг Заказчиком формируется акт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 приемки товаров, работ, услуг по форме акта ОКУД 0510452 и подписывается с двух Сторон (приказ Минфина России от 15.04.20</w:t>
            </w:r>
            <w:r>
              <w:rPr>
                <w:color w:val="000000"/>
                <w:sz w:val="24"/>
                <w:szCs w:val="24"/>
                <w:lang w:eastAsia="en-US" w:bidi="en-US"/>
              </w:rPr>
              <w:t xml:space="preserve">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применению»).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Сдача результатов работ Подрядчиком и их приемка Заказчиком производится в соответствии с гражданским законодательством и оформляется актом выполненных работ, подписываемым Заказчиком и Подрядчиком. </w:t>
            </w:r>
            <w:r>
              <w:rPr>
                <w:sz w:val="24"/>
                <w:szCs w:val="24"/>
              </w:rPr>
            </w:r>
          </w:p>
          <w:p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выполненных работ </w:t>
            </w:r>
            <w:r>
              <w:rPr>
                <w:sz w:val="24"/>
                <w:szCs w:val="24"/>
              </w:rPr>
              <w:t xml:space="preserve">или УПД </w:t>
            </w:r>
            <w:r>
              <w:rPr>
                <w:sz w:val="24"/>
                <w:szCs w:val="24"/>
              </w:rPr>
              <w:t xml:space="preserve">оформляется Подрядчиком и направляется Заказчику в двух подлинных экземплярах, </w:t>
            </w:r>
            <w:r>
              <w:rPr>
                <w:bCs/>
                <w:sz w:val="24"/>
                <w:szCs w:val="24"/>
              </w:rPr>
              <w:t xml:space="preserve">в течение 5 (пяти) рабочих дней со дня завершени</w:t>
            </w:r>
            <w:r>
              <w:rPr>
                <w:bCs/>
                <w:sz w:val="24"/>
                <w:szCs w:val="24"/>
              </w:rPr>
              <w:t xml:space="preserve">я Подрядчиком выполнения работ.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 в течение 3 (трех) рабочих дней со дня получения акта выполненных работ </w:t>
            </w:r>
            <w:r>
              <w:rPr>
                <w:sz w:val="24"/>
                <w:szCs w:val="24"/>
              </w:rPr>
              <w:t xml:space="preserve">или УПД </w:t>
            </w:r>
            <w:r>
              <w:rPr>
                <w:sz w:val="24"/>
                <w:szCs w:val="24"/>
              </w:rPr>
              <w:t xml:space="preserve">рассматривает его. При отсутствии мотивированных возражений Заказчик подписывает и направляет Подрядчику один э</w:t>
            </w:r>
            <w:r>
              <w:rPr>
                <w:sz w:val="24"/>
                <w:szCs w:val="24"/>
              </w:rPr>
              <w:t xml:space="preserve">кземпляр акта выполненных работ или УПД.</w:t>
            </w:r>
            <w:r>
              <w:rPr>
                <w:sz w:val="24"/>
                <w:szCs w:val="24"/>
              </w:rPr>
            </w:r>
          </w:p>
          <w:p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выявления несоответствия результатов выполненных работ условиям настоящего Контракта, Заказчик в течение 2</w:t>
            </w:r>
            <w:r>
              <w:rPr>
                <w:color w:val="000000"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х (двух) рабочих дней уведомляет об этом Подрядчика, составляет акт обнаружения недостатков с указанием сроков их устранения и направляет его Подрядчику. </w:t>
            </w:r>
            <w:r>
              <w:rPr>
                <w:sz w:val="24"/>
                <w:szCs w:val="24"/>
              </w:rPr>
            </w:r>
          </w:p>
          <w:p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Датой выполнения работ считается день подписания Заказчиком и Подрядчиком акта выполненных работ </w:t>
            </w:r>
            <w:r>
              <w:rPr>
                <w:bCs/>
                <w:sz w:val="24"/>
                <w:szCs w:val="24"/>
              </w:rPr>
              <w:t xml:space="preserve">или УПД </w:t>
            </w:r>
            <w:r>
              <w:rPr>
                <w:bCs/>
                <w:sz w:val="24"/>
                <w:szCs w:val="24"/>
              </w:rPr>
              <w:t xml:space="preserve">и акта устранения недостатков (в случае их выявления).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Ответственность сторон</w:t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Поставщика (исполнителя, подрядчика)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pStyle w:val="76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6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Пеня начисляется за каждый день просрочки исполнения поставщиком (подрядчиком, исполнителем) обязательства, предусмотренного контрактом,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пропорциональную объему обязательств, предусмотренных государственным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6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каждый факт неисполнения или ненадлежащего исполнения поставщиком (подрядчиком, исполнителем) обязател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(подрядчик, исполнитель) выплачивает Заказчику штраф.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6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1042, и составляет 10 % цены контракта.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89"/>
              <w:ind w:firstLine="129"/>
              <w:jc w:val="both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t xml:space="preserve">     За каждый факт неи</w:t>
            </w:r>
            <w:r>
              <w:t xml:space="preserve">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(</w:t>
            </w:r>
            <w:r>
              <w:t xml:space="preserve">одной тысячи) рублей 00 копеек.</w:t>
            </w:r>
            <w:r>
              <w:rPr>
                <w:color w:val="000000"/>
                <w:lang w:eastAsia="en-US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Заказчика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142"/>
              <w:jc w:val="both"/>
              <w:spacing w:line="25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случае просрочки исполнения Заказчико</w:t>
            </w:r>
            <w:r>
              <w:rPr>
                <w:color w:val="000000"/>
                <w:sz w:val="24"/>
                <w:szCs w:val="24"/>
              </w:rPr>
              <w:t xml:space="preserve">м обязательств, предусмотренных </w:t>
            </w:r>
            <w:r>
              <w:rPr>
                <w:color w:val="000000"/>
                <w:sz w:val="24"/>
                <w:szCs w:val="24"/>
              </w:rPr>
              <w:t xml:space="preserve">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firstLine="142"/>
              <w:jc w:val="both"/>
              <w:spacing w:line="25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Пеня начисляется за каждый день просрочки исполнения Заказчиком обязательств, предусмотренных Контрактом, начиная со дня, следующего после дня истечения установленного </w:t>
            </w:r>
            <w:r>
              <w:rPr>
                <w:color w:val="000000"/>
                <w:sz w:val="24"/>
                <w:szCs w:val="24"/>
              </w:rPr>
              <w:t xml:space="preserve">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firstLine="129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sz w:val="24"/>
                <w:szCs w:val="24"/>
              </w:rPr>
              <w:t xml:space="preserve">В случае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Заказчиком штрафа в размере 1000 (одна тысяча) рублей 00 копеек.</w:t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Дополнительная 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Контракт </w:t>
            </w:r>
            <w:r>
              <w:rPr>
                <w:sz w:val="24"/>
                <w:szCs w:val="24"/>
              </w:rPr>
              <w:t xml:space="preserve">вступает в силу с даты его подписания Сторонами и действует по </w:t>
            </w:r>
            <w:r>
              <w:rPr>
                <w:sz w:val="24"/>
                <w:szCs w:val="24"/>
              </w:rPr>
              <w:t xml:space="preserve">31.12.2026</w:t>
            </w:r>
            <w:r>
              <w:rPr>
                <w:sz w:val="24"/>
                <w:szCs w:val="24"/>
              </w:rPr>
              <w:t xml:space="preserve">, включительно, а в части финансовых обязательств Сторон – до полного их исполнения. </w:t>
            </w:r>
            <w:r>
              <w:rPr>
                <w:sz w:val="24"/>
                <w:szCs w:val="24"/>
              </w:rPr>
            </w:r>
          </w:p>
          <w:p>
            <w:pPr>
              <w:pStyle w:val="768"/>
              <w:jc w:val="both"/>
            </w:pPr>
            <w:r>
              <w:t xml:space="preserve">В случае выявления мелких устранимых недостатков работы внутреннего противопожарного водопровода на объект</w:t>
            </w:r>
            <w:r>
              <w:t xml:space="preserve">е</w:t>
            </w:r>
            <w:r>
              <w:t xml:space="preserve"> таможни (течь сальника, отсутствие прокладки либо уплотнительной резинки, устранение течи крана, условного обозначения, замена предоставленного Заказчиком крана либо пожарного рукава) устранить выявленные недостатки.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</w:t>
            </w:r>
            <w:r>
              <w:rPr>
                <w:sz w:val="24"/>
                <w:szCs w:val="24"/>
              </w:rPr>
              <w:t xml:space="preserve">ий», постановлением Правительства РФ от 11.05.2022 № 851 «О мерах по реализации Указа Президента Российской Федерации от 3 мая 2022 г. № 252» (вместе с «Перечнем юридических лиц, в отношении которых применяются специальные экономические меры») участниками </w:t>
            </w:r>
            <w:r>
              <w:rPr>
                <w:sz w:val="24"/>
                <w:szCs w:val="24"/>
              </w:rPr>
              <w:t xml:space="preserve">закупки не могут являться юридические лица, физические лица и находящиеся под их контролем организации, в отношении которых применяются специальные экономические меры; документы, подтверждающие соответствие участника закупки таким требованиям не требуются.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pStyle w:val="768"/>
              <w:jc w:val="both"/>
              <w:rPr>
                <w:lang w:eastAsia="en-US"/>
              </w:rPr>
            </w:pPr>
            <w:r>
              <w:t xml:space="preserve">За нарушение требований антим</w:t>
            </w:r>
            <w:r>
              <w:t xml:space="preserve">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</w:t>
            </w:r>
            <w:r>
              <w:t xml:space="preserve"> </w:t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Антикоррупционная оговорка 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 исполнении своих обязательств по Контракту Стороны, их аффилированные лица, работники или посредники не выплачивают, не предлагают выпла</w:t>
            </w:r>
            <w:r>
              <w:rPr>
                <w:sz w:val="24"/>
                <w:szCs w:val="24"/>
              </w:rPr>
              <w:t xml:space="preserve">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При исполнении своих обязательств по Контракту Стороны, их аффилированные лица, работники или посредники не осуще</w:t>
            </w:r>
            <w:r>
              <w:rPr>
                <w:sz w:val="24"/>
                <w:szCs w:val="24"/>
              </w:rPr>
              <w:t xml:space="preserve">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</w:t>
            </w:r>
            <w:r>
              <w:rPr>
                <w:sz w:val="24"/>
                <w:szCs w:val="24"/>
              </w:rPr>
              <w:t xml:space="preserve">коррупции.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 случае возникновения у Стороны подозрений, что произошло или может произойти нарушение каких-либо положений </w:t>
            </w:r>
            <w:r>
              <w:rPr>
                <w:sz w:val="24"/>
                <w:szCs w:val="24"/>
              </w:rPr>
              <w:t xml:space="preserve">п.п</w:t>
            </w:r>
            <w:r>
              <w:rPr>
                <w:sz w:val="24"/>
                <w:szCs w:val="24"/>
              </w:rPr>
              <w:t xml:space="preserve">. 1 и 2 настоящего раздела, соответствующая Сторона обязуется уведомить о</w:t>
            </w:r>
            <w:r>
              <w:rPr>
                <w:sz w:val="24"/>
                <w:szCs w:val="24"/>
              </w:rPr>
              <w:t xml:space="preserve">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      </w:r>
            <w:r>
              <w:rPr>
                <w:sz w:val="24"/>
                <w:szCs w:val="24"/>
              </w:rPr>
              <w:t xml:space="preserve">п.п</w:t>
            </w:r>
            <w:r>
              <w:rPr>
                <w:sz w:val="24"/>
                <w:szCs w:val="24"/>
              </w:rPr>
              <w:t xml:space="preserve">. 1 и 2 настоящего раздела другой Стороной, ее аффилированными лицами, работниками или посредниками.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Сторона, получившая уведомление о нарушении каких-либо положений </w:t>
            </w:r>
            <w:r>
              <w:rPr>
                <w:sz w:val="24"/>
                <w:szCs w:val="24"/>
              </w:rPr>
              <w:t xml:space="preserve">п.п</w:t>
            </w:r>
            <w:r>
              <w:rPr>
                <w:sz w:val="24"/>
                <w:szCs w:val="24"/>
              </w:rPr>
              <w:t xml:space="preserve">. 1 и 2 настоящего раздела, обязана рассмотреть уведомление и сообщить другой Стороне об итогах его рассмотрения в течение 30 (тридцать) рабочих дней с даты получения письменного уведомления.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Стороны гарантируют осуществление надлежащего разбирательства по фактам нарушения положений </w:t>
            </w:r>
            <w:r>
              <w:rPr>
                <w:sz w:val="24"/>
                <w:szCs w:val="24"/>
              </w:rPr>
              <w:t xml:space="preserve">п.п</w:t>
            </w:r>
            <w:r>
              <w:rPr>
                <w:sz w:val="24"/>
                <w:szCs w:val="24"/>
              </w:rPr>
              <w:t xml:space="preserve">. 1 и 2 настоящего раздела с соблюдением принципов конфиденциально</w:t>
            </w:r>
            <w:r>
              <w:rPr>
                <w:sz w:val="24"/>
                <w:szCs w:val="24"/>
              </w:rPr>
              <w:t xml:space="preserve">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В случае подтверждения факта нарушения одной Стороной положений </w:t>
            </w:r>
            <w:r>
              <w:rPr>
                <w:sz w:val="24"/>
                <w:szCs w:val="24"/>
              </w:rPr>
              <w:t xml:space="preserve">п.п</w:t>
            </w:r>
            <w:r>
              <w:rPr>
                <w:sz w:val="24"/>
                <w:szCs w:val="24"/>
              </w:rPr>
              <w:t xml:space="preserve">. 1 и 2 настоящего раздела и/или неполучения другой Стороной информации об итогах рассмотрения уведомления о нарушении в соответствии с </w:t>
            </w:r>
            <w:r>
              <w:rPr>
                <w:sz w:val="24"/>
                <w:szCs w:val="24"/>
              </w:rPr>
              <w:t xml:space="preserve">п.п</w:t>
            </w:r>
            <w:r>
              <w:rPr>
                <w:sz w:val="24"/>
                <w:szCs w:val="24"/>
              </w:rPr>
              <w:t xml:space="preserve">. 1 и 2</w:t>
            </w:r>
            <w:r>
              <w:rPr>
                <w:sz w:val="24"/>
                <w:szCs w:val="24"/>
              </w:rPr>
              <w:t xml:space="preserve"> настоящего раздела,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Контракта.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Спецификация</w:t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Закупка с неопределенным объемом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Нет</w:t>
            </w:r>
            <w:r>
              <w:rPr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7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Обязательное указание страны происхождения 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jc w:val="both"/>
              <w:rPr>
                <w:i/>
                <w:sz w:val="24"/>
                <w:szCs w:val="24"/>
                <w:highlight w:val="yellow"/>
              </w:rPr>
            </w:pPr>
            <w:r>
              <w:rPr>
                <w:i/>
                <w:sz w:val="24"/>
                <w:szCs w:val="24"/>
              </w:rPr>
              <w:t xml:space="preserve">Нет</w:t>
            </w:r>
            <w:r>
              <w:rPr>
                <w:i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Перечень документов, являющихся неотъемлемой частью закупки</w:t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pStyle w:val="760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– Описание объекта закупки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  <w:p>
            <w:pPr>
              <w:pStyle w:val="760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– Определение цены контракта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  <w:p>
            <w:pPr>
              <w:pStyle w:val="760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  <w:p>
            <w:pPr>
              <w:pStyle w:val="760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</w:tbl>
    <w:p>
      <w:pPr>
        <w:jc w:val="right"/>
        <w:tabs>
          <w:tab w:val="left" w:pos="567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tabs>
          <w:tab w:val="left" w:pos="567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tabs>
          <w:tab w:val="left" w:pos="567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  <w:r>
        <w:rPr>
          <w:b/>
          <w:sz w:val="24"/>
          <w:szCs w:val="24"/>
        </w:rPr>
      </w:r>
    </w:p>
    <w:p>
      <w:pPr>
        <w:jc w:val="center"/>
        <w:tabs>
          <w:tab w:val="left" w:pos="567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tabs>
          <w:tab w:val="left" w:pos="567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851"/>
        <w:gridCol w:w="1134"/>
        <w:gridCol w:w="992"/>
        <w:gridCol w:w="1134"/>
        <w:gridCol w:w="1276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</w:t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</w:t>
            </w:r>
            <w:r>
              <w:rPr>
                <w:b/>
                <w:lang w:eastAsia="en-US"/>
              </w:rPr>
              <w:t xml:space="preserve">/</w:t>
            </w:r>
            <w:r>
              <w:rPr>
                <w:b/>
                <w:lang w:eastAsia="en-US"/>
              </w:rPr>
              <w:t xml:space="preserve">п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товара (работ, услуг)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Код ОКПД2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Код</w:t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КТРУ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Ед.</w:t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Изм.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Кол-во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Цена за единицу, руб.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Стоимость, руб.</w:t>
            </w:r>
            <w:r>
              <w:rPr>
                <w:b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lang w:eastAsia="ar-SA"/>
              </w:rPr>
              <w:t xml:space="preserve">Проведение испытания </w:t>
            </w:r>
            <w:r>
              <w:rPr>
                <w:lang w:eastAsia="ar-SA"/>
              </w:rPr>
              <w:t xml:space="preserve">пожарного крана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val="en-US" w:eastAsia="en-US"/>
              </w:rPr>
              <w:t xml:space="preserve">71</w:t>
            </w:r>
            <w:r>
              <w:rPr>
                <w:lang w:eastAsia="en-US"/>
              </w:rPr>
              <w:t xml:space="preserve">.20.19.190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-</w:t>
            </w:r>
            <w:r>
              <w:rPr>
                <w:b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t xml:space="preserve">единица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eastAsia="ar-SA"/>
              </w:rPr>
              <w:t xml:space="preserve">1 </w:t>
            </w:r>
            <w:r>
              <w:rPr>
                <w:lang w:eastAsia="ar-SA"/>
              </w:rPr>
              <w:t xml:space="preserve">8</w:t>
            </w:r>
            <w:r>
              <w:rPr>
                <w:lang w:eastAsia="ar-SA"/>
              </w:rPr>
              <w:t xml:space="preserve">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eastAsia="ar-SA"/>
              </w:rPr>
              <w:t xml:space="preserve">3 </w:t>
            </w:r>
            <w:r>
              <w:rPr>
                <w:lang w:eastAsia="ar-SA"/>
              </w:rPr>
              <w:t xml:space="preserve">6</w:t>
            </w:r>
            <w:r>
              <w:rPr>
                <w:lang w:eastAsia="ar-SA"/>
              </w:rPr>
              <w:t xml:space="preserve">00</w:t>
            </w:r>
            <w:r>
              <w:rPr>
                <w:lang w:eastAsia="ar-SA"/>
              </w:rPr>
              <w:t xml:space="preserve">,00</w:t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lang w:eastAsia="ar-SA"/>
              </w:rPr>
              <w:t xml:space="preserve">Перекатка пожарного рукава на новое ребро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71</w:t>
            </w:r>
            <w:r>
              <w:rPr>
                <w:lang w:eastAsia="en-US"/>
              </w:rPr>
              <w:t xml:space="preserve">.20.19.190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t xml:space="preserve">единица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eastAsia="ar-SA"/>
              </w:rPr>
              <w:t xml:space="preserve">3</w:t>
            </w:r>
            <w:r>
              <w:rPr>
                <w:lang w:val="en-US" w:eastAsia="ar-SA"/>
              </w:rPr>
              <w:t xml:space="preserve">6</w:t>
            </w:r>
            <w:r>
              <w:rPr>
                <w:lang w:eastAsia="ar-SA"/>
              </w:rPr>
              <w:t xml:space="preserve">0</w:t>
            </w:r>
            <w:r>
              <w:rPr>
                <w:lang w:eastAsia="ar-SA"/>
              </w:rPr>
              <w:t xml:space="preserve">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eastAsia="ar-SA"/>
              </w:rPr>
              <w:t xml:space="preserve">3</w:t>
            </w:r>
            <w:r>
              <w:rPr>
                <w:lang w:val="en-US" w:eastAsia="ar-SA"/>
              </w:rPr>
              <w:t xml:space="preserve">6</w:t>
            </w:r>
            <w:r>
              <w:rPr>
                <w:lang w:eastAsia="ar-SA"/>
              </w:rPr>
              <w:t xml:space="preserve">0</w:t>
            </w:r>
            <w:r>
              <w:rPr>
                <w:lang w:eastAsia="ar-SA"/>
              </w:rPr>
              <w:t xml:space="preserve">,00</w:t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lang w:eastAsia="ar-SA"/>
              </w:rPr>
              <w:t xml:space="preserve">Измерение расхода воды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val="en-US" w:eastAsia="en-US"/>
              </w:rPr>
              <w:t xml:space="preserve">71</w:t>
            </w:r>
            <w:r>
              <w:rPr>
                <w:lang w:eastAsia="en-US"/>
              </w:rPr>
              <w:t xml:space="preserve">.20.19.190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 xml:space="preserve">-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t xml:space="preserve">единица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eastAsia="ar-SA"/>
              </w:rPr>
              <w:t xml:space="preserve">540</w:t>
            </w:r>
            <w:r>
              <w:rPr>
                <w:lang w:eastAsia="ar-SA"/>
              </w:rPr>
              <w:t xml:space="preserve">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lang w:val="en-US" w:eastAsia="ar-SA"/>
              </w:rPr>
              <w:t xml:space="preserve">1 080</w:t>
            </w:r>
            <w:r>
              <w:rPr>
                <w:lang w:eastAsia="ar-SA"/>
              </w:rPr>
              <w:t xml:space="preserve">,00</w:t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spacing w:line="276" w:lineRule="auto"/>
              <w:tabs>
                <w:tab w:val="left" w:pos="5670" w:leader="none"/>
              </w:tabs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ИТОГО: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670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5 040</w:t>
            </w:r>
            <w:r>
              <w:rPr>
                <w:b/>
                <w:lang w:eastAsia="en-US"/>
              </w:rPr>
              <w:t xml:space="preserve">,00</w:t>
            </w:r>
            <w:r>
              <w:rPr>
                <w:b/>
                <w:lang w:eastAsia="en-US"/>
              </w:rPr>
            </w:r>
          </w:p>
        </w:tc>
      </w:tr>
    </w:tbl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Старший государственный 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таможенный инспектор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М.А. Ошуркова </w:t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4813782"/>
      <w:docPartObj>
        <w:docPartGallery w:val="Page Numbers (Top of Page)"/>
        <w:docPartUnique w:val="true"/>
      </w:docPartObj>
      <w:rPr/>
    </w:sdtPr>
    <w:sdtContent>
      <w:p>
        <w:pPr>
          <w:pStyle w:val="745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  \* MERGEFORMAT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8</w:t>
        </w:r>
        <w:r>
          <w:rPr>
            <w:sz w:val="24"/>
          </w:rPr>
          <w:fldChar w:fldCharType="end"/>
        </w:r>
        <w:r>
          <w:rPr>
            <w:sz w:val="24"/>
          </w:rPr>
        </w:r>
      </w:p>
    </w:sdtContent>
  </w:sdt>
  <w:p>
    <w:pPr>
      <w:pStyle w:val="74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9"/>
      <w:numFmt w:val="decimal"/>
      <w:isLgl w:val="false"/>
      <w:suff w:val="tab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90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0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9" w:hanging="1200"/>
        <w:tabs>
          <w:tab w:val="num" w:pos="1909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3.1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134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3">
    <w:abstractNumId w:val="14"/>
  </w:num>
  <w:num w:numId="4">
    <w:abstractNumId w:val="8"/>
  </w:num>
  <w:num w:numId="5">
    <w:abstractNumId w:val="21"/>
  </w:num>
  <w:num w:numId="6">
    <w:abstractNumId w:val="2"/>
  </w:num>
  <w:num w:numId="7">
    <w:abstractNumId w:val="6"/>
  </w:num>
  <w:num w:numId="8">
    <w:abstractNumId w:val="16"/>
  </w:num>
  <w:num w:numId="9">
    <w:abstractNumId w:val="18"/>
  </w:num>
  <w:num w:numId="10">
    <w:abstractNumId w:val="23"/>
  </w:num>
  <w:num w:numId="11">
    <w:abstractNumId w:val="11"/>
  </w:num>
  <w:num w:numId="12">
    <w:abstractNumId w:val="3"/>
  </w:num>
  <w:num w:numId="13">
    <w:abstractNumId w:val="20"/>
  </w:num>
  <w:num w:numId="14">
    <w:abstractNumId w:val="9"/>
  </w:num>
  <w:num w:numId="15">
    <w:abstractNumId w:val="19"/>
  </w:num>
  <w:num w:numId="16">
    <w:abstractNumId w:val="4"/>
  </w:num>
  <w:num w:numId="17">
    <w:abstractNumId w:val="5"/>
  </w:num>
  <w:num w:numId="18">
    <w:abstractNumId w:val="10"/>
  </w:num>
  <w:num w:numId="19">
    <w:abstractNumId w:val="12"/>
  </w:num>
  <w:num w:numId="20">
    <w:abstractNumId w:val="22"/>
  </w:num>
  <w:num w:numId="21">
    <w:abstractNumId w:val="17"/>
  </w:num>
  <w:num w:numId="22">
    <w:abstractNumId w:val="1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32"/>
    <w:link w:val="72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32"/>
    <w:link w:val="728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32"/>
    <w:link w:val="7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32"/>
    <w:link w:val="73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26"/>
    <w:next w:val="726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3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26"/>
    <w:next w:val="726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3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26"/>
    <w:next w:val="726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3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32"/>
    <w:link w:val="73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26"/>
    <w:next w:val="726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3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732"/>
    <w:link w:val="756"/>
    <w:uiPriority w:val="10"/>
    <w:rPr>
      <w:sz w:val="48"/>
      <w:szCs w:val="48"/>
    </w:rPr>
  </w:style>
  <w:style w:type="paragraph" w:styleId="37">
    <w:name w:val="Subtitle"/>
    <w:basedOn w:val="726"/>
    <w:next w:val="726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32"/>
    <w:link w:val="37"/>
    <w:uiPriority w:val="11"/>
    <w:rPr>
      <w:sz w:val="24"/>
      <w:szCs w:val="24"/>
    </w:rPr>
  </w:style>
  <w:style w:type="paragraph" w:styleId="39">
    <w:name w:val="Quote"/>
    <w:basedOn w:val="726"/>
    <w:next w:val="726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26"/>
    <w:next w:val="726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32"/>
    <w:link w:val="745"/>
    <w:uiPriority w:val="99"/>
  </w:style>
  <w:style w:type="character" w:styleId="46">
    <w:name w:val="Footer Char"/>
    <w:basedOn w:val="732"/>
    <w:link w:val="765"/>
    <w:uiPriority w:val="99"/>
  </w:style>
  <w:style w:type="paragraph" w:styleId="47">
    <w:name w:val="Caption"/>
    <w:basedOn w:val="726"/>
    <w:next w:val="72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32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2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32"/>
    <w:uiPriority w:val="99"/>
    <w:unhideWhenUsed/>
    <w:rPr>
      <w:vertAlign w:val="superscript"/>
    </w:rPr>
  </w:style>
  <w:style w:type="paragraph" w:styleId="179">
    <w:name w:val="endnote text"/>
    <w:basedOn w:val="72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32"/>
    <w:uiPriority w:val="99"/>
    <w:semiHidden/>
    <w:unhideWhenUsed/>
    <w:rPr>
      <w:vertAlign w:val="superscript"/>
    </w:rPr>
  </w:style>
  <w:style w:type="paragraph" w:styleId="182">
    <w:name w:val="toc 1"/>
    <w:basedOn w:val="726"/>
    <w:next w:val="72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26"/>
    <w:next w:val="726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26"/>
    <w:next w:val="726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26"/>
    <w:next w:val="72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26"/>
    <w:next w:val="72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26"/>
    <w:next w:val="72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26"/>
    <w:next w:val="72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26"/>
    <w:next w:val="72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26"/>
    <w:next w:val="72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26"/>
    <w:next w:val="726"/>
    <w:uiPriority w:val="99"/>
    <w:unhideWhenUsed/>
    <w:pPr>
      <w:spacing w:after="0" w:afterAutospacing="0"/>
    </w:pPr>
  </w:style>
  <w:style w:type="paragraph" w:styleId="726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27">
    <w:name w:val="Heading 1"/>
    <w:basedOn w:val="726"/>
    <w:next w:val="726"/>
    <w:link w:val="735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728">
    <w:name w:val="Heading 2"/>
    <w:basedOn w:val="726"/>
    <w:next w:val="726"/>
    <w:link w:val="736"/>
    <w:qFormat/>
    <w:pPr>
      <w:keepNext/>
      <w:shd w:val="clear" w:color="auto" w:fill="ffffff"/>
      <w:outlineLvl w:val="1"/>
    </w:pPr>
    <w:rPr>
      <w:color w:val="000000"/>
      <w:sz w:val="28"/>
    </w:rPr>
  </w:style>
  <w:style w:type="paragraph" w:styleId="729">
    <w:name w:val="Heading 3"/>
    <w:basedOn w:val="726"/>
    <w:next w:val="726"/>
    <w:link w:val="737"/>
    <w:qFormat/>
    <w:pPr>
      <w:jc w:val="center"/>
      <w:keepNext/>
      <w:outlineLvl w:val="2"/>
    </w:pPr>
    <w:rPr>
      <w:b/>
      <w:bCs/>
      <w:sz w:val="28"/>
    </w:rPr>
  </w:style>
  <w:style w:type="paragraph" w:styleId="730">
    <w:name w:val="Heading 4"/>
    <w:basedOn w:val="726"/>
    <w:next w:val="726"/>
    <w:link w:val="738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31">
    <w:name w:val="Heading 8"/>
    <w:basedOn w:val="726"/>
    <w:next w:val="726"/>
    <w:link w:val="739"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732" w:default="1">
    <w:name w:val="Default Paragraph Font"/>
    <w:uiPriority w:val="1"/>
    <w:semiHidden/>
    <w:unhideWhenUsed/>
  </w:style>
  <w:style w:type="table" w:styleId="7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4" w:default="1">
    <w:name w:val="No List"/>
    <w:uiPriority w:val="99"/>
    <w:semiHidden/>
    <w:unhideWhenUsed/>
  </w:style>
  <w:style w:type="character" w:styleId="735" w:customStyle="1">
    <w:name w:val="Заголовок 1 Знак"/>
    <w:basedOn w:val="732"/>
    <w:link w:val="727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736" w:customStyle="1">
    <w:name w:val="Заголовок 2 Знак"/>
    <w:basedOn w:val="732"/>
    <w:link w:val="728"/>
    <w:rPr>
      <w:rFonts w:ascii="Times New Roman" w:hAnsi="Times New Roman" w:eastAsia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styleId="737" w:customStyle="1">
    <w:name w:val="Заголовок 3 Знак"/>
    <w:basedOn w:val="732"/>
    <w:link w:val="729"/>
    <w:rPr>
      <w:rFonts w:ascii="Times New Roman" w:hAnsi="Times New Roman" w:eastAsia="Times New Roman" w:cs="Times New Roman"/>
      <w:b/>
      <w:bCs/>
      <w:sz w:val="28"/>
      <w:szCs w:val="20"/>
      <w:lang w:eastAsia="ru-RU"/>
    </w:rPr>
  </w:style>
  <w:style w:type="character" w:styleId="738" w:customStyle="1">
    <w:name w:val="Заголовок 4 Знак"/>
    <w:basedOn w:val="732"/>
    <w:link w:val="73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739" w:customStyle="1">
    <w:name w:val="Заголовок 8 Знак"/>
    <w:basedOn w:val="732"/>
    <w:link w:val="731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740">
    <w:name w:val="Body Text Indent 2"/>
    <w:basedOn w:val="726"/>
    <w:link w:val="741"/>
    <w:pPr>
      <w:ind w:firstLine="720"/>
      <w:jc w:val="both"/>
    </w:pPr>
    <w:rPr>
      <w:sz w:val="28"/>
    </w:rPr>
  </w:style>
  <w:style w:type="character" w:styleId="741" w:customStyle="1">
    <w:name w:val="Основной текст с отступом 2 Знак"/>
    <w:basedOn w:val="732"/>
    <w:link w:val="74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742">
    <w:name w:val="Body Text 3"/>
    <w:basedOn w:val="726"/>
    <w:link w:val="743"/>
    <w:pPr>
      <w:jc w:val="center"/>
    </w:pPr>
    <w:rPr>
      <w:b/>
      <w:bCs/>
      <w:color w:val="000000"/>
      <w:sz w:val="28"/>
    </w:rPr>
  </w:style>
  <w:style w:type="character" w:styleId="743" w:customStyle="1">
    <w:name w:val="Основной текст 3 Знак"/>
    <w:basedOn w:val="732"/>
    <w:link w:val="742"/>
    <w:rPr>
      <w:rFonts w:ascii="Times New Roman" w:hAnsi="Times New Roman" w:eastAsia="Times New Roman" w:cs="Times New Roman"/>
      <w:b/>
      <w:bCs/>
      <w:color w:val="000000"/>
      <w:sz w:val="28"/>
      <w:szCs w:val="20"/>
      <w:lang w:eastAsia="ru-RU"/>
    </w:rPr>
  </w:style>
  <w:style w:type="paragraph" w:styleId="744">
    <w:name w:val="Block Text"/>
    <w:basedOn w:val="726"/>
    <w:pPr>
      <w:ind w:left="1757" w:right="1094" w:hanging="240"/>
      <w:spacing w:before="667" w:line="221" w:lineRule="exact"/>
      <w:shd w:val="clear" w:color="auto" w:fill="ffffff"/>
    </w:pPr>
    <w:rPr>
      <w:b/>
      <w:bCs/>
      <w:color w:val="000000"/>
      <w:spacing w:val="1"/>
    </w:rPr>
  </w:style>
  <w:style w:type="paragraph" w:styleId="745">
    <w:name w:val="Header"/>
    <w:basedOn w:val="726"/>
    <w:link w:val="746"/>
    <w:uiPriority w:val="99"/>
    <w:pPr>
      <w:tabs>
        <w:tab w:val="center" w:pos="4677" w:leader="none"/>
        <w:tab w:val="right" w:pos="9355" w:leader="none"/>
      </w:tabs>
    </w:pPr>
  </w:style>
  <w:style w:type="character" w:styleId="746" w:customStyle="1">
    <w:name w:val="Верхний колонтитул Знак"/>
    <w:basedOn w:val="732"/>
    <w:link w:val="74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47">
    <w:name w:val="page number"/>
    <w:basedOn w:val="732"/>
  </w:style>
  <w:style w:type="paragraph" w:styleId="748">
    <w:name w:val="Body Text"/>
    <w:basedOn w:val="726"/>
    <w:link w:val="749"/>
    <w:rPr>
      <w:sz w:val="28"/>
    </w:rPr>
  </w:style>
  <w:style w:type="character" w:styleId="749" w:customStyle="1">
    <w:name w:val="Основной текст Знак"/>
    <w:basedOn w:val="732"/>
    <w:link w:val="74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750">
    <w:name w:val="Body Text Indent"/>
    <w:basedOn w:val="726"/>
    <w:link w:val="751"/>
    <w:pPr>
      <w:ind w:left="283"/>
      <w:spacing w:after="120"/>
    </w:pPr>
  </w:style>
  <w:style w:type="character" w:styleId="751" w:customStyle="1">
    <w:name w:val="Основной текст с отступом Знак"/>
    <w:basedOn w:val="732"/>
    <w:link w:val="75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52">
    <w:name w:val="Body Text 2"/>
    <w:basedOn w:val="726"/>
    <w:link w:val="753"/>
    <w:pPr>
      <w:spacing w:after="120" w:line="480" w:lineRule="auto"/>
    </w:pPr>
  </w:style>
  <w:style w:type="character" w:styleId="753" w:customStyle="1">
    <w:name w:val="Основной текст 2 Знак"/>
    <w:basedOn w:val="732"/>
    <w:link w:val="75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54" w:customStyle="1">
    <w:name w:val="Цветовое выделение"/>
    <w:rPr>
      <w:b/>
      <w:bCs/>
      <w:color w:val="000080"/>
      <w:sz w:val="20"/>
      <w:szCs w:val="20"/>
    </w:rPr>
  </w:style>
  <w:style w:type="paragraph" w:styleId="755" w:customStyle="1">
    <w:name w:val="Комментарий"/>
    <w:basedOn w:val="726"/>
    <w:next w:val="726"/>
    <w:pPr>
      <w:ind w:left="170"/>
      <w:jc w:val="both"/>
    </w:pPr>
    <w:rPr>
      <w:rFonts w:ascii="Arial" w:hAnsi="Arial" w:cs="Arial"/>
      <w:i/>
      <w:iCs/>
      <w:color w:val="800080"/>
    </w:rPr>
  </w:style>
  <w:style w:type="paragraph" w:styleId="756">
    <w:name w:val="Title"/>
    <w:basedOn w:val="726"/>
    <w:link w:val="757"/>
    <w:qFormat/>
    <w:pPr>
      <w:jc w:val="center"/>
      <w:widowControl/>
    </w:pPr>
    <w:rPr>
      <w:b/>
      <w:sz w:val="28"/>
      <w:szCs w:val="24"/>
    </w:rPr>
  </w:style>
  <w:style w:type="character" w:styleId="757" w:customStyle="1">
    <w:name w:val="Заголовок Знак"/>
    <w:basedOn w:val="732"/>
    <w:link w:val="756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styleId="758" w:customStyle="1">
    <w:name w:val="ConsPlusNonformat"/>
    <w:link w:val="759"/>
    <w:pPr>
      <w:spacing w:after="0" w:line="240" w:lineRule="auto"/>
      <w:widowControl w:val="off"/>
    </w:pPr>
    <w:rPr>
      <w:rFonts w:ascii="Courier New" w:hAnsi="Courier New" w:eastAsia="Times New Roman" w:cs="Courier New"/>
      <w:sz w:val="16"/>
      <w:szCs w:val="16"/>
      <w:lang w:eastAsia="ru-RU"/>
    </w:rPr>
  </w:style>
  <w:style w:type="character" w:styleId="759" w:customStyle="1">
    <w:name w:val="ConsPlusNonformat Знак"/>
    <w:link w:val="758"/>
    <w:rPr>
      <w:rFonts w:ascii="Courier New" w:hAnsi="Courier New" w:eastAsia="Times New Roman" w:cs="Courier New"/>
      <w:sz w:val="16"/>
      <w:szCs w:val="16"/>
      <w:lang w:eastAsia="ru-RU"/>
    </w:rPr>
  </w:style>
  <w:style w:type="paragraph" w:styleId="760" w:customStyle="1">
    <w:name w:val="ConsPlusNormal"/>
    <w:link w:val="788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16"/>
      <w:szCs w:val="16"/>
      <w:lang w:eastAsia="ru-RU"/>
    </w:rPr>
  </w:style>
  <w:style w:type="paragraph" w:styleId="761" w:customStyle="1">
    <w:name w:val="Обычный1"/>
    <w:pPr>
      <w:ind w:firstLine="660"/>
      <w:jc w:val="both"/>
      <w:spacing w:after="0" w:line="28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62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4"/>
      <w:szCs w:val="14"/>
      <w:lang w:eastAsia="ru-RU"/>
    </w:rPr>
  </w:style>
  <w:style w:type="paragraph" w:styleId="763">
    <w:name w:val="Body Text Indent 3"/>
    <w:basedOn w:val="726"/>
    <w:link w:val="764"/>
    <w:pPr>
      <w:ind w:left="283" w:firstLine="720"/>
      <w:jc w:val="both"/>
      <w:spacing w:after="120"/>
    </w:pPr>
    <w:rPr>
      <w:rFonts w:ascii="Arial" w:hAnsi="Arial" w:cs="Arial"/>
      <w:sz w:val="16"/>
      <w:szCs w:val="16"/>
    </w:rPr>
  </w:style>
  <w:style w:type="character" w:styleId="764" w:customStyle="1">
    <w:name w:val="Основной текст с отступом 3 Знак"/>
    <w:basedOn w:val="732"/>
    <w:link w:val="763"/>
    <w:rPr>
      <w:rFonts w:ascii="Arial" w:hAnsi="Arial" w:eastAsia="Times New Roman" w:cs="Arial"/>
      <w:sz w:val="16"/>
      <w:szCs w:val="16"/>
      <w:lang w:eastAsia="ru-RU"/>
    </w:rPr>
  </w:style>
  <w:style w:type="paragraph" w:styleId="765">
    <w:name w:val="Footer"/>
    <w:basedOn w:val="726"/>
    <w:link w:val="766"/>
    <w:uiPriority w:val="99"/>
    <w:pPr>
      <w:tabs>
        <w:tab w:val="center" w:pos="4677" w:leader="none"/>
        <w:tab w:val="right" w:pos="9355" w:leader="none"/>
      </w:tabs>
    </w:pPr>
  </w:style>
  <w:style w:type="character" w:styleId="766" w:customStyle="1">
    <w:name w:val="Нижний колонтитул Знак"/>
    <w:basedOn w:val="732"/>
    <w:link w:val="76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67">
    <w:name w:val="Hyperlink"/>
    <w:rPr>
      <w:color w:val="0000ff"/>
      <w:u w:val="single"/>
    </w:rPr>
  </w:style>
  <w:style w:type="paragraph" w:styleId="768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769" w:customStyle="1">
    <w:name w:val="Знак2"/>
    <w:basedOn w:val="745"/>
    <w:pPr>
      <w:ind w:right="40" w:firstLine="720"/>
      <w:jc w:val="both"/>
      <w:widowControl/>
      <w:tabs>
        <w:tab w:val="clear" w:pos="4677" w:leader="none"/>
        <w:tab w:val="clear" w:pos="9355" w:leader="none"/>
      </w:tabs>
    </w:pPr>
    <w:rPr>
      <w:rFonts w:eastAsia="Symbol"/>
      <w:sz w:val="28"/>
    </w:rPr>
  </w:style>
  <w:style w:type="paragraph" w:styleId="770">
    <w:name w:val="HTML Preformatted"/>
    <w:basedOn w:val="726"/>
    <w:link w:val="771"/>
    <w:unhideWhenUsed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771" w:customStyle="1">
    <w:name w:val="Стандартный HTML Знак"/>
    <w:basedOn w:val="732"/>
    <w:link w:val="770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772" w:customStyle="1">
    <w:name w:val="PTU Обычный"/>
    <w:basedOn w:val="726"/>
    <w:link w:val="773"/>
    <w:pPr>
      <w:widowControl/>
    </w:pPr>
    <w:rPr>
      <w:sz w:val="28"/>
      <w:szCs w:val="24"/>
    </w:rPr>
  </w:style>
  <w:style w:type="character" w:styleId="773" w:customStyle="1">
    <w:name w:val="PTU Обычный Знак"/>
    <w:link w:val="77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774" w:customStyle="1">
    <w:name w:val="Гипертекстовая ссылка"/>
    <w:uiPriority w:val="99"/>
    <w:rPr>
      <w:b/>
      <w:bCs/>
      <w:color w:val="106bbe"/>
      <w:sz w:val="20"/>
      <w:szCs w:val="20"/>
    </w:rPr>
  </w:style>
  <w:style w:type="character" w:styleId="775" w:customStyle="1">
    <w:name w:val="Основной текст_"/>
    <w:link w:val="776"/>
    <w:rPr>
      <w:sz w:val="27"/>
      <w:szCs w:val="27"/>
      <w:shd w:val="clear" w:color="auto" w:fill="ffffff"/>
    </w:rPr>
  </w:style>
  <w:style w:type="paragraph" w:styleId="776" w:customStyle="1">
    <w:name w:val="Основной текст3"/>
    <w:basedOn w:val="726"/>
    <w:link w:val="775"/>
    <w:pPr>
      <w:jc w:val="both"/>
      <w:spacing w:before="660" w:line="322" w:lineRule="exact"/>
      <w:shd w:val="clear" w:color="auto" w:fill="ffffff"/>
      <w:widowControl/>
    </w:pPr>
    <w:rPr>
      <w:rFonts w:asciiTheme="minorHAnsi" w:hAnsiTheme="minorHAnsi" w:eastAsiaTheme="minorHAnsi" w:cstheme="minorBidi"/>
      <w:sz w:val="27"/>
      <w:szCs w:val="27"/>
      <w:lang w:eastAsia="en-US"/>
    </w:rPr>
  </w:style>
  <w:style w:type="paragraph" w:styleId="777">
    <w:name w:val="List Paragraph"/>
    <w:basedOn w:val="726"/>
    <w:uiPriority w:val="34"/>
    <w:qFormat/>
    <w:pPr>
      <w:contextualSpacing/>
      <w:ind w:left="720" w:firstLine="709"/>
      <w:jc w:val="both"/>
      <w:spacing w:line="360" w:lineRule="auto"/>
      <w:widowControl/>
    </w:pPr>
    <w:rPr>
      <w:sz w:val="24"/>
      <w:szCs w:val="24"/>
    </w:rPr>
  </w:style>
  <w:style w:type="character" w:styleId="778" w:customStyle="1">
    <w:name w:val="Основной текст + 7 pt;Полужирный"/>
    <w:basedOn w:val="775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  <w:lang w:val="en-US"/>
    </w:rPr>
  </w:style>
  <w:style w:type="paragraph" w:styleId="779" w:customStyle="1">
    <w:name w:val="Основной текст1"/>
    <w:basedOn w:val="726"/>
    <w:pPr>
      <w:ind w:hanging="240"/>
      <w:jc w:val="center"/>
      <w:spacing w:before="120" w:after="780" w:line="0" w:lineRule="atLeast"/>
      <w:shd w:val="clear" w:color="auto" w:fill="ffffff"/>
      <w:widowControl/>
    </w:pPr>
    <w:rPr>
      <w:color w:val="000000"/>
      <w:sz w:val="18"/>
      <w:szCs w:val="18"/>
    </w:rPr>
  </w:style>
  <w:style w:type="paragraph" w:styleId="780">
    <w:name w:val="Balloon Text"/>
    <w:basedOn w:val="726"/>
    <w:link w:val="781"/>
    <w:uiPriority w:val="99"/>
    <w:semiHidden/>
    <w:unhideWhenUsed/>
    <w:rPr>
      <w:rFonts w:ascii="Tahoma" w:hAnsi="Tahoma" w:cs="Tahoma"/>
      <w:sz w:val="16"/>
      <w:szCs w:val="16"/>
    </w:rPr>
  </w:style>
  <w:style w:type="character" w:styleId="781" w:customStyle="1">
    <w:name w:val="Текст выноски Знак"/>
    <w:basedOn w:val="732"/>
    <w:link w:val="78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782" w:customStyle="1">
    <w:name w:val="Основной текст (4)_"/>
    <w:link w:val="783"/>
    <w:rPr>
      <w:rFonts w:ascii="Times New Roman" w:hAnsi="Times New Roman" w:eastAsia="Times New Roman"/>
      <w:sz w:val="27"/>
      <w:szCs w:val="27"/>
      <w:shd w:val="clear" w:color="auto" w:fill="ffffff"/>
    </w:rPr>
  </w:style>
  <w:style w:type="paragraph" w:styleId="783" w:customStyle="1">
    <w:name w:val="Основной текст (4)"/>
    <w:basedOn w:val="726"/>
    <w:link w:val="782"/>
    <w:pPr>
      <w:spacing w:after="300" w:line="322" w:lineRule="exact"/>
      <w:shd w:val="clear" w:color="auto" w:fill="ffffff"/>
      <w:widowControl/>
    </w:pPr>
    <w:rPr>
      <w:rFonts w:cstheme="minorBidi"/>
      <w:sz w:val="27"/>
      <w:szCs w:val="27"/>
      <w:lang w:eastAsia="en-US"/>
    </w:rPr>
  </w:style>
  <w:style w:type="character" w:styleId="784" w:customStyle="1">
    <w:name w:val="Стандартный HTML Знак1"/>
    <w:rPr>
      <w:rFonts w:ascii="Courier New" w:hAnsi="Courier New"/>
    </w:rPr>
  </w:style>
  <w:style w:type="table" w:styleId="785">
    <w:name w:val="Table Grid"/>
    <w:basedOn w:val="7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6">
    <w:name w:val="No Spacing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87" w:customStyle="1">
    <w:name w:val="Основной текст 22"/>
    <w:basedOn w:val="726"/>
    <w:pPr>
      <w:ind w:right="-185"/>
      <w:widowControl/>
    </w:pPr>
    <w:rPr>
      <w:sz w:val="28"/>
      <w:szCs w:val="24"/>
      <w:lang w:eastAsia="ar-SA"/>
    </w:rPr>
  </w:style>
  <w:style w:type="character" w:styleId="788" w:customStyle="1">
    <w:name w:val="ConsPlusNormal Знак"/>
    <w:link w:val="760"/>
    <w:rPr>
      <w:rFonts w:ascii="Arial" w:hAnsi="Arial" w:eastAsia="Times New Roman" w:cs="Arial"/>
      <w:sz w:val="16"/>
      <w:szCs w:val="16"/>
      <w:lang w:eastAsia="ru-RU"/>
    </w:rPr>
  </w:style>
  <w:style w:type="paragraph" w:styleId="789">
    <w:name w:val="Normal (Web)"/>
    <w:basedOn w:val="726"/>
    <w:uiPriority w:val="99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character" w:styleId="790" w:customStyle="1">
    <w:name w:val="Основной текст (2) +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791" w:customStyle="1">
    <w:name w:val="Основной текст (2)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792">
    <w:name w:val="annotation reference"/>
    <w:basedOn w:val="732"/>
    <w:uiPriority w:val="99"/>
    <w:semiHidden/>
    <w:unhideWhenUsed/>
    <w:rPr>
      <w:sz w:val="16"/>
      <w:szCs w:val="16"/>
    </w:rPr>
  </w:style>
  <w:style w:type="paragraph" w:styleId="793">
    <w:name w:val="annotation text"/>
    <w:basedOn w:val="726"/>
    <w:link w:val="794"/>
    <w:uiPriority w:val="99"/>
    <w:semiHidden/>
    <w:unhideWhenUsed/>
  </w:style>
  <w:style w:type="character" w:styleId="794" w:customStyle="1">
    <w:name w:val="Текст примечания Знак"/>
    <w:basedOn w:val="732"/>
    <w:link w:val="793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95">
    <w:name w:val="annotation subject"/>
    <w:basedOn w:val="793"/>
    <w:next w:val="793"/>
    <w:link w:val="796"/>
    <w:uiPriority w:val="99"/>
    <w:semiHidden/>
    <w:unhideWhenUsed/>
    <w:rPr>
      <w:b/>
      <w:bCs/>
    </w:rPr>
  </w:style>
  <w:style w:type="character" w:styleId="796" w:customStyle="1">
    <w:name w:val="Тема примечания Знак"/>
    <w:basedOn w:val="794"/>
    <w:link w:val="795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92AEB-54C3-47F9-AA9B-170A1976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Пермская таможня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khudyakovans</dc:creator>
  <cp:lastModifiedBy>oto_pankratova</cp:lastModifiedBy>
  <cp:revision>5</cp:revision>
  <dcterms:created xsi:type="dcterms:W3CDTF">2026-03-25T09:45:00Z</dcterms:created>
  <dcterms:modified xsi:type="dcterms:W3CDTF">2026-04-06T10:51:10Z</dcterms:modified>
</cp:coreProperties>
</file>