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387"/>
        <w:gridCol w:w="1897"/>
        <w:gridCol w:w="1646"/>
        <w:gridCol w:w="1032"/>
        <w:gridCol w:w="139"/>
        <w:gridCol w:w="903"/>
        <w:gridCol w:w="930"/>
        <w:gridCol w:w="1049"/>
        <w:gridCol w:w="1049"/>
        <w:gridCol w:w="850"/>
        <w:gridCol w:w="559"/>
        <w:gridCol w:w="824"/>
        <w:gridCol w:w="1288"/>
        <w:gridCol w:w="1328"/>
        <w:gridCol w:w="625"/>
        <w:gridCol w:w="1313"/>
      </w:tblGrid>
      <w:tr w:rsidR="006B5587" w:rsidTr="00F63DD3">
        <w:tblPrEx>
          <w:tblCellMar>
            <w:top w:w="0" w:type="dxa"/>
            <w:bottom w:w="0" w:type="dxa"/>
          </w:tblCellMar>
        </w:tblPrEx>
        <w:trPr>
          <w:gridAfter w:val="1"/>
          <w:wAfter w:w="1313" w:type="dxa"/>
          <w:cantSplit/>
          <w:trHeight w:val="235"/>
        </w:trPr>
        <w:tc>
          <w:tcPr>
            <w:tcW w:w="2284" w:type="dxa"/>
            <w:gridSpan w:val="2"/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*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139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903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1328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</w:tr>
      <w:tr w:rsidR="006B5587" w:rsidTr="00F63DD3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15819" w:type="dxa"/>
            <w:gridSpan w:val="16"/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Определение начальной максимальной цены контракта</w:t>
            </w:r>
          </w:p>
        </w:tc>
      </w:tr>
      <w:tr w:rsidR="006B5587" w:rsidTr="00F63DD3">
        <w:tblPrEx>
          <w:tblCellMar>
            <w:top w:w="0" w:type="dxa"/>
            <w:bottom w:w="0" w:type="dxa"/>
          </w:tblCellMar>
        </w:tblPrEx>
        <w:trPr>
          <w:gridAfter w:val="1"/>
          <w:wAfter w:w="1313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139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903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1328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</w:tr>
      <w:tr w:rsidR="006B5587" w:rsidTr="00F63D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16"/>
            <w:shd w:val="clear" w:color="auto" w:fill="auto"/>
            <w:vAlign w:val="center"/>
          </w:tcPr>
          <w:p w:rsidR="006B5587" w:rsidRDefault="00F63DD3">
            <w:pPr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Начальная (максимальная) цена контракта (далее - НМЦК) определена в соответствии с Приказом Министерства здравоохранения РФ от 19 декабря 2019 г. №1064н "Об утверждении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порядка определения начальной (максимальной) цены контракта, цены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контракта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</w:t>
            </w:r>
            <w:r>
              <w:rPr>
                <w:rFonts w:ascii="Times New Roman" w:hAnsi="Times New Roman"/>
                <w:sz w:val="21"/>
                <w:szCs w:val="21"/>
              </w:rPr>
              <w:t>го применения</w:t>
            </w:r>
          </w:p>
        </w:tc>
      </w:tr>
      <w:tr w:rsidR="006B5587" w:rsidTr="00F63DD3">
        <w:tblPrEx>
          <w:tblCellMar>
            <w:top w:w="0" w:type="dxa"/>
            <w:bottom w:w="0" w:type="dxa"/>
          </w:tblCellMar>
        </w:tblPrEx>
        <w:trPr>
          <w:gridAfter w:val="1"/>
          <w:wAfter w:w="1313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139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903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1049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824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1328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6B5587" w:rsidRDefault="006B5587">
            <w:pPr>
              <w:jc w:val="center"/>
            </w:pPr>
          </w:p>
        </w:tc>
      </w:tr>
      <w:tr w:rsidR="006B5587" w:rsidTr="00F63D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№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Международное непатентованное наименование или химическое,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группировочное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наименование ЛП</w:t>
            </w:r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Лекарственная форма, дозировка по ЕСКЛП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ОКПД2</w:t>
            </w:r>
          </w:p>
        </w:tc>
        <w:tc>
          <w:tcPr>
            <w:tcW w:w="104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Ед. изм. (ЕИ) по ЕСКЛП</w:t>
            </w:r>
          </w:p>
        </w:tc>
        <w:tc>
          <w:tcPr>
            <w:tcW w:w="9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за ЕИ ЛП по анализу рынка, без учета НДС и ОН, руб.</w:t>
            </w:r>
          </w:p>
        </w:tc>
        <w:tc>
          <w:tcPr>
            <w:tcW w:w="10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ЕИ ЛП по данным ГРЛС, без учета НДС и ОН, руб.</w:t>
            </w:r>
          </w:p>
        </w:tc>
        <w:tc>
          <w:tcPr>
            <w:tcW w:w="10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Средневзвешенная цена ЕИ ЛП по исполненным Договорам за 12 месяцев, предшествующих месяцу расчета, без учета НДС и ОН, руб.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Референт-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ная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цена ЕИ ЛП, руб.</w:t>
            </w:r>
          </w:p>
        </w:tc>
        <w:tc>
          <w:tcPr>
            <w:tcW w:w="5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НДС, %</w:t>
            </w:r>
          </w:p>
        </w:tc>
        <w:tc>
          <w:tcPr>
            <w:tcW w:w="8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Опт. </w:t>
            </w:r>
            <w:proofErr w:type="spellStart"/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надб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.,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 xml:space="preserve"> %</w:t>
            </w:r>
          </w:p>
        </w:tc>
        <w:tc>
          <w:tcPr>
            <w:tcW w:w="12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значение цены ЕИ ЛП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с учетом НДС и опт. надбавки, руб.</w:t>
            </w:r>
          </w:p>
        </w:tc>
        <w:tc>
          <w:tcPr>
            <w:tcW w:w="13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Объем закупки в ЕИ ЛП</w:t>
            </w:r>
          </w:p>
        </w:tc>
        <w:tc>
          <w:tcPr>
            <w:tcW w:w="193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НМЦК, руб.</w:t>
            </w:r>
          </w:p>
        </w:tc>
      </w:tr>
      <w:tr w:rsidR="006B5587" w:rsidTr="00F63DD3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Фоскарнет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натрий</w:t>
            </w:r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Раствор для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инфузий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24мг/мл</w:t>
            </w:r>
          </w:p>
        </w:tc>
        <w:tc>
          <w:tcPr>
            <w:tcW w:w="103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21.20.10.194</w:t>
            </w:r>
          </w:p>
        </w:tc>
        <w:tc>
          <w:tcPr>
            <w:tcW w:w="104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114,29</w:t>
            </w:r>
          </w:p>
        </w:tc>
        <w:tc>
          <w:tcPr>
            <w:tcW w:w="10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104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</w:t>
            </w:r>
          </w:p>
        </w:tc>
        <w:tc>
          <w:tcPr>
            <w:tcW w:w="82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0</w:t>
            </w:r>
          </w:p>
        </w:tc>
        <w:tc>
          <w:tcPr>
            <w:tcW w:w="128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120,00</w:t>
            </w:r>
          </w:p>
        </w:tc>
        <w:tc>
          <w:tcPr>
            <w:tcW w:w="13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7 000</w:t>
            </w:r>
          </w:p>
        </w:tc>
        <w:tc>
          <w:tcPr>
            <w:tcW w:w="193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840 000,00</w:t>
            </w:r>
          </w:p>
        </w:tc>
      </w:tr>
      <w:tr w:rsidR="006B5587" w:rsidTr="00F63D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81" w:type="dxa"/>
            <w:gridSpan w:val="1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ИТОГО:</w:t>
            </w:r>
          </w:p>
        </w:tc>
        <w:tc>
          <w:tcPr>
            <w:tcW w:w="193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B5587" w:rsidRDefault="00F63DD3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840 000,00</w:t>
            </w:r>
          </w:p>
        </w:tc>
      </w:tr>
      <w:tr w:rsidR="006B5587" w:rsidTr="00F63DD3">
        <w:tblPrEx>
          <w:tblCellMar>
            <w:top w:w="0" w:type="dxa"/>
            <w:bottom w:w="0" w:type="dxa"/>
          </w:tblCellMar>
        </w:tblPrEx>
        <w:trPr>
          <w:gridAfter w:val="1"/>
          <w:wAfter w:w="1313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6B5587" w:rsidRDefault="006B5587"/>
        </w:tc>
        <w:tc>
          <w:tcPr>
            <w:tcW w:w="1897" w:type="dxa"/>
            <w:shd w:val="clear" w:color="auto" w:fill="auto"/>
            <w:vAlign w:val="bottom"/>
          </w:tcPr>
          <w:p w:rsidR="006B5587" w:rsidRDefault="006B5587"/>
        </w:tc>
        <w:tc>
          <w:tcPr>
            <w:tcW w:w="1646" w:type="dxa"/>
            <w:shd w:val="clear" w:color="auto" w:fill="auto"/>
            <w:vAlign w:val="bottom"/>
          </w:tcPr>
          <w:p w:rsidR="006B5587" w:rsidRDefault="006B5587"/>
        </w:tc>
        <w:tc>
          <w:tcPr>
            <w:tcW w:w="1032" w:type="dxa"/>
            <w:shd w:val="clear" w:color="auto" w:fill="auto"/>
            <w:vAlign w:val="bottom"/>
          </w:tcPr>
          <w:p w:rsidR="006B5587" w:rsidRDefault="006B5587"/>
        </w:tc>
        <w:tc>
          <w:tcPr>
            <w:tcW w:w="139" w:type="dxa"/>
            <w:shd w:val="clear" w:color="auto" w:fill="auto"/>
            <w:vAlign w:val="bottom"/>
          </w:tcPr>
          <w:p w:rsidR="006B5587" w:rsidRDefault="006B5587"/>
        </w:tc>
        <w:tc>
          <w:tcPr>
            <w:tcW w:w="903" w:type="dxa"/>
            <w:shd w:val="clear" w:color="auto" w:fill="auto"/>
            <w:vAlign w:val="bottom"/>
          </w:tcPr>
          <w:p w:rsidR="006B5587" w:rsidRDefault="006B5587"/>
        </w:tc>
        <w:tc>
          <w:tcPr>
            <w:tcW w:w="930" w:type="dxa"/>
            <w:shd w:val="clear" w:color="auto" w:fill="auto"/>
            <w:vAlign w:val="bottom"/>
          </w:tcPr>
          <w:p w:rsidR="006B5587" w:rsidRDefault="006B5587"/>
        </w:tc>
        <w:tc>
          <w:tcPr>
            <w:tcW w:w="1049" w:type="dxa"/>
            <w:shd w:val="clear" w:color="auto" w:fill="auto"/>
            <w:vAlign w:val="bottom"/>
          </w:tcPr>
          <w:p w:rsidR="006B5587" w:rsidRDefault="006B5587"/>
        </w:tc>
        <w:tc>
          <w:tcPr>
            <w:tcW w:w="1049" w:type="dxa"/>
            <w:shd w:val="clear" w:color="auto" w:fill="auto"/>
            <w:vAlign w:val="bottom"/>
          </w:tcPr>
          <w:p w:rsidR="006B5587" w:rsidRDefault="006B5587"/>
        </w:tc>
        <w:tc>
          <w:tcPr>
            <w:tcW w:w="850" w:type="dxa"/>
            <w:shd w:val="clear" w:color="auto" w:fill="auto"/>
            <w:vAlign w:val="bottom"/>
          </w:tcPr>
          <w:p w:rsidR="006B5587" w:rsidRDefault="006B5587"/>
        </w:tc>
        <w:tc>
          <w:tcPr>
            <w:tcW w:w="559" w:type="dxa"/>
            <w:shd w:val="clear" w:color="auto" w:fill="auto"/>
            <w:vAlign w:val="bottom"/>
          </w:tcPr>
          <w:p w:rsidR="006B5587" w:rsidRDefault="006B5587"/>
        </w:tc>
        <w:tc>
          <w:tcPr>
            <w:tcW w:w="824" w:type="dxa"/>
            <w:shd w:val="clear" w:color="auto" w:fill="auto"/>
            <w:vAlign w:val="bottom"/>
          </w:tcPr>
          <w:p w:rsidR="006B5587" w:rsidRDefault="006B5587"/>
        </w:tc>
        <w:tc>
          <w:tcPr>
            <w:tcW w:w="1288" w:type="dxa"/>
            <w:shd w:val="clear" w:color="auto" w:fill="auto"/>
            <w:vAlign w:val="bottom"/>
          </w:tcPr>
          <w:p w:rsidR="006B5587" w:rsidRDefault="006B5587"/>
        </w:tc>
        <w:tc>
          <w:tcPr>
            <w:tcW w:w="1328" w:type="dxa"/>
            <w:shd w:val="clear" w:color="auto" w:fill="auto"/>
            <w:vAlign w:val="bottom"/>
          </w:tcPr>
          <w:p w:rsidR="006B5587" w:rsidRDefault="006B5587"/>
        </w:tc>
        <w:tc>
          <w:tcPr>
            <w:tcW w:w="625" w:type="dxa"/>
            <w:shd w:val="clear" w:color="auto" w:fill="auto"/>
            <w:vAlign w:val="bottom"/>
          </w:tcPr>
          <w:p w:rsidR="006B5587" w:rsidRDefault="006B5587"/>
        </w:tc>
      </w:tr>
      <w:tr w:rsidR="006B5587" w:rsidTr="00F63D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16"/>
            <w:shd w:val="clear" w:color="auto" w:fill="auto"/>
            <w:vAlign w:val="bottom"/>
          </w:tcPr>
          <w:p w:rsidR="006B5587" w:rsidRDefault="00F63DD3">
            <w:r>
              <w:rPr>
                <w:rFonts w:ascii="Times New Roman" w:hAnsi="Times New Roman"/>
                <w:sz w:val="23"/>
                <w:szCs w:val="23"/>
              </w:rPr>
              <w:t xml:space="preserve">Проведенные исследования позволяют определить </w:t>
            </w:r>
            <w:r>
              <w:rPr>
                <w:rFonts w:ascii="Times New Roman" w:hAnsi="Times New Roman"/>
                <w:sz w:val="23"/>
                <w:szCs w:val="23"/>
              </w:rPr>
              <w:t>начальную (максимальную) цену контракта в размере: 840 000,00 (Восемьсот сорок тысяч рублей 00 копеек)</w:t>
            </w:r>
          </w:p>
        </w:tc>
      </w:tr>
      <w:tr w:rsidR="006B5587" w:rsidTr="00F63DD3">
        <w:tblPrEx>
          <w:tblCellMar>
            <w:top w:w="0" w:type="dxa"/>
            <w:bottom w:w="0" w:type="dxa"/>
          </w:tblCellMar>
        </w:tblPrEx>
        <w:trPr>
          <w:gridAfter w:val="1"/>
          <w:wAfter w:w="1313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6B5587" w:rsidRDefault="006B5587"/>
        </w:tc>
        <w:tc>
          <w:tcPr>
            <w:tcW w:w="1897" w:type="dxa"/>
            <w:shd w:val="clear" w:color="auto" w:fill="auto"/>
            <w:vAlign w:val="bottom"/>
          </w:tcPr>
          <w:p w:rsidR="006B5587" w:rsidRDefault="006B5587"/>
        </w:tc>
        <w:tc>
          <w:tcPr>
            <w:tcW w:w="1646" w:type="dxa"/>
            <w:shd w:val="clear" w:color="auto" w:fill="auto"/>
            <w:vAlign w:val="bottom"/>
          </w:tcPr>
          <w:p w:rsidR="006B5587" w:rsidRDefault="006B5587"/>
        </w:tc>
        <w:tc>
          <w:tcPr>
            <w:tcW w:w="1032" w:type="dxa"/>
            <w:shd w:val="clear" w:color="auto" w:fill="auto"/>
            <w:vAlign w:val="bottom"/>
          </w:tcPr>
          <w:p w:rsidR="006B5587" w:rsidRDefault="006B5587"/>
        </w:tc>
        <w:tc>
          <w:tcPr>
            <w:tcW w:w="139" w:type="dxa"/>
            <w:shd w:val="clear" w:color="auto" w:fill="auto"/>
            <w:vAlign w:val="bottom"/>
          </w:tcPr>
          <w:p w:rsidR="006B5587" w:rsidRDefault="006B5587"/>
        </w:tc>
        <w:tc>
          <w:tcPr>
            <w:tcW w:w="903" w:type="dxa"/>
            <w:shd w:val="clear" w:color="auto" w:fill="auto"/>
            <w:vAlign w:val="bottom"/>
          </w:tcPr>
          <w:p w:rsidR="006B5587" w:rsidRDefault="006B5587"/>
        </w:tc>
        <w:tc>
          <w:tcPr>
            <w:tcW w:w="930" w:type="dxa"/>
            <w:shd w:val="clear" w:color="auto" w:fill="auto"/>
            <w:vAlign w:val="bottom"/>
          </w:tcPr>
          <w:p w:rsidR="006B5587" w:rsidRDefault="006B5587"/>
        </w:tc>
        <w:tc>
          <w:tcPr>
            <w:tcW w:w="1049" w:type="dxa"/>
            <w:shd w:val="clear" w:color="auto" w:fill="auto"/>
            <w:vAlign w:val="bottom"/>
          </w:tcPr>
          <w:p w:rsidR="006B5587" w:rsidRDefault="006B5587"/>
        </w:tc>
        <w:tc>
          <w:tcPr>
            <w:tcW w:w="1049" w:type="dxa"/>
            <w:shd w:val="clear" w:color="auto" w:fill="auto"/>
            <w:vAlign w:val="bottom"/>
          </w:tcPr>
          <w:p w:rsidR="006B5587" w:rsidRDefault="006B5587"/>
        </w:tc>
        <w:tc>
          <w:tcPr>
            <w:tcW w:w="850" w:type="dxa"/>
            <w:shd w:val="clear" w:color="auto" w:fill="auto"/>
            <w:vAlign w:val="bottom"/>
          </w:tcPr>
          <w:p w:rsidR="006B5587" w:rsidRDefault="006B5587"/>
        </w:tc>
        <w:tc>
          <w:tcPr>
            <w:tcW w:w="559" w:type="dxa"/>
            <w:shd w:val="clear" w:color="auto" w:fill="auto"/>
            <w:vAlign w:val="bottom"/>
          </w:tcPr>
          <w:p w:rsidR="006B5587" w:rsidRDefault="006B5587"/>
        </w:tc>
        <w:tc>
          <w:tcPr>
            <w:tcW w:w="824" w:type="dxa"/>
            <w:shd w:val="clear" w:color="auto" w:fill="auto"/>
            <w:vAlign w:val="bottom"/>
          </w:tcPr>
          <w:p w:rsidR="006B5587" w:rsidRDefault="006B5587"/>
        </w:tc>
        <w:tc>
          <w:tcPr>
            <w:tcW w:w="1288" w:type="dxa"/>
            <w:shd w:val="clear" w:color="auto" w:fill="auto"/>
            <w:vAlign w:val="bottom"/>
          </w:tcPr>
          <w:p w:rsidR="006B5587" w:rsidRDefault="006B5587"/>
        </w:tc>
        <w:tc>
          <w:tcPr>
            <w:tcW w:w="1328" w:type="dxa"/>
            <w:shd w:val="clear" w:color="auto" w:fill="auto"/>
            <w:vAlign w:val="bottom"/>
          </w:tcPr>
          <w:p w:rsidR="006B5587" w:rsidRDefault="006B5587"/>
        </w:tc>
        <w:tc>
          <w:tcPr>
            <w:tcW w:w="625" w:type="dxa"/>
            <w:shd w:val="clear" w:color="auto" w:fill="auto"/>
            <w:vAlign w:val="bottom"/>
          </w:tcPr>
          <w:p w:rsidR="006B5587" w:rsidRDefault="006B5587"/>
        </w:tc>
      </w:tr>
    </w:tbl>
    <w:p w:rsidR="00000000" w:rsidRDefault="00F63DD3">
      <w:bookmarkStart w:id="0" w:name="_GoBack"/>
      <w:bookmarkEnd w:id="0"/>
    </w:p>
    <w:sectPr w:rsidR="00000000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87"/>
    <w:rsid w:val="006B5587"/>
    <w:rsid w:val="00F6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25A6A8-9A28-4BAE-8F68-C22CF4E02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Коломийцев Сергей Дмитриевич</dc:creator>
  <cp:lastModifiedBy>Коломийцев Сергей Дмитриевич</cp:lastModifiedBy>
  <cp:revision>2</cp:revision>
  <dcterms:created xsi:type="dcterms:W3CDTF">2026-08-04T15:18:00Z</dcterms:created>
  <dcterms:modified xsi:type="dcterms:W3CDTF">2026-08-04T15:18:00Z</dcterms:modified>
</cp:coreProperties>
</file>